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6D9E5">
      <w:pPr>
        <w:keepNext w:val="0"/>
        <w:keepLines w:val="0"/>
        <w:pageBreakBefore w:val="0"/>
        <w:widowControl w:val="0"/>
        <w:kinsoku/>
        <w:wordWrap/>
        <w:overflowPunct/>
        <w:topLinePunct w:val="0"/>
        <w:autoSpaceDE/>
        <w:autoSpaceDN/>
        <w:bidi w:val="0"/>
        <w:snapToGrid w:val="0"/>
        <w:jc w:val="center"/>
        <w:textAlignment w:val="auto"/>
        <w:rPr>
          <w:rFonts w:hint="default" w:ascii="Times New Roman" w:hAnsi="Times New Roman" w:cs="Times New Roman"/>
          <w:sz w:val="22"/>
        </w:rPr>
      </w:pPr>
    </w:p>
    <w:p w14:paraId="24AA8435">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_GBK" w:cs="Times New Roman"/>
          <w:sz w:val="34"/>
        </w:rPr>
      </w:pPr>
    </w:p>
    <w:p w14:paraId="169A905F">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秀山土家族苗族自治县人民政府办公室</w:t>
      </w:r>
    </w:p>
    <w:p w14:paraId="54F35228">
      <w:pPr>
        <w:widowControl w:val="0"/>
        <w:snapToGrid w:val="0"/>
        <w:jc w:val="center"/>
        <w:rPr>
          <w:rFonts w:hint="eastAsia" w:ascii="方正小标宋_GBK" w:eastAsia="方正小标宋_GBK" w:cs="方正小标宋_GBK"/>
          <w:spacing w:val="-11"/>
          <w:sz w:val="44"/>
          <w:szCs w:val="44"/>
          <w14:ligatures w14:val="standardContextual"/>
        </w:rPr>
      </w:pPr>
      <w:r>
        <w:rPr>
          <w:rFonts w:hint="eastAsia" w:ascii="方正小标宋_GBK" w:eastAsia="方正小标宋_GBK" w:cs="方正小标宋_GBK"/>
          <w:spacing w:val="-11"/>
          <w:sz w:val="44"/>
          <w:szCs w:val="44"/>
          <w14:ligatures w14:val="standardContextual"/>
        </w:rPr>
        <w:t>关于印发《秀山县2025年中央财政油茶产业发展示范奖补项目实施工作方案》的通知</w:t>
      </w:r>
    </w:p>
    <w:p w14:paraId="1288B38A">
      <w:pPr>
        <w:widowControl w:val="0"/>
        <w:snapToGrid w:val="0"/>
        <w:jc w:val="center"/>
        <w:rPr>
          <w:rFonts w:hint="default" w:ascii="Times New Roman" w:hAnsi="Times New Roman" w:eastAsia="方正仿宋_GBK" w:cs="Times New Roman"/>
          <w:sz w:val="32"/>
          <w:szCs w:val="32"/>
          <w14:ligatures w14:val="standardContextual"/>
        </w:rPr>
      </w:pPr>
      <w:r>
        <w:rPr>
          <w:rFonts w:hint="default" w:ascii="Times New Roman" w:hAnsi="Times New Roman" w:eastAsia="方正仿宋_GBK" w:cs="Times New Roman"/>
          <w:sz w:val="32"/>
          <w:szCs w:val="32"/>
          <w14:ligatures w14:val="standardContextual"/>
        </w:rPr>
        <w:t>秀山府办发〔2025〕</w:t>
      </w:r>
      <w:r>
        <w:rPr>
          <w:rFonts w:hint="eastAsia" w:cs="Times New Roman"/>
          <w:sz w:val="32"/>
          <w:szCs w:val="32"/>
          <w:lang w:val="en-US" w:eastAsia="zh-CN"/>
          <w14:ligatures w14:val="standardContextual"/>
        </w:rPr>
        <w:t>33</w:t>
      </w:r>
      <w:r>
        <w:rPr>
          <w:rFonts w:hint="default" w:ascii="Times New Roman" w:hAnsi="Times New Roman" w:eastAsia="方正仿宋_GBK" w:cs="Times New Roman"/>
          <w:sz w:val="32"/>
          <w:szCs w:val="32"/>
          <w14:ligatures w14:val="standardContextual"/>
        </w:rPr>
        <w:t>号</w:t>
      </w:r>
    </w:p>
    <w:p w14:paraId="2CCF3F34">
      <w:pPr>
        <w:widowControl w:val="0"/>
        <w:rPr>
          <w:szCs w:val="32"/>
          <w14:ligatures w14:val="standardContextual"/>
        </w:rPr>
      </w:pPr>
    </w:p>
    <w:p w14:paraId="4DA7F46F">
      <w:pPr>
        <w:widowControl w:val="0"/>
        <w:rPr>
          <w:rFonts w:hint="eastAsia"/>
          <w:szCs w:val="32"/>
          <w14:ligatures w14:val="standardContextual"/>
        </w:rPr>
      </w:pPr>
      <w:r>
        <w:rPr>
          <w:szCs w:val="32"/>
          <w14:ligatures w14:val="standardContextual"/>
        </w:rPr>
        <w:t>各</w:t>
      </w:r>
      <w:r>
        <w:rPr>
          <w:rFonts w:hint="eastAsia"/>
          <w:szCs w:val="32"/>
          <w14:ligatures w14:val="standardContextual"/>
        </w:rPr>
        <w:t>各街道办事处、乡镇人民政府，县级有关部门：</w:t>
      </w:r>
    </w:p>
    <w:p w14:paraId="11966469">
      <w:pPr>
        <w:widowControl w:val="0"/>
        <w:ind w:firstLine="640" w:firstLineChars="200"/>
        <w:rPr>
          <w:szCs w:val="32"/>
          <w14:ligatures w14:val="standardContextual"/>
        </w:rPr>
      </w:pPr>
      <w:r>
        <w:rPr>
          <w:rFonts w:hint="eastAsia"/>
          <w:szCs w:val="32"/>
          <w14:ligatures w14:val="standardContextual"/>
        </w:rPr>
        <w:t>《秀山县2025年中央财政油茶产业发展示范奖补项目实施工作方案》已经十五届县委常委会第139次常委会议和十八届县人民政府第86次常务会议审议通过，现印发给你们，请抓好贯彻落实。</w:t>
      </w:r>
    </w:p>
    <w:p w14:paraId="41BA7546">
      <w:pPr>
        <w:widowControl w:val="0"/>
        <w:rPr>
          <w:szCs w:val="32"/>
          <w14:ligatures w14:val="standardContextual"/>
        </w:rPr>
      </w:pPr>
    </w:p>
    <w:p w14:paraId="5A567EA3">
      <w:pPr>
        <w:widowControl w:val="0"/>
        <w:rPr>
          <w:szCs w:val="32"/>
          <w14:ligatures w14:val="standardContextual"/>
        </w:rPr>
      </w:pPr>
    </w:p>
    <w:p w14:paraId="2E45DB5A">
      <w:pPr>
        <w:widowControl w:val="0"/>
        <w:ind w:right="624"/>
        <w:jc w:val="right"/>
        <w:rPr>
          <w:szCs w:val="32"/>
          <w14:ligatures w14:val="standardContextual"/>
        </w:rPr>
      </w:pPr>
      <w:r>
        <w:rPr>
          <w:szCs w:val="32"/>
          <w14:ligatures w14:val="standardContextual"/>
        </w:rPr>
        <w:t>秀山土家族苗族自治县人民政府办公室</w:t>
      </w:r>
    </w:p>
    <w:p w14:paraId="15A7659C">
      <w:pPr>
        <w:widowControl w:val="0"/>
        <w:ind w:right="1247"/>
        <w:jc w:val="right"/>
        <w:rPr>
          <w:rFonts w:ascii="方正小标宋_GBK" w:hAnsi="方正小标宋_GBK" w:eastAsia="方正小标宋_GBK" w:cs="方正小标宋_GBK"/>
          <w:bCs/>
          <w:sz w:val="44"/>
          <w:szCs w:val="44"/>
          <w:shd w:val="clear" w:color="auto" w:fill="FFFFFF"/>
        </w:rPr>
      </w:pPr>
      <w:r>
        <w:rPr>
          <w:szCs w:val="32"/>
          <w14:ligatures w14:val="standardContextual"/>
        </w:rPr>
        <w:t>2025年</w:t>
      </w:r>
      <w:r>
        <w:rPr>
          <w:rFonts w:hint="eastAsia"/>
          <w:szCs w:val="32"/>
          <w:lang w:val="en-US" w:eastAsia="zh-CN"/>
          <w14:ligatures w14:val="standardContextual"/>
        </w:rPr>
        <w:t>12</w:t>
      </w:r>
      <w:r>
        <w:rPr>
          <w:szCs w:val="32"/>
          <w14:ligatures w14:val="standardContextual"/>
        </w:rPr>
        <w:t>月</w:t>
      </w:r>
      <w:r>
        <w:rPr>
          <w:rFonts w:hint="eastAsia"/>
          <w:szCs w:val="32"/>
          <w:lang w:val="en-US" w:eastAsia="zh-CN"/>
          <w14:ligatures w14:val="standardContextual"/>
        </w:rPr>
        <w:t>4</w:t>
      </w:r>
      <w:bookmarkStart w:id="0" w:name="_GoBack"/>
      <w:bookmarkEnd w:id="0"/>
      <w:r>
        <w:rPr>
          <w:szCs w:val="32"/>
          <w14:ligatures w14:val="standardContextual"/>
        </w:rPr>
        <w:t>日</w:t>
      </w:r>
      <w:r>
        <w:rPr>
          <w:rFonts w:hint="eastAsia" w:ascii="方正小标宋_GBK" w:hAnsi="方正小标宋_GBK" w:eastAsia="方正小标宋_GBK" w:cs="方正小标宋_GBK"/>
          <w:bCs/>
          <w:sz w:val="44"/>
          <w:szCs w:val="44"/>
          <w:shd w:val="clear" w:color="auto" w:fill="FFFFFF"/>
        </w:rPr>
        <w:br w:type="page"/>
      </w:r>
    </w:p>
    <w:p w14:paraId="51ECDD9D">
      <w:pPr>
        <w:widowControl w:val="0"/>
        <w:snapToGrid w:val="0"/>
        <w:jc w:val="both"/>
        <w:rPr>
          <w:rFonts w:hint="eastAsia" w:ascii="方正小标宋_GBK" w:eastAsia="方正小标宋_GBK" w:cs="方正小标宋_GBK"/>
          <w:sz w:val="44"/>
          <w:szCs w:val="44"/>
          <w14:ligatures w14:val="standardContextual"/>
        </w:rPr>
      </w:pPr>
    </w:p>
    <w:p w14:paraId="2B2F6911">
      <w:pPr>
        <w:widowControl w:val="0"/>
        <w:snapToGrid w:val="0"/>
        <w:jc w:val="center"/>
        <w:rPr>
          <w:rFonts w:ascii="方正小标宋_GBK" w:eastAsia="方正小标宋_GBK" w:cs="方正小标宋_GBK"/>
          <w:bCs/>
          <w:sz w:val="44"/>
          <w:szCs w:val="44"/>
        </w:rPr>
      </w:pPr>
      <w:r>
        <w:rPr>
          <w:rFonts w:hint="eastAsia" w:ascii="方正小标宋_GBK" w:eastAsia="方正小标宋_GBK" w:cs="方正小标宋_GBK"/>
          <w:bCs/>
          <w:sz w:val="44"/>
          <w:szCs w:val="44"/>
        </w:rPr>
        <w:t>秀山县2025年中央财政油茶产业发展示范</w:t>
      </w:r>
    </w:p>
    <w:p w14:paraId="180E104A">
      <w:pPr>
        <w:widowControl w:val="0"/>
        <w:snapToGrid w:val="0"/>
        <w:jc w:val="center"/>
        <w:rPr>
          <w:rFonts w:ascii="方正小标宋_GBK" w:eastAsia="方正小标宋_GBK" w:cs="方正小标宋_GBK"/>
          <w:bCs/>
          <w:sz w:val="44"/>
          <w:szCs w:val="44"/>
        </w:rPr>
      </w:pPr>
      <w:r>
        <w:rPr>
          <w:rFonts w:hint="eastAsia" w:ascii="方正小标宋_GBK" w:eastAsia="方正小标宋_GBK" w:cs="方正小标宋_GBK"/>
          <w:bCs/>
          <w:sz w:val="44"/>
          <w:szCs w:val="44"/>
        </w:rPr>
        <w:t>奖补项目实施工作方案</w:t>
      </w:r>
    </w:p>
    <w:p w14:paraId="4609518B">
      <w:pPr>
        <w:widowControl w:val="0"/>
        <w:snapToGrid w:val="0"/>
        <w:jc w:val="center"/>
        <w:rPr>
          <w:rFonts w:ascii="方正小标宋_GBK" w:eastAsia="方正小标宋_GBK"/>
          <w:bCs/>
          <w:sz w:val="44"/>
          <w:szCs w:val="32"/>
        </w:rPr>
      </w:pPr>
    </w:p>
    <w:p w14:paraId="0EFFC5B5">
      <w:pPr>
        <w:widowControl w:val="0"/>
        <w:ind w:firstLine="640" w:firstLineChars="200"/>
        <w:rPr>
          <w:szCs w:val="32"/>
        </w:rPr>
      </w:pPr>
      <w:r>
        <w:rPr>
          <w:szCs w:val="32"/>
        </w:rPr>
        <w:t>根据《重庆武陵山区2025年中央财政油茶产业发展示范奖补项目实施方案》（以下简称项目实施方案），按照《秀山县油茶产业高质量发展实施方案》（秀山府办发〔2023〕4号）文件要求，为扎实、有序、高质、高效推进我县中央财政油茶产业发展示范奖补项目（以下</w:t>
      </w:r>
      <w:r>
        <w:rPr>
          <w:rFonts w:hint="eastAsia" w:ascii="方正仿宋_GBK" w:hAnsi="方正仿宋_GBK" w:cs="方正仿宋_GBK"/>
          <w:szCs w:val="32"/>
        </w:rPr>
        <w:t>简称“奖补项目”</w:t>
      </w:r>
      <w:r>
        <w:rPr>
          <w:szCs w:val="32"/>
        </w:rPr>
        <w:t>）建设，</w:t>
      </w:r>
      <w:r>
        <w:rPr>
          <w:rFonts w:hint="eastAsia" w:ascii="方正仿宋_GBK" w:hAnsi="方正仿宋_GBK" w:cs="方正仿宋_GBK"/>
          <w:szCs w:val="32"/>
        </w:rPr>
        <w:t>围绕“扩规模、提质效、延链条、优品牌、强科技”的思路，确保</w:t>
      </w:r>
      <w:r>
        <w:rPr>
          <w:szCs w:val="32"/>
        </w:rPr>
        <w:t>按时高质量完成奖补项目建设，加快全县油茶全产业链条高质量发展步伐，助力秀山打造成全国油茶产业发展示范高地和武陵山区践行两山论样板，结合我县实际，特制定本方案。</w:t>
      </w:r>
    </w:p>
    <w:p w14:paraId="7110DA53">
      <w:pPr>
        <w:widowControl w:val="0"/>
        <w:ind w:firstLine="640" w:firstLineChars="200"/>
        <w:rPr>
          <w:rFonts w:ascii="方正黑体_GBK" w:hAnsi="方正黑体_GBK" w:eastAsia="方正黑体_GBK" w:cs="方正黑体_GBK"/>
          <w:szCs w:val="32"/>
        </w:rPr>
      </w:pPr>
      <w:r>
        <w:rPr>
          <w:rFonts w:hint="eastAsia" w:ascii="方正黑体_GBK" w:hAnsi="方正黑体_GBK" w:eastAsia="方正黑体_GBK" w:cs="方正黑体_GBK"/>
          <w:szCs w:val="32"/>
        </w:rPr>
        <w:t>一、工作目标</w:t>
      </w:r>
    </w:p>
    <w:p w14:paraId="2A25C943">
      <w:pPr>
        <w:widowControl w:val="0"/>
        <w:ind w:firstLine="640" w:firstLineChars="200"/>
        <w:rPr>
          <w:szCs w:val="32"/>
        </w:rPr>
      </w:pPr>
      <w:r>
        <w:rPr>
          <w:szCs w:val="32"/>
        </w:rPr>
        <w:t>自2025年起，用5年时间投资</w:t>
      </w:r>
      <w:r>
        <w:rPr>
          <w:rFonts w:hint="eastAsia"/>
          <w:szCs w:val="32"/>
        </w:rPr>
        <w:t>40710</w:t>
      </w:r>
      <w:r>
        <w:rPr>
          <w:szCs w:val="32"/>
        </w:rPr>
        <w:t>万元，</w:t>
      </w:r>
      <w:r>
        <w:rPr>
          <w:rFonts w:hint="eastAsia" w:ascii="方正仿宋_GBK" w:hAnsi="方正仿宋_GBK" w:cs="方正仿宋_GBK"/>
          <w:szCs w:val="32"/>
        </w:rPr>
        <w:t>围绕“一心、一园、一带、一品、一保”全县油</w:t>
      </w:r>
      <w:r>
        <w:rPr>
          <w:szCs w:val="32"/>
        </w:rPr>
        <w:t>茶产业总体规划，着力扩大种植规模，提升产业基地质效，</w:t>
      </w:r>
      <w:r>
        <w:rPr>
          <w:rFonts w:hint="eastAsia"/>
          <w:szCs w:val="32"/>
        </w:rPr>
        <w:t>延伸</w:t>
      </w:r>
      <w:r>
        <w:rPr>
          <w:szCs w:val="32"/>
        </w:rPr>
        <w:t>补强产业链条，做大做强</w:t>
      </w:r>
      <w:r>
        <w:rPr>
          <w:rFonts w:hint="eastAsia"/>
          <w:szCs w:val="32"/>
        </w:rPr>
        <w:t>油茶</w:t>
      </w:r>
      <w:r>
        <w:rPr>
          <w:szCs w:val="32"/>
        </w:rPr>
        <w:t>品牌，强化提升科技内涵，圆满完成奖补项目建设任务，推动油茶产业高质量发展。通过项目建设，</w:t>
      </w:r>
      <w:r>
        <w:rPr>
          <w:rFonts w:hint="eastAsia"/>
          <w:szCs w:val="32"/>
        </w:rPr>
        <w:t>新建油茶高产示范基地</w:t>
      </w:r>
      <w:r>
        <w:rPr>
          <w:szCs w:val="32"/>
        </w:rPr>
        <w:t>4万亩</w:t>
      </w:r>
      <w:r>
        <w:rPr>
          <w:rFonts w:hint="eastAsia"/>
          <w:szCs w:val="32"/>
        </w:rPr>
        <w:t>，</w:t>
      </w:r>
      <w:r>
        <w:rPr>
          <w:szCs w:val="32"/>
        </w:rPr>
        <w:t>改造</w:t>
      </w:r>
      <w:r>
        <w:rPr>
          <w:rFonts w:hint="eastAsia"/>
          <w:szCs w:val="32"/>
        </w:rPr>
        <w:t>低产低效林</w:t>
      </w:r>
      <w:r>
        <w:rPr>
          <w:szCs w:val="32"/>
        </w:rPr>
        <w:t>0.2万亩，全县油茶高产基地规模达到10万亩。</w:t>
      </w:r>
      <w:r>
        <w:rPr>
          <w:rFonts w:hint="eastAsia"/>
          <w:szCs w:val="32"/>
        </w:rPr>
        <w:t>增强抵御自然灾害能力，</w:t>
      </w:r>
      <w:r>
        <w:rPr>
          <w:szCs w:val="32"/>
        </w:rPr>
        <w:t>新建水肥一体化设施1.9318万亩</w:t>
      </w:r>
      <w:r>
        <w:rPr>
          <w:rFonts w:hint="eastAsia"/>
          <w:szCs w:val="32"/>
        </w:rPr>
        <w:t>。</w:t>
      </w:r>
      <w:r>
        <w:rPr>
          <w:szCs w:val="32"/>
        </w:rPr>
        <w:t>持续推广油茶套种黄精模式，新建套种基地</w:t>
      </w:r>
      <w:r>
        <w:rPr>
          <w:rFonts w:hint="eastAsia"/>
          <w:szCs w:val="32"/>
        </w:rPr>
        <w:t>0.2</w:t>
      </w:r>
      <w:r>
        <w:rPr>
          <w:szCs w:val="32"/>
        </w:rPr>
        <w:t>万亩。进一步强化油茶初加工、提升油茶精加工，新建初加工厂5个、精加工厂1个。以重庆油茶研发中心为载体，深研油茶科技，实施一</w:t>
      </w:r>
      <w:r>
        <w:rPr>
          <w:rFonts w:hint="eastAsia"/>
          <w:szCs w:val="32"/>
        </w:rPr>
        <w:t>批具</w:t>
      </w:r>
      <w:r>
        <w:rPr>
          <w:szCs w:val="32"/>
        </w:rPr>
        <w:t>有秀山辨识度的科技项目和成果，</w:t>
      </w:r>
      <w:r>
        <w:rPr>
          <w:rFonts w:hint="eastAsia"/>
          <w:szCs w:val="32"/>
        </w:rPr>
        <w:t>开展</w:t>
      </w:r>
      <w:r>
        <w:rPr>
          <w:szCs w:val="32"/>
        </w:rPr>
        <w:t>秀山山茶油地理标志</w:t>
      </w:r>
      <w:r>
        <w:rPr>
          <w:rFonts w:hint="eastAsia"/>
          <w:szCs w:val="32"/>
        </w:rPr>
        <w:t>申请</w:t>
      </w:r>
      <w:r>
        <w:rPr>
          <w:szCs w:val="32"/>
        </w:rPr>
        <w:t>和公共品牌创建</w:t>
      </w:r>
      <w:r>
        <w:rPr>
          <w:rFonts w:hint="eastAsia" w:ascii="方正仿宋_GBK" w:hAnsi="方正仿宋_GBK" w:cs="方正仿宋_GBK"/>
          <w:szCs w:val="32"/>
        </w:rPr>
        <w:t>，使之成为西部油茶闪</w:t>
      </w:r>
      <w:r>
        <w:rPr>
          <w:szCs w:val="32"/>
        </w:rPr>
        <w:t>亮的名片。到2030年，新建油茶</w:t>
      </w:r>
      <w:r>
        <w:rPr>
          <w:rFonts w:hint="eastAsia"/>
          <w:szCs w:val="32"/>
        </w:rPr>
        <w:t>基地</w:t>
      </w:r>
      <w:r>
        <w:rPr>
          <w:szCs w:val="32"/>
        </w:rPr>
        <w:t>盛果期亩产茶油达到40公斤以上，带动项目区原有油茶林23.5万亩管护提升，实现亩均产油量高于全国平均水平的40%以上，解决农村2万以上农户就业。</w:t>
      </w:r>
    </w:p>
    <w:p w14:paraId="58371C83">
      <w:pPr>
        <w:widowControl w:val="0"/>
        <w:ind w:firstLine="640" w:firstLineChars="200"/>
        <w:rPr>
          <w:rFonts w:ascii="方正黑体_GBK" w:hAnsi="方正黑体_GBK" w:eastAsia="方正黑体_GBK" w:cs="方正黑体_GBK"/>
          <w:szCs w:val="32"/>
        </w:rPr>
      </w:pPr>
      <w:r>
        <w:rPr>
          <w:rFonts w:hint="eastAsia" w:ascii="方正黑体_GBK" w:hAnsi="方正黑体_GBK" w:eastAsia="方正黑体_GBK" w:cs="方正黑体_GBK"/>
          <w:szCs w:val="32"/>
        </w:rPr>
        <w:t>二、重点任务</w:t>
      </w:r>
    </w:p>
    <w:p w14:paraId="135D97ED">
      <w:pPr>
        <w:widowControl w:val="0"/>
        <w:ind w:firstLine="640" w:firstLineChars="200"/>
        <w:rPr>
          <w:szCs w:val="32"/>
        </w:rPr>
      </w:pPr>
      <w:r>
        <w:rPr>
          <w:rFonts w:hint="eastAsia" w:ascii="方正楷体_GBK" w:hAnsi="方正楷体_GBK" w:eastAsia="方正楷体_GBK" w:cs="方正楷体_GBK"/>
          <w:szCs w:val="32"/>
        </w:rPr>
        <w:t>（一）优质油茶种苗供应保障。</w:t>
      </w:r>
      <w:r>
        <w:rPr>
          <w:rFonts w:hint="eastAsia"/>
          <w:szCs w:val="32"/>
        </w:rPr>
        <w:t>按照《秀山土家族苗族自治县人民政府办公室关于印发〈秀山自治县加快油茶产业高质量发展实施方案〉的通知》（秀山府办发〔2023〕23号），持续推广使用油茶良种，严格奖补项目用苗质量管理，</w:t>
      </w:r>
      <w:r>
        <w:rPr>
          <w:szCs w:val="32"/>
        </w:rPr>
        <w:t>强化种苗生产经营</w:t>
      </w:r>
      <w:r>
        <w:rPr>
          <w:rFonts w:hint="eastAsia"/>
          <w:szCs w:val="32"/>
        </w:rPr>
        <w:t>全过程管控</w:t>
      </w:r>
      <w:r>
        <w:rPr>
          <w:szCs w:val="32"/>
        </w:rPr>
        <w:t>，确保</w:t>
      </w:r>
      <w:r>
        <w:rPr>
          <w:rFonts w:hint="eastAsia"/>
          <w:szCs w:val="32"/>
        </w:rPr>
        <w:t>苗木来源、品种</w:t>
      </w:r>
      <w:r>
        <w:rPr>
          <w:szCs w:val="32"/>
        </w:rPr>
        <w:t>质量可追溯。</w:t>
      </w:r>
      <w:r>
        <w:rPr>
          <w:rFonts w:hint="eastAsia"/>
          <w:szCs w:val="32"/>
        </w:rPr>
        <w:t>奖补项目</w:t>
      </w:r>
      <w:r>
        <w:rPr>
          <w:szCs w:val="32"/>
        </w:rPr>
        <w:t>造林苗木</w:t>
      </w:r>
      <w:r>
        <w:rPr>
          <w:rFonts w:hint="eastAsia"/>
          <w:szCs w:val="32"/>
        </w:rPr>
        <w:t>优先使用</w:t>
      </w:r>
      <w:r>
        <w:rPr>
          <w:szCs w:val="32"/>
        </w:rPr>
        <w:t>三年生合格营养杯苗，</w:t>
      </w:r>
      <w:r>
        <w:rPr>
          <w:rFonts w:hint="eastAsia"/>
          <w:szCs w:val="32"/>
        </w:rPr>
        <w:t>并</w:t>
      </w:r>
      <w:r>
        <w:rPr>
          <w:szCs w:val="32"/>
        </w:rPr>
        <w:t>严格按照品种配比供苗，苗木规格和配比若有调整必须经县</w:t>
      </w:r>
      <w:r>
        <w:rPr>
          <w:rFonts w:hint="eastAsia"/>
          <w:szCs w:val="32"/>
        </w:rPr>
        <w:t>人民</w:t>
      </w:r>
      <w:r>
        <w:rPr>
          <w:szCs w:val="32"/>
        </w:rPr>
        <w:t>政府聘请的专家顾问</w:t>
      </w:r>
      <w:r>
        <w:rPr>
          <w:rFonts w:hint="eastAsia"/>
          <w:szCs w:val="32"/>
        </w:rPr>
        <w:t>研判</w:t>
      </w:r>
      <w:r>
        <w:rPr>
          <w:szCs w:val="32"/>
        </w:rPr>
        <w:t>同意</w:t>
      </w:r>
      <w:r>
        <w:rPr>
          <w:rFonts w:hint="eastAsia"/>
          <w:szCs w:val="32"/>
        </w:rPr>
        <w:t>后方可调整</w:t>
      </w:r>
      <w:r>
        <w:rPr>
          <w:szCs w:val="32"/>
        </w:rPr>
        <w:t>。县林业局要加强种苗监督检查，强化油茶种苗质量前置化管理。</w:t>
      </w:r>
      <w:r>
        <w:rPr>
          <w:rFonts w:hint="eastAsia"/>
          <w:szCs w:val="32"/>
        </w:rPr>
        <w:t>〔</w:t>
      </w:r>
      <w:r>
        <w:rPr>
          <w:szCs w:val="32"/>
        </w:rPr>
        <w:t>牵头单位：县林业局，配合单位：县市场监管局，相关乡镇</w:t>
      </w:r>
      <w:r>
        <w:rPr>
          <w:rFonts w:hint="eastAsia"/>
          <w:szCs w:val="32"/>
        </w:rPr>
        <w:t>（</w:t>
      </w:r>
      <w:r>
        <w:rPr>
          <w:szCs w:val="32"/>
        </w:rPr>
        <w:t>街道）</w:t>
      </w:r>
      <w:r>
        <w:rPr>
          <w:rFonts w:hint="eastAsia"/>
          <w:szCs w:val="32"/>
        </w:rPr>
        <w:t>〕</w:t>
      </w:r>
    </w:p>
    <w:p w14:paraId="53BCDA06">
      <w:pPr>
        <w:widowControl w:val="0"/>
        <w:ind w:firstLine="640" w:firstLineChars="200"/>
        <w:rPr>
          <w:szCs w:val="32"/>
        </w:rPr>
      </w:pPr>
      <w:r>
        <w:rPr>
          <w:rFonts w:hint="eastAsia" w:ascii="方正楷体_GBK" w:hAnsi="方正楷体_GBK" w:eastAsia="方正楷体_GBK" w:cs="方正楷体_GBK"/>
          <w:szCs w:val="32"/>
        </w:rPr>
        <w:t>（二）油茶高产示范基地建设。</w:t>
      </w:r>
      <w:r>
        <w:rPr>
          <w:szCs w:val="32"/>
        </w:rPr>
        <w:t>以集体林权制度改革为契机，</w:t>
      </w:r>
      <w:r>
        <w:rPr>
          <w:rFonts w:hint="eastAsia"/>
          <w:szCs w:val="32"/>
        </w:rPr>
        <w:t>支持</w:t>
      </w:r>
      <w:r>
        <w:rPr>
          <w:szCs w:val="32"/>
        </w:rPr>
        <w:t>国有企事业单位、民营企业、社会团体、农业专业合作组织、村集体经济、林业大户等</w:t>
      </w:r>
      <w:r>
        <w:rPr>
          <w:rFonts w:hint="eastAsia"/>
          <w:szCs w:val="32"/>
        </w:rPr>
        <w:t>各类社会主体，通过林地、园地流转，</w:t>
      </w:r>
      <w:r>
        <w:rPr>
          <w:szCs w:val="32"/>
        </w:rPr>
        <w:t>利用</w:t>
      </w:r>
      <w:r>
        <w:rPr>
          <w:rFonts w:hint="eastAsia"/>
          <w:szCs w:val="32"/>
        </w:rPr>
        <w:t>疏林地</w:t>
      </w:r>
      <w:r>
        <w:rPr>
          <w:szCs w:val="32"/>
        </w:rPr>
        <w:t>、灌木林地、采伐</w:t>
      </w:r>
      <w:r>
        <w:rPr>
          <w:rFonts w:hint="eastAsia"/>
          <w:szCs w:val="32"/>
        </w:rPr>
        <w:t>迹地、</w:t>
      </w:r>
      <w:r>
        <w:rPr>
          <w:szCs w:val="32"/>
        </w:rPr>
        <w:t>火烧迹地、商品林</w:t>
      </w:r>
      <w:r>
        <w:rPr>
          <w:rFonts w:hint="eastAsia"/>
          <w:szCs w:val="32"/>
        </w:rPr>
        <w:t>地</w:t>
      </w:r>
      <w:r>
        <w:rPr>
          <w:szCs w:val="32"/>
        </w:rPr>
        <w:t>、低效园地、退化林地等林地资源</w:t>
      </w:r>
      <w:r>
        <w:rPr>
          <w:rFonts w:hint="eastAsia"/>
          <w:szCs w:val="32"/>
        </w:rPr>
        <w:t>，</w:t>
      </w:r>
      <w:r>
        <w:rPr>
          <w:szCs w:val="32"/>
        </w:rPr>
        <w:t>新</w:t>
      </w:r>
      <w:r>
        <w:rPr>
          <w:rFonts w:hint="eastAsia"/>
          <w:szCs w:val="32"/>
        </w:rPr>
        <w:t>建油茶高产示范基地</w:t>
      </w:r>
      <w:r>
        <w:rPr>
          <w:szCs w:val="32"/>
        </w:rPr>
        <w:t>4万亩</w:t>
      </w:r>
      <w:r>
        <w:rPr>
          <w:rFonts w:hint="eastAsia"/>
          <w:szCs w:val="32"/>
        </w:rPr>
        <w:t>，其中2025年实施1.6万亩，2026年实施2.4万亩，总投资2亿元。奖补政策</w:t>
      </w:r>
      <w:r>
        <w:rPr>
          <w:rFonts w:hint="eastAsia"/>
        </w:rPr>
        <w:t>标准按照</w:t>
      </w:r>
      <w:r>
        <w:t>《秀山土家族苗族自治县人民政府办公室关于印发〈秀山自治县加快油茶产业高质量发展实施方案〉的通知》（秀山府办发〔2023〕23号）</w:t>
      </w:r>
      <w:r>
        <w:rPr>
          <w:szCs w:val="32"/>
        </w:rPr>
        <w:t>。</w:t>
      </w:r>
      <w:r>
        <w:rPr>
          <w:rFonts w:hint="eastAsia"/>
          <w:szCs w:val="32"/>
        </w:rPr>
        <w:t>〔</w:t>
      </w:r>
      <w:r>
        <w:rPr>
          <w:szCs w:val="32"/>
        </w:rPr>
        <w:t>牵头单位：县林业局，配合单位：</w:t>
      </w:r>
      <w:r>
        <w:rPr>
          <w:rFonts w:hint="eastAsia"/>
          <w:szCs w:val="32"/>
        </w:rPr>
        <w:t>县财政局</w:t>
      </w:r>
      <w:r>
        <w:rPr>
          <w:szCs w:val="32"/>
        </w:rPr>
        <w:t>，相关乡镇</w:t>
      </w:r>
      <w:r>
        <w:rPr>
          <w:rFonts w:hint="eastAsia"/>
          <w:szCs w:val="32"/>
        </w:rPr>
        <w:t>（</w:t>
      </w:r>
      <w:r>
        <w:rPr>
          <w:szCs w:val="32"/>
        </w:rPr>
        <w:t>街道</w:t>
      </w:r>
      <w:r>
        <w:rPr>
          <w:rFonts w:hint="eastAsia"/>
          <w:szCs w:val="32"/>
        </w:rPr>
        <w:t>）〕</w:t>
      </w:r>
    </w:p>
    <w:p w14:paraId="1E98CE3C">
      <w:pPr>
        <w:widowControl w:val="0"/>
        <w:ind w:firstLine="640" w:firstLineChars="200"/>
        <w:rPr>
          <w:szCs w:val="32"/>
        </w:rPr>
      </w:pPr>
      <w:r>
        <w:rPr>
          <w:rFonts w:hint="eastAsia" w:ascii="方正楷体_GBK" w:hAnsi="方正楷体_GBK" w:eastAsia="方正楷体_GBK" w:cs="方正楷体_GBK"/>
          <w:szCs w:val="32"/>
        </w:rPr>
        <w:t>（三）水肥一体化设施建设。</w:t>
      </w:r>
      <w:r>
        <w:rPr>
          <w:szCs w:val="32"/>
        </w:rPr>
        <w:t>优选县内</w:t>
      </w:r>
      <w:r>
        <w:rPr>
          <w:rFonts w:hint="eastAsia"/>
          <w:szCs w:val="32"/>
        </w:rPr>
        <w:t>水源</w:t>
      </w:r>
      <w:r>
        <w:rPr>
          <w:szCs w:val="32"/>
        </w:rPr>
        <w:t>充足、交通便利、供电方便、面积相对集中连片300亩以上</w:t>
      </w:r>
      <w:r>
        <w:rPr>
          <w:rFonts w:hint="eastAsia"/>
          <w:szCs w:val="32"/>
        </w:rPr>
        <w:t>的地块，建设</w:t>
      </w:r>
      <w:r>
        <w:rPr>
          <w:szCs w:val="32"/>
        </w:rPr>
        <w:t>水肥一体化供应系统、滴喷管理管网、提水工程、水塔水池、泵房（含机井）等</w:t>
      </w:r>
      <w:r>
        <w:rPr>
          <w:rFonts w:hint="eastAsia"/>
          <w:szCs w:val="32"/>
        </w:rPr>
        <w:t>基础设施</w:t>
      </w:r>
      <w:r>
        <w:rPr>
          <w:szCs w:val="32"/>
        </w:rPr>
        <w:t>，支持</w:t>
      </w:r>
      <w:r>
        <w:rPr>
          <w:rFonts w:hint="eastAsia"/>
          <w:szCs w:val="32"/>
        </w:rPr>
        <w:t>企业</w:t>
      </w:r>
      <w:r>
        <w:rPr>
          <w:szCs w:val="32"/>
        </w:rPr>
        <w:t>开展水肥一体化试点，并探索依托水肥一体化系统建立全县数字油茶管理平台。2025年实施0.</w:t>
      </w:r>
      <w:r>
        <w:rPr>
          <w:rFonts w:hint="eastAsia"/>
          <w:szCs w:val="32"/>
        </w:rPr>
        <w:t>5795</w:t>
      </w:r>
      <w:r>
        <w:rPr>
          <w:szCs w:val="32"/>
        </w:rPr>
        <w:t>万亩，2026年实施</w:t>
      </w:r>
      <w:r>
        <w:rPr>
          <w:rFonts w:hint="eastAsia"/>
          <w:szCs w:val="32"/>
        </w:rPr>
        <w:t>0.3864</w:t>
      </w:r>
      <w:r>
        <w:rPr>
          <w:szCs w:val="32"/>
        </w:rPr>
        <w:t>万亩</w:t>
      </w:r>
      <w:r>
        <w:rPr>
          <w:rFonts w:hint="eastAsia"/>
          <w:szCs w:val="32"/>
        </w:rPr>
        <w:t>，</w:t>
      </w:r>
      <w:r>
        <w:rPr>
          <w:szCs w:val="32"/>
        </w:rPr>
        <w:t>202</w:t>
      </w:r>
      <w:r>
        <w:rPr>
          <w:rFonts w:hint="eastAsia"/>
          <w:szCs w:val="32"/>
        </w:rPr>
        <w:t>7</w:t>
      </w:r>
      <w:r>
        <w:rPr>
          <w:szCs w:val="32"/>
        </w:rPr>
        <w:t>年实施</w:t>
      </w:r>
      <w:r>
        <w:rPr>
          <w:rFonts w:hint="eastAsia"/>
          <w:szCs w:val="32"/>
        </w:rPr>
        <w:t>0.9659</w:t>
      </w:r>
      <w:r>
        <w:rPr>
          <w:szCs w:val="32"/>
        </w:rPr>
        <w:t>万亩。投资预算控制在3837万元以内，单亩平均</w:t>
      </w:r>
      <w:r>
        <w:rPr>
          <w:rFonts w:hint="eastAsia"/>
          <w:szCs w:val="32"/>
        </w:rPr>
        <w:t>定额补助</w:t>
      </w:r>
      <w:r>
        <w:rPr>
          <w:szCs w:val="32"/>
        </w:rPr>
        <w:t>控制在1986元/亩。</w:t>
      </w:r>
      <w:r>
        <w:rPr>
          <w:rFonts w:hint="eastAsia"/>
          <w:szCs w:val="32"/>
        </w:rPr>
        <w:t>〔</w:t>
      </w:r>
      <w:r>
        <w:rPr>
          <w:szCs w:val="32"/>
        </w:rPr>
        <w:t>牵头单位：县林业局，配合单位：</w:t>
      </w:r>
      <w:r>
        <w:rPr>
          <w:rFonts w:hint="eastAsia"/>
          <w:szCs w:val="32"/>
        </w:rPr>
        <w:t>县发展改革委</w:t>
      </w:r>
      <w:r>
        <w:rPr>
          <w:szCs w:val="32"/>
        </w:rPr>
        <w:t>、县水利局、</w:t>
      </w:r>
      <w:r>
        <w:rPr>
          <w:rFonts w:hint="eastAsia" w:ascii="方正仿宋_GBK"/>
          <w:szCs w:val="32"/>
        </w:rPr>
        <w:t>县农业农村委</w:t>
      </w:r>
      <w:r>
        <w:rPr>
          <w:szCs w:val="32"/>
        </w:rPr>
        <w:t>，相关乡镇</w:t>
      </w:r>
      <w:r>
        <w:rPr>
          <w:rFonts w:hint="eastAsia"/>
          <w:szCs w:val="32"/>
        </w:rPr>
        <w:t>（</w:t>
      </w:r>
      <w:r>
        <w:rPr>
          <w:szCs w:val="32"/>
        </w:rPr>
        <w:t>街道</w:t>
      </w:r>
      <w:r>
        <w:rPr>
          <w:rFonts w:hint="eastAsia"/>
          <w:szCs w:val="32"/>
        </w:rPr>
        <w:t>）〕</w:t>
      </w:r>
    </w:p>
    <w:p w14:paraId="34684008">
      <w:pPr>
        <w:widowControl w:val="0"/>
        <w:ind w:firstLine="640" w:firstLineChars="200"/>
        <w:rPr>
          <w:szCs w:val="32"/>
        </w:rPr>
      </w:pPr>
      <w:r>
        <w:rPr>
          <w:rFonts w:hint="eastAsia" w:ascii="方正楷体_GBK" w:hAnsi="方正楷体_GBK" w:eastAsia="方正楷体_GBK" w:cs="方正楷体_GBK"/>
          <w:szCs w:val="32"/>
        </w:rPr>
        <w:t>（四）低质低效林改造项目建设。</w:t>
      </w:r>
      <w:r>
        <w:rPr>
          <w:szCs w:val="32"/>
        </w:rPr>
        <w:t>从2025年起，用3年时间对低质低效林通过截干更新、劣株换种、间伐、培冠、修枝、控高、施肥、除草、防病虫等技术措施改造，实现低效林向高产林转化。2025年实施低效林改造0.2万亩，投资控制在580万元，单亩</w:t>
      </w:r>
      <w:r>
        <w:rPr>
          <w:rFonts w:hint="eastAsia"/>
          <w:szCs w:val="32"/>
        </w:rPr>
        <w:t>定额补助</w:t>
      </w:r>
      <w:r>
        <w:rPr>
          <w:szCs w:val="32"/>
        </w:rPr>
        <w:t>2898元/亩</w:t>
      </w:r>
      <w:r>
        <w:rPr>
          <w:rFonts w:hint="eastAsia"/>
          <w:szCs w:val="32"/>
        </w:rPr>
        <w:t>。定额</w:t>
      </w:r>
      <w:r>
        <w:rPr>
          <w:szCs w:val="32"/>
        </w:rPr>
        <w:t>补助</w:t>
      </w:r>
      <w:r>
        <w:rPr>
          <w:rFonts w:hint="eastAsia"/>
          <w:szCs w:val="32"/>
        </w:rPr>
        <w:t>分三年，</w:t>
      </w:r>
      <w:r>
        <w:rPr>
          <w:szCs w:val="32"/>
        </w:rPr>
        <w:t>其中第一年1200元/亩，第二年898元/亩，第三年800元/亩。</w:t>
      </w:r>
      <w:r>
        <w:rPr>
          <w:rFonts w:hint="eastAsia"/>
          <w:szCs w:val="32"/>
        </w:rPr>
        <w:t>〔</w:t>
      </w:r>
      <w:r>
        <w:rPr>
          <w:szCs w:val="32"/>
        </w:rPr>
        <w:t>牵头单位：县林业局，配合单位：相关乡镇</w:t>
      </w:r>
      <w:r>
        <w:rPr>
          <w:rFonts w:hint="eastAsia"/>
          <w:szCs w:val="32"/>
        </w:rPr>
        <w:t>（</w:t>
      </w:r>
      <w:r>
        <w:rPr>
          <w:szCs w:val="32"/>
        </w:rPr>
        <w:t>街道</w:t>
      </w:r>
      <w:r>
        <w:rPr>
          <w:rFonts w:hint="eastAsia"/>
          <w:szCs w:val="32"/>
        </w:rPr>
        <w:t>）〕</w:t>
      </w:r>
    </w:p>
    <w:p w14:paraId="00673D1B">
      <w:pPr>
        <w:widowControl w:val="0"/>
        <w:ind w:firstLine="640" w:firstLineChars="200"/>
        <w:rPr>
          <w:szCs w:val="32"/>
        </w:rPr>
      </w:pPr>
      <w:r>
        <w:rPr>
          <w:rFonts w:hint="eastAsia" w:ascii="方正楷体_GBK" w:hAnsi="方正楷体_GBK" w:eastAsia="方正楷体_GBK" w:cs="方正楷体_GBK"/>
          <w:szCs w:val="32"/>
        </w:rPr>
        <w:t>（五）油茶复合经营建设项目。</w:t>
      </w:r>
      <w:r>
        <w:rPr>
          <w:szCs w:val="32"/>
        </w:rPr>
        <w:t>选取地理条件优越油茶基地地块，进一步提升油茶单位面积附加值，继续推广做大</w:t>
      </w:r>
      <w:r>
        <w:rPr>
          <w:rFonts w:hint="eastAsia"/>
          <w:szCs w:val="32"/>
        </w:rPr>
        <w:t>“</w:t>
      </w:r>
      <w:r>
        <w:rPr>
          <w:szCs w:val="32"/>
        </w:rPr>
        <w:t>油茶+黄精</w:t>
      </w:r>
      <w:r>
        <w:rPr>
          <w:rFonts w:hint="eastAsia"/>
          <w:szCs w:val="32"/>
        </w:rPr>
        <w:t>”</w:t>
      </w:r>
      <w:r>
        <w:rPr>
          <w:szCs w:val="32"/>
        </w:rPr>
        <w:t>套作复合经营，重点布局在2023、2024年新造油茶林及奖补项目实施区域，</w:t>
      </w:r>
      <w:r>
        <w:rPr>
          <w:rFonts w:hint="eastAsia"/>
          <w:szCs w:val="32"/>
        </w:rPr>
        <w:t>2025年新建</w:t>
      </w:r>
      <w:r>
        <w:rPr>
          <w:rFonts w:hint="eastAsia" w:ascii="方正仿宋_GBK" w:hAnsi="方正仿宋_GBK" w:cs="方正仿宋_GBK"/>
          <w:szCs w:val="32"/>
        </w:rPr>
        <w:t>“油茶+黄精”套作复</w:t>
      </w:r>
      <w:r>
        <w:rPr>
          <w:szCs w:val="32"/>
        </w:rPr>
        <w:t>合经营</w:t>
      </w:r>
      <w:r>
        <w:rPr>
          <w:rFonts w:hint="eastAsia"/>
          <w:szCs w:val="32"/>
        </w:rPr>
        <w:t>0.2</w:t>
      </w:r>
      <w:r>
        <w:rPr>
          <w:szCs w:val="32"/>
        </w:rPr>
        <w:t>万亩。投资预算控制在</w:t>
      </w:r>
      <w:r>
        <w:rPr>
          <w:rFonts w:hint="eastAsia"/>
          <w:szCs w:val="32"/>
        </w:rPr>
        <w:t>4</w:t>
      </w:r>
      <w:r>
        <w:rPr>
          <w:szCs w:val="32"/>
        </w:rPr>
        <w:t>00万元以内（市级配套资金</w:t>
      </w:r>
      <w:r>
        <w:rPr>
          <w:rFonts w:hint="eastAsia"/>
          <w:szCs w:val="32"/>
        </w:rPr>
        <w:t>4</w:t>
      </w:r>
      <w:r>
        <w:rPr>
          <w:szCs w:val="32"/>
        </w:rPr>
        <w:t>00万元），单亩</w:t>
      </w:r>
      <w:r>
        <w:rPr>
          <w:rFonts w:hint="eastAsia"/>
          <w:szCs w:val="32"/>
        </w:rPr>
        <w:t>定额补助</w:t>
      </w:r>
      <w:r>
        <w:rPr>
          <w:szCs w:val="32"/>
        </w:rPr>
        <w:t>2000元/亩，</w:t>
      </w:r>
      <w:r>
        <w:rPr>
          <w:rFonts w:hint="eastAsia"/>
          <w:szCs w:val="32"/>
        </w:rPr>
        <w:t>定额</w:t>
      </w:r>
      <w:r>
        <w:rPr>
          <w:szCs w:val="32"/>
        </w:rPr>
        <w:t>补助</w:t>
      </w:r>
      <w:r>
        <w:rPr>
          <w:rFonts w:hint="eastAsia"/>
          <w:szCs w:val="32"/>
        </w:rPr>
        <w:t>分两年，</w:t>
      </w:r>
      <w:r>
        <w:rPr>
          <w:szCs w:val="32"/>
        </w:rPr>
        <w:t>其中第一年1200元/亩，第二年800元/亩。</w:t>
      </w:r>
      <w:r>
        <w:rPr>
          <w:rFonts w:hint="eastAsia"/>
          <w:szCs w:val="32"/>
        </w:rPr>
        <w:t>〔</w:t>
      </w:r>
      <w:r>
        <w:rPr>
          <w:szCs w:val="32"/>
        </w:rPr>
        <w:t>（牵头单位：县林业局，配合单位：县农业农村委、相关乡镇</w:t>
      </w:r>
      <w:r>
        <w:rPr>
          <w:rFonts w:hint="eastAsia"/>
          <w:szCs w:val="32"/>
        </w:rPr>
        <w:t>（</w:t>
      </w:r>
      <w:r>
        <w:rPr>
          <w:szCs w:val="32"/>
        </w:rPr>
        <w:t>街道）</w:t>
      </w:r>
      <w:r>
        <w:rPr>
          <w:rFonts w:hint="eastAsia"/>
          <w:szCs w:val="32"/>
        </w:rPr>
        <w:t>〕</w:t>
      </w:r>
    </w:p>
    <w:p w14:paraId="17086393">
      <w:pPr>
        <w:widowControl w:val="0"/>
        <w:ind w:firstLine="640" w:firstLineChars="200"/>
        <w:rPr>
          <w:szCs w:val="32"/>
        </w:rPr>
      </w:pPr>
      <w:r>
        <w:rPr>
          <w:rFonts w:hint="eastAsia" w:ascii="方正楷体_GBK" w:hAnsi="方正楷体_GBK" w:eastAsia="方正楷体_GBK" w:cs="方正楷体_GBK"/>
          <w:szCs w:val="32"/>
        </w:rPr>
        <w:t>（六）油茶粗、精加工项目建设。</w:t>
      </w:r>
      <w:r>
        <w:rPr>
          <w:szCs w:val="32"/>
        </w:rPr>
        <w:t>按照全县油茶资源分布，提级改造茶油精深加工生产线，建设油茶初加工厂和精加工厂，让全产业链条更加健全。加大招商引资力度，扶持油茶果烘干、脱壳和储藏等设施建设，在重点产区建立油茶收储服务网点，推行茶籽分级销售，协同做好油茶果（籽）收储服务，努力打通茶籽销售渠道。从2025年起，新改（扩）建油茶果储运初加工基地5个，其中日处理能力200吨鲜果加工基地3个，日处理能力50吨鲜果加工基地1个，日处理能力30吨鲜果加工基地1个，新建年加工能力4000吨茶油加工厂1个。投资预算控制在10376万元。项目实行先建后补，补助政策按照《秀山土家族苗族自治县人民政府办公室关于印发〈秀山自治县加快油茶产业高质量发展实施方案〉的通知》（秀山府办发〔2023〕23号）执行。</w:t>
      </w:r>
      <w:r>
        <w:rPr>
          <w:rFonts w:hint="eastAsia"/>
          <w:szCs w:val="32"/>
        </w:rPr>
        <w:t>〔</w:t>
      </w:r>
      <w:r>
        <w:rPr>
          <w:szCs w:val="32"/>
        </w:rPr>
        <w:t>牵头单位：</w:t>
      </w:r>
      <w:r>
        <w:rPr>
          <w:rFonts w:hint="eastAsia"/>
          <w:szCs w:val="32"/>
        </w:rPr>
        <w:t>县林业局</w:t>
      </w:r>
      <w:r>
        <w:rPr>
          <w:szCs w:val="32"/>
        </w:rPr>
        <w:t>，配合单位：</w:t>
      </w:r>
      <w:r>
        <w:rPr>
          <w:rFonts w:hint="eastAsia"/>
          <w:szCs w:val="32"/>
        </w:rPr>
        <w:t>县规划自然资源局</w:t>
      </w:r>
      <w:r>
        <w:rPr>
          <w:szCs w:val="32"/>
        </w:rPr>
        <w:t>、县农业农村委、县林业局、县投资促进中心，相关乡镇</w:t>
      </w:r>
      <w:r>
        <w:rPr>
          <w:rFonts w:hint="eastAsia"/>
          <w:szCs w:val="32"/>
        </w:rPr>
        <w:t>（</w:t>
      </w:r>
      <w:r>
        <w:rPr>
          <w:szCs w:val="32"/>
        </w:rPr>
        <w:t>街道）</w:t>
      </w:r>
      <w:r>
        <w:rPr>
          <w:rFonts w:hint="eastAsia"/>
          <w:szCs w:val="32"/>
        </w:rPr>
        <w:t>〕</w:t>
      </w:r>
    </w:p>
    <w:p w14:paraId="7E354DD0">
      <w:pPr>
        <w:widowControl w:val="0"/>
        <w:ind w:firstLine="640" w:firstLineChars="200"/>
        <w:rPr>
          <w:szCs w:val="32"/>
        </w:rPr>
      </w:pPr>
      <w:r>
        <w:rPr>
          <w:rFonts w:hint="eastAsia" w:ascii="方正楷体_GBK" w:hAnsi="方正楷体_GBK" w:eastAsia="方正楷体_GBK" w:cs="方正楷体_GBK"/>
          <w:szCs w:val="32"/>
        </w:rPr>
        <w:t>（七）品牌市场提升项目建设。</w:t>
      </w:r>
      <w:r>
        <w:rPr>
          <w:szCs w:val="32"/>
        </w:rPr>
        <w:t>加大油茶产品宣传力度，支持油茶公益广告投放，普及油茶知识，提高油茶产品的社会认知度。积极组织油茶企业参加各种产品展览、产品推介活动。从2025年起连续5年投入资金1750万元，用于品牌市场提升和油茶衍生品研发，每年新开发茶油新产品2种以上，不断</w:t>
      </w:r>
      <w:r>
        <w:rPr>
          <w:rFonts w:hint="eastAsia" w:ascii="方正仿宋_GBK" w:hAnsi="方正仿宋_GBK" w:cs="方正仿宋_GBK"/>
          <w:szCs w:val="32"/>
        </w:rPr>
        <w:t>壮大“秀山山茶油”产品体系。依托原四川省吏目油科所，建成秀山山茶油文化展</w:t>
      </w:r>
      <w:r>
        <w:rPr>
          <w:szCs w:val="32"/>
        </w:rPr>
        <w:t>示中心，完善秀山山茶油品牌体系，强化产品质量监管，开展秀山山茶油地理标志和公共品牌创建，开展秀山山茶油品牌宣传和产品营销活动，建立秀山山茶油体验店2个，秀山山茶油主题餐厅1个。依托陆海新通道、秀山电商平台开展营销，与商超、酒店、</w:t>
      </w:r>
      <w:r>
        <w:rPr>
          <w:rFonts w:hint="eastAsia"/>
          <w:szCs w:val="32"/>
        </w:rPr>
        <w:t>餐饮等</w:t>
      </w:r>
      <w:r>
        <w:rPr>
          <w:szCs w:val="32"/>
        </w:rPr>
        <w:t>企业合作推广，建立线上线下销售渠道，拓宽秀山山茶油销售范围。</w:t>
      </w:r>
      <w:r>
        <w:rPr>
          <w:rFonts w:hint="eastAsia"/>
          <w:szCs w:val="32"/>
        </w:rPr>
        <w:t>〔</w:t>
      </w:r>
      <w:r>
        <w:rPr>
          <w:szCs w:val="32"/>
        </w:rPr>
        <w:t>牵头单位：</w:t>
      </w:r>
      <w:r>
        <w:rPr>
          <w:rFonts w:hint="eastAsia"/>
          <w:szCs w:val="32"/>
        </w:rPr>
        <w:t>县林业局</w:t>
      </w:r>
      <w:r>
        <w:rPr>
          <w:szCs w:val="32"/>
        </w:rPr>
        <w:t>，配合单位：县农业农村委、县商务委、县林业局、秀山高新区管委会、县融媒体中心</w:t>
      </w:r>
      <w:r>
        <w:rPr>
          <w:rFonts w:hint="eastAsia"/>
          <w:szCs w:val="32"/>
        </w:rPr>
        <w:t>、</w:t>
      </w:r>
      <w:r>
        <w:rPr>
          <w:szCs w:val="32"/>
        </w:rPr>
        <w:t>县通道经济发展中心，相关乡镇</w:t>
      </w:r>
      <w:r>
        <w:rPr>
          <w:rFonts w:hint="eastAsia"/>
          <w:szCs w:val="32"/>
        </w:rPr>
        <w:t>（</w:t>
      </w:r>
      <w:r>
        <w:rPr>
          <w:szCs w:val="32"/>
        </w:rPr>
        <w:t>街道）</w:t>
      </w:r>
      <w:r>
        <w:rPr>
          <w:rFonts w:hint="eastAsia"/>
          <w:szCs w:val="32"/>
        </w:rPr>
        <w:t>〕</w:t>
      </w:r>
    </w:p>
    <w:p w14:paraId="26EF3304">
      <w:pPr>
        <w:widowControl w:val="0"/>
        <w:ind w:firstLine="640" w:firstLineChars="200"/>
        <w:rPr>
          <w:szCs w:val="32"/>
        </w:rPr>
      </w:pPr>
      <w:r>
        <w:rPr>
          <w:rFonts w:hint="eastAsia" w:ascii="方正楷体_GBK" w:hAnsi="方正楷体_GBK" w:eastAsia="方正楷体_GBK" w:cs="方正楷体_GBK"/>
          <w:szCs w:val="32"/>
        </w:rPr>
        <w:t>（八）油茶科创高地建设。</w:t>
      </w:r>
      <w:r>
        <w:rPr>
          <w:szCs w:val="32"/>
        </w:rPr>
        <w:t>依托重庆油茶研发中心，完善</w:t>
      </w:r>
      <w:r>
        <w:rPr>
          <w:rFonts w:hint="eastAsia"/>
          <w:szCs w:val="32"/>
        </w:rPr>
        <w:t>“</w:t>
      </w:r>
      <w:r>
        <w:rPr>
          <w:szCs w:val="32"/>
        </w:rPr>
        <w:t>国家+市+县</w:t>
      </w:r>
      <w:r>
        <w:rPr>
          <w:rFonts w:hint="eastAsia"/>
          <w:szCs w:val="32"/>
        </w:rPr>
        <w:t>”</w:t>
      </w:r>
      <w:r>
        <w:rPr>
          <w:szCs w:val="32"/>
        </w:rPr>
        <w:t>科技帮扶机制，吸纳武陵山区地域性专家，组建大武陵山区油茶全产业链专家顾问团。投入345万元，用于实施油茶良种筛选及区域试验示范、油茶丰产栽培技术集成与示范、油茶宜机化栽植技术示范、秀山山茶油地方性标准、秀山山茶油衍生品研发、油茶技术推广服务体系完善等科技创新项目，实现从种苗繁育、栽培种植、茶油加工、产品研发、文旅科创等全产业链科技成果研发和转化，开展</w:t>
      </w:r>
      <w:r>
        <w:rPr>
          <w:rFonts w:hint="eastAsia"/>
          <w:szCs w:val="32"/>
        </w:rPr>
        <w:t>“</w:t>
      </w:r>
      <w:r>
        <w:rPr>
          <w:szCs w:val="32"/>
        </w:rPr>
        <w:t>专家送课到山间</w:t>
      </w:r>
      <w:r>
        <w:rPr>
          <w:rFonts w:hint="eastAsia"/>
          <w:szCs w:val="32"/>
        </w:rPr>
        <w:t>”</w:t>
      </w:r>
      <w:r>
        <w:rPr>
          <w:szCs w:val="32"/>
        </w:rPr>
        <w:t>、种养能手评比、油茶技术培训等活动，培育一批、提升一批油茶本土人才，奋力打造武陵山区油茶科创高地。</w:t>
      </w:r>
      <w:r>
        <w:rPr>
          <w:rFonts w:hint="eastAsia"/>
          <w:szCs w:val="32"/>
        </w:rPr>
        <w:t>〔</w:t>
      </w:r>
      <w:r>
        <w:rPr>
          <w:szCs w:val="32"/>
        </w:rPr>
        <w:t>牵头单位：县林业局，配合单位：县农业农村委、县市场监管局</w:t>
      </w:r>
      <w:r>
        <w:rPr>
          <w:rFonts w:hint="eastAsia"/>
          <w:szCs w:val="32"/>
        </w:rPr>
        <w:t>、</w:t>
      </w:r>
      <w:r>
        <w:rPr>
          <w:szCs w:val="32"/>
        </w:rPr>
        <w:t>秀山高新区管委会，相关乡镇</w:t>
      </w:r>
      <w:r>
        <w:rPr>
          <w:rFonts w:hint="eastAsia"/>
          <w:szCs w:val="32"/>
        </w:rPr>
        <w:t>（</w:t>
      </w:r>
      <w:r>
        <w:rPr>
          <w:szCs w:val="32"/>
        </w:rPr>
        <w:t>街道）</w:t>
      </w:r>
      <w:r>
        <w:rPr>
          <w:rFonts w:hint="eastAsia"/>
          <w:szCs w:val="32"/>
        </w:rPr>
        <w:t>〕</w:t>
      </w:r>
    </w:p>
    <w:p w14:paraId="673F83CB">
      <w:pPr>
        <w:pStyle w:val="11"/>
        <w:spacing w:before="0" w:beforeAutospacing="0" w:after="0" w:afterAutospacing="0"/>
        <w:ind w:firstLine="640" w:firstLineChars="200"/>
        <w:jc w:val="both"/>
        <w:rPr>
          <w:rFonts w:eastAsia="方正黑体_GBK" w:cs="Times New Roman"/>
          <w:sz w:val="32"/>
          <w:szCs w:val="32"/>
        </w:rPr>
      </w:pPr>
      <w:r>
        <w:rPr>
          <w:rFonts w:eastAsia="方正黑体_GBK" w:cs="Times New Roman"/>
          <w:sz w:val="32"/>
          <w:szCs w:val="32"/>
        </w:rPr>
        <w:t>三、工作步骤</w:t>
      </w:r>
    </w:p>
    <w:p w14:paraId="279E6B67">
      <w:pPr>
        <w:widowControl w:val="0"/>
        <w:ind w:firstLine="640" w:firstLineChars="200"/>
        <w:rPr>
          <w:szCs w:val="32"/>
        </w:rPr>
      </w:pPr>
      <w:r>
        <w:rPr>
          <w:szCs w:val="32"/>
        </w:rPr>
        <w:t>第一阶段：前期准备工作</w:t>
      </w:r>
    </w:p>
    <w:p w14:paraId="1BE088EC">
      <w:pPr>
        <w:widowControl w:val="0"/>
        <w:ind w:firstLine="640" w:firstLineChars="200"/>
        <w:rPr>
          <w:szCs w:val="32"/>
        </w:rPr>
      </w:pPr>
      <w:r>
        <w:rPr>
          <w:rFonts w:eastAsia="方正楷体_GBK"/>
          <w:szCs w:val="32"/>
        </w:rPr>
        <w:t>（一）落实地块。</w:t>
      </w:r>
      <w:r>
        <w:rPr>
          <w:szCs w:val="32"/>
        </w:rPr>
        <w:t>项目区按照不占耕地、不占生态红线、不占自然保护地、不占已实施项目等要求具体负责落实地块，从低产低效林地、商品林地、低效园地、疏林地、灌木林地、因灾受损林地、地方公益林地、采伐火烧迹地、油茶马尾松混交林地等落实适宜种植油茶的地块4万亩、低效林0.2万亩、水肥一体化1.9318万亩、油茶+黄精</w:t>
      </w:r>
      <w:r>
        <w:rPr>
          <w:rFonts w:hint="eastAsia"/>
          <w:szCs w:val="32"/>
        </w:rPr>
        <w:t>套种0.2</w:t>
      </w:r>
      <w:r>
        <w:rPr>
          <w:szCs w:val="32"/>
        </w:rPr>
        <w:t>万亩。每个地块要相对集中连片，面积原则上不低于50亩，单个业主实施面积原则上不超过500亩。</w:t>
      </w:r>
      <w:r>
        <w:rPr>
          <w:rFonts w:hint="eastAsia"/>
          <w:szCs w:val="32"/>
        </w:rPr>
        <w:t>〔</w:t>
      </w:r>
      <w:r>
        <w:rPr>
          <w:szCs w:val="32"/>
        </w:rPr>
        <w:t>牵头单位：县林业局，配合单位：</w:t>
      </w:r>
      <w:r>
        <w:rPr>
          <w:rFonts w:hint="eastAsia"/>
          <w:szCs w:val="32"/>
        </w:rPr>
        <w:t>县规划自然资源局</w:t>
      </w:r>
      <w:r>
        <w:rPr>
          <w:szCs w:val="32"/>
        </w:rPr>
        <w:t>，相关乡镇</w:t>
      </w:r>
      <w:r>
        <w:rPr>
          <w:rFonts w:hint="eastAsia"/>
          <w:szCs w:val="32"/>
        </w:rPr>
        <w:t>（</w:t>
      </w:r>
      <w:r>
        <w:rPr>
          <w:szCs w:val="32"/>
        </w:rPr>
        <w:t>街道）</w:t>
      </w:r>
      <w:r>
        <w:rPr>
          <w:rFonts w:hint="eastAsia"/>
          <w:szCs w:val="32"/>
        </w:rPr>
        <w:t>〕</w:t>
      </w:r>
    </w:p>
    <w:p w14:paraId="35AA5E8D">
      <w:pPr>
        <w:widowControl w:val="0"/>
        <w:ind w:firstLine="640" w:firstLineChars="200"/>
        <w:rPr>
          <w:szCs w:val="32"/>
        </w:rPr>
      </w:pPr>
      <w:r>
        <w:rPr>
          <w:rFonts w:eastAsia="方正楷体_GBK"/>
          <w:szCs w:val="32"/>
        </w:rPr>
        <w:t>（二）作业设计。</w:t>
      </w:r>
      <w:r>
        <w:rPr>
          <w:szCs w:val="32"/>
        </w:rPr>
        <w:t>由县林业局</w:t>
      </w:r>
      <w:r>
        <w:rPr>
          <w:rFonts w:hint="eastAsia"/>
          <w:szCs w:val="32"/>
        </w:rPr>
        <w:t>按照项目年度实施内容，委托</w:t>
      </w:r>
      <w:r>
        <w:rPr>
          <w:szCs w:val="32"/>
        </w:rPr>
        <w:t>第三方</w:t>
      </w:r>
      <w:r>
        <w:rPr>
          <w:rFonts w:hint="eastAsia"/>
          <w:szCs w:val="32"/>
        </w:rPr>
        <w:t>机构</w:t>
      </w:r>
      <w:r>
        <w:rPr>
          <w:szCs w:val="32"/>
        </w:rPr>
        <w:t>编制</w:t>
      </w:r>
      <w:r>
        <w:rPr>
          <w:rFonts w:hint="eastAsia"/>
          <w:szCs w:val="32"/>
        </w:rPr>
        <w:t>项目</w:t>
      </w:r>
      <w:r>
        <w:rPr>
          <w:szCs w:val="32"/>
        </w:rPr>
        <w:t>作业设计，作业设计一经批复不得随意变更，因特殊情况确需调整的，</w:t>
      </w:r>
      <w:r>
        <w:rPr>
          <w:rFonts w:hint="eastAsia"/>
          <w:szCs w:val="32"/>
        </w:rPr>
        <w:t>应</w:t>
      </w:r>
      <w:r>
        <w:rPr>
          <w:szCs w:val="32"/>
        </w:rPr>
        <w:t>及时报原审批部门同意。</w:t>
      </w:r>
      <w:r>
        <w:rPr>
          <w:rFonts w:hint="eastAsia"/>
          <w:szCs w:val="32"/>
        </w:rPr>
        <w:t>〔</w:t>
      </w:r>
      <w:r>
        <w:rPr>
          <w:szCs w:val="32"/>
        </w:rPr>
        <w:t>牵头单位：县林业局，配合单位：相关乡镇</w:t>
      </w:r>
      <w:r>
        <w:rPr>
          <w:rFonts w:hint="eastAsia"/>
          <w:szCs w:val="32"/>
        </w:rPr>
        <w:t>（</w:t>
      </w:r>
      <w:r>
        <w:rPr>
          <w:szCs w:val="32"/>
        </w:rPr>
        <w:t>街道）</w:t>
      </w:r>
      <w:r>
        <w:rPr>
          <w:rFonts w:hint="eastAsia"/>
          <w:szCs w:val="32"/>
        </w:rPr>
        <w:t>〕</w:t>
      </w:r>
    </w:p>
    <w:p w14:paraId="2A948059">
      <w:pPr>
        <w:widowControl w:val="0"/>
        <w:ind w:firstLine="640" w:firstLineChars="200"/>
        <w:rPr>
          <w:rFonts w:eastAsia="方正楷体_GBK"/>
          <w:szCs w:val="32"/>
        </w:rPr>
      </w:pPr>
      <w:r>
        <w:rPr>
          <w:rFonts w:eastAsia="方正楷体_GBK"/>
          <w:szCs w:val="32"/>
        </w:rPr>
        <w:t>（三）建营主体。</w:t>
      </w:r>
    </w:p>
    <w:p w14:paraId="678B9AB7">
      <w:pPr>
        <w:widowControl w:val="0"/>
        <w:ind w:firstLine="640" w:firstLineChars="200"/>
        <w:rPr>
          <w:szCs w:val="32"/>
        </w:rPr>
      </w:pPr>
      <w:r>
        <w:rPr>
          <w:rFonts w:hint="eastAsia"/>
          <w:szCs w:val="32"/>
        </w:rPr>
        <w:t>1.根据《重庆武陵山区2025年中央财政油茶产业发展示范奖补项目实施方案》，县人民政府为该项目的建设主体，县林业局受委托为实际建设业主，由县林业局通过政府公开采购方式确定项目建设实施单位，项目建设实施单位按照项目年度作业设计具体实施。</w:t>
      </w:r>
      <w:r>
        <w:rPr>
          <w:szCs w:val="32"/>
        </w:rPr>
        <w:t>新造、低效林改造项目要严格按照《秀山县油茶高产示范片种植技术要点（试行）》，务必达到高产示范基地标准。水肥一体化</w:t>
      </w:r>
      <w:r>
        <w:rPr>
          <w:rFonts w:hint="eastAsia" w:ascii="方正仿宋_GBK" w:hAnsi="方正仿宋_GBK" w:cs="方正仿宋_GBK"/>
          <w:szCs w:val="32"/>
        </w:rPr>
        <w:t>要围绕“建得起、用得起、效果好”三个目标，建立起“业主方+建设方+施工方+使用方”权责利联系机制</w:t>
      </w:r>
      <w:r>
        <w:rPr>
          <w:szCs w:val="32"/>
        </w:rPr>
        <w:t>，保障项目建设高效、运行顺畅、作用明显。</w:t>
      </w:r>
      <w:r>
        <w:rPr>
          <w:rFonts w:hint="eastAsia"/>
          <w:szCs w:val="32"/>
        </w:rPr>
        <w:t>〔</w:t>
      </w:r>
      <w:r>
        <w:rPr>
          <w:szCs w:val="32"/>
        </w:rPr>
        <w:t>牵头单位：县林业局，配合单位：</w:t>
      </w:r>
      <w:r>
        <w:rPr>
          <w:rFonts w:hint="eastAsia"/>
          <w:szCs w:val="32"/>
        </w:rPr>
        <w:t>县财政局</w:t>
      </w:r>
      <w:r>
        <w:rPr>
          <w:szCs w:val="32"/>
        </w:rPr>
        <w:t>、相关乡镇</w:t>
      </w:r>
      <w:r>
        <w:rPr>
          <w:rFonts w:hint="eastAsia"/>
          <w:szCs w:val="32"/>
        </w:rPr>
        <w:t>（</w:t>
      </w:r>
      <w:r>
        <w:rPr>
          <w:szCs w:val="32"/>
        </w:rPr>
        <w:t>街道）</w:t>
      </w:r>
      <w:r>
        <w:rPr>
          <w:rFonts w:hint="eastAsia"/>
          <w:szCs w:val="32"/>
        </w:rPr>
        <w:t>〕</w:t>
      </w:r>
    </w:p>
    <w:p w14:paraId="3FFB7623">
      <w:pPr>
        <w:pStyle w:val="11"/>
        <w:spacing w:before="0" w:beforeAutospacing="0" w:after="0" w:afterAutospacing="0"/>
        <w:ind w:firstLine="640" w:firstLineChars="200"/>
        <w:jc w:val="both"/>
        <w:rPr>
          <w:rFonts w:cs="Times New Roman"/>
          <w:sz w:val="32"/>
          <w:szCs w:val="32"/>
        </w:rPr>
      </w:pPr>
      <w:r>
        <w:rPr>
          <w:rFonts w:hint="eastAsia" w:cs="Times New Roman"/>
          <w:sz w:val="32"/>
          <w:szCs w:val="32"/>
        </w:rPr>
        <w:t>2.</w:t>
      </w:r>
      <w:r>
        <w:rPr>
          <w:rFonts w:cs="Times New Roman"/>
          <w:sz w:val="32"/>
          <w:szCs w:val="32"/>
        </w:rPr>
        <w:t>加强</w:t>
      </w:r>
      <w:r>
        <w:rPr>
          <w:rFonts w:hint="eastAsia" w:cs="Times New Roman"/>
          <w:sz w:val="32"/>
          <w:szCs w:val="32"/>
        </w:rPr>
        <w:t>项目建设</w:t>
      </w:r>
      <w:r>
        <w:rPr>
          <w:rFonts w:cs="Times New Roman"/>
          <w:sz w:val="32"/>
          <w:szCs w:val="32"/>
        </w:rPr>
        <w:t>基础保障。县林业局要对照奖补项目用地要求，深入摸排宜林地资源，充分衔接国土空间规划，建立用地储备库，并严格审核地类情况，确保用地符合自然保护地和</w:t>
      </w:r>
      <w:r>
        <w:rPr>
          <w:rFonts w:hint="eastAsia" w:cs="Times New Roman"/>
          <w:sz w:val="32"/>
          <w:szCs w:val="32"/>
        </w:rPr>
        <w:t>“</w:t>
      </w:r>
      <w:r>
        <w:rPr>
          <w:rFonts w:cs="Times New Roman"/>
          <w:sz w:val="32"/>
          <w:szCs w:val="32"/>
        </w:rPr>
        <w:t>三区三线</w:t>
      </w:r>
      <w:r>
        <w:rPr>
          <w:rFonts w:hint="eastAsia" w:cs="Times New Roman"/>
          <w:sz w:val="32"/>
          <w:szCs w:val="32"/>
        </w:rPr>
        <w:t>”</w:t>
      </w:r>
      <w:r>
        <w:rPr>
          <w:rFonts w:cs="Times New Roman"/>
          <w:sz w:val="32"/>
          <w:szCs w:val="32"/>
        </w:rPr>
        <w:t>等管控要求，且不与已列入其他中央财政资金支持的项目地块重叠。对纳入项目建设储备库的地块，由县林业局、县规划自然资源部门联合预审，对纳入项目建设范围的油茶林道路、管护用房等基础设施建设进行审批，对涉及林木采伐的，保障采伐指标并办理采伐审批手续。县水利局要支持符合纳入小型水利设施补贴范围的油茶基地内配套水利设施建设。县</w:t>
      </w:r>
      <w:r>
        <w:rPr>
          <w:rFonts w:hint="eastAsia" w:cs="Times New Roman"/>
          <w:sz w:val="32"/>
          <w:szCs w:val="32"/>
        </w:rPr>
        <w:t>交通运输</w:t>
      </w:r>
      <w:r>
        <w:rPr>
          <w:rFonts w:cs="Times New Roman"/>
          <w:sz w:val="32"/>
          <w:szCs w:val="32"/>
        </w:rPr>
        <w:t>委要积极配合解决油茶基地道路修建</w:t>
      </w:r>
      <w:r>
        <w:rPr>
          <w:rFonts w:hint="eastAsia" w:cs="Times New Roman"/>
          <w:sz w:val="32"/>
          <w:szCs w:val="32"/>
        </w:rPr>
        <w:t>。</w:t>
      </w:r>
      <w:r>
        <w:rPr>
          <w:rFonts w:cs="Times New Roman"/>
          <w:sz w:val="32"/>
          <w:szCs w:val="32"/>
        </w:rPr>
        <w:t>县市场监管局要积极配合茶油地方标准、地理标志、公共品牌等创建和茶油检验检测</w:t>
      </w:r>
      <w:r>
        <w:rPr>
          <w:rFonts w:hint="eastAsia" w:cs="Times New Roman"/>
          <w:sz w:val="32"/>
          <w:szCs w:val="32"/>
        </w:rPr>
        <w:t>。</w:t>
      </w:r>
      <w:r>
        <w:rPr>
          <w:rFonts w:cs="Times New Roman"/>
          <w:sz w:val="32"/>
          <w:szCs w:val="32"/>
        </w:rPr>
        <w:t>县委宣传部、县公安局要做好油茶造林砍伐可能要出现的网络舆情和盗伐案件查处</w:t>
      </w:r>
      <w:r>
        <w:rPr>
          <w:rFonts w:hint="eastAsia" w:cs="Times New Roman"/>
          <w:sz w:val="32"/>
          <w:szCs w:val="32"/>
        </w:rPr>
        <w:t>。</w:t>
      </w:r>
      <w:r>
        <w:rPr>
          <w:rFonts w:cs="Times New Roman"/>
          <w:sz w:val="32"/>
          <w:szCs w:val="32"/>
        </w:rPr>
        <w:t>县林改办发挥县林改专班作用，鼓励引导油茶林规范流转，发展适度规模经营。</w:t>
      </w:r>
      <w:r>
        <w:rPr>
          <w:rFonts w:hint="eastAsia" w:cs="Times New Roman"/>
          <w:sz w:val="32"/>
          <w:szCs w:val="32"/>
        </w:rPr>
        <w:t>〔</w:t>
      </w:r>
      <w:r>
        <w:rPr>
          <w:rFonts w:cs="Times New Roman"/>
          <w:sz w:val="32"/>
          <w:szCs w:val="32"/>
        </w:rPr>
        <w:t>牵头单位：县林业局，配合单位：县委宣传部、县公安局</w:t>
      </w:r>
      <w:r>
        <w:rPr>
          <w:rFonts w:hint="eastAsia" w:cs="Times New Roman"/>
          <w:sz w:val="32"/>
          <w:szCs w:val="32"/>
        </w:rPr>
        <w:t>、</w:t>
      </w:r>
      <w:r>
        <w:rPr>
          <w:rFonts w:cs="Times New Roman"/>
          <w:sz w:val="32"/>
          <w:szCs w:val="32"/>
        </w:rPr>
        <w:t>县规划自然资源</w:t>
      </w:r>
      <w:r>
        <w:rPr>
          <w:rFonts w:hint="eastAsia" w:cs="Times New Roman"/>
          <w:sz w:val="32"/>
          <w:szCs w:val="32"/>
        </w:rPr>
        <w:t>局</w:t>
      </w:r>
      <w:r>
        <w:rPr>
          <w:rFonts w:cs="Times New Roman"/>
          <w:sz w:val="32"/>
          <w:szCs w:val="32"/>
        </w:rPr>
        <w:t>、县</w:t>
      </w:r>
      <w:r>
        <w:rPr>
          <w:rFonts w:hint="eastAsia" w:cs="Times New Roman"/>
          <w:sz w:val="32"/>
          <w:szCs w:val="32"/>
        </w:rPr>
        <w:t>交通运输</w:t>
      </w:r>
      <w:r>
        <w:rPr>
          <w:rFonts w:cs="Times New Roman"/>
          <w:sz w:val="32"/>
          <w:szCs w:val="32"/>
        </w:rPr>
        <w:t>委、县水利局、县市场监管局，相关乡镇</w:t>
      </w:r>
      <w:r>
        <w:rPr>
          <w:rFonts w:hint="eastAsia" w:cs="Times New Roman"/>
          <w:sz w:val="32"/>
          <w:szCs w:val="32"/>
        </w:rPr>
        <w:t>（</w:t>
      </w:r>
      <w:r>
        <w:rPr>
          <w:rFonts w:cs="Times New Roman"/>
          <w:sz w:val="32"/>
          <w:szCs w:val="32"/>
        </w:rPr>
        <w:t>街道）</w:t>
      </w:r>
      <w:r>
        <w:rPr>
          <w:rFonts w:hint="eastAsia" w:cs="Times New Roman"/>
          <w:sz w:val="32"/>
          <w:szCs w:val="32"/>
        </w:rPr>
        <w:t>〕</w:t>
      </w:r>
    </w:p>
    <w:p w14:paraId="706C1B96">
      <w:pPr>
        <w:widowControl w:val="0"/>
        <w:ind w:firstLine="640" w:firstLineChars="200"/>
        <w:rPr>
          <w:rFonts w:ascii="方正楷体_GBK" w:hAnsi="方正楷体_GBK" w:eastAsia="方正楷体_GBK" w:cs="方正楷体_GBK"/>
          <w:szCs w:val="32"/>
        </w:rPr>
      </w:pPr>
      <w:r>
        <w:rPr>
          <w:rFonts w:hint="eastAsia" w:ascii="方正楷体_GBK" w:hAnsi="方正楷体_GBK" w:eastAsia="方正楷体_GBK" w:cs="方正楷体_GBK"/>
          <w:szCs w:val="32"/>
        </w:rPr>
        <w:t>第二阶段：项目推进实施</w:t>
      </w:r>
    </w:p>
    <w:p w14:paraId="04304E53">
      <w:pPr>
        <w:widowControl w:val="0"/>
        <w:numPr>
          <w:ilvl w:val="0"/>
          <w:numId w:val="2"/>
        </w:numPr>
        <w:ind w:firstLine="640" w:firstLineChars="200"/>
        <w:rPr>
          <w:szCs w:val="32"/>
        </w:rPr>
      </w:pPr>
      <w:r>
        <w:rPr>
          <w:rFonts w:hint="eastAsia" w:ascii="方正楷体_GBK" w:hAnsi="方正楷体_GBK" w:eastAsia="方正楷体_GBK" w:cs="方正楷体_GBK"/>
          <w:szCs w:val="32"/>
        </w:rPr>
        <w:t>项目实施。</w:t>
      </w:r>
      <w:r>
        <w:rPr>
          <w:szCs w:val="32"/>
        </w:rPr>
        <w:t>项目按照奖补项目年度任务分年度实施。种植类项目（含低改、套种）：必须保证当年</w:t>
      </w:r>
      <w:r>
        <w:rPr>
          <w:rFonts w:hint="eastAsia"/>
          <w:szCs w:val="32"/>
        </w:rPr>
        <w:t>7</w:t>
      </w:r>
      <w:r>
        <w:rPr>
          <w:szCs w:val="32"/>
        </w:rPr>
        <w:t>月</w:t>
      </w:r>
      <w:r>
        <w:rPr>
          <w:rFonts w:hint="eastAsia"/>
          <w:szCs w:val="32"/>
        </w:rPr>
        <w:t>中旬</w:t>
      </w:r>
      <w:r>
        <w:rPr>
          <w:szCs w:val="32"/>
        </w:rPr>
        <w:t>完成作业设计，</w:t>
      </w:r>
      <w:r>
        <w:rPr>
          <w:rFonts w:hint="eastAsia"/>
          <w:szCs w:val="32"/>
        </w:rPr>
        <w:t>11</w:t>
      </w:r>
      <w:r>
        <w:rPr>
          <w:szCs w:val="32"/>
        </w:rPr>
        <w:t>月底前完成清林、整地打窝、施基肥、苗木采购等准备工作，12月底前</w:t>
      </w:r>
      <w:r>
        <w:rPr>
          <w:rFonts w:hint="eastAsia"/>
          <w:szCs w:val="32"/>
        </w:rPr>
        <w:t>最迟</w:t>
      </w:r>
      <w:r>
        <w:rPr>
          <w:szCs w:val="32"/>
        </w:rPr>
        <w:t>不超过次年3月底完成全面栽植。水肥一体化项目：必须8月底之前开展</w:t>
      </w:r>
      <w:r>
        <w:rPr>
          <w:rFonts w:hint="eastAsia"/>
          <w:szCs w:val="32"/>
        </w:rPr>
        <w:t>作业设计，9月启动</w:t>
      </w:r>
      <w:r>
        <w:rPr>
          <w:szCs w:val="32"/>
        </w:rPr>
        <w:t>年度任务建设，12月底之前完成项目实施。加工、品牌、科技类项目：按照奖补项目年度任务建设主体实施方案进行。</w:t>
      </w:r>
      <w:r>
        <w:rPr>
          <w:rFonts w:hint="eastAsia"/>
          <w:szCs w:val="32"/>
        </w:rPr>
        <w:t>〔</w:t>
      </w:r>
      <w:r>
        <w:rPr>
          <w:szCs w:val="32"/>
        </w:rPr>
        <w:t>牵头单位：县林业局，配合单位：</w:t>
      </w:r>
      <w:r>
        <w:rPr>
          <w:rFonts w:hint="eastAsia"/>
          <w:szCs w:val="32"/>
        </w:rPr>
        <w:t>县发展改革委</w:t>
      </w:r>
      <w:r>
        <w:rPr>
          <w:szCs w:val="32"/>
        </w:rPr>
        <w:t>、县农业农村委，相关乡镇</w:t>
      </w:r>
      <w:r>
        <w:rPr>
          <w:rFonts w:hint="eastAsia"/>
          <w:szCs w:val="32"/>
        </w:rPr>
        <w:t>（</w:t>
      </w:r>
      <w:r>
        <w:rPr>
          <w:szCs w:val="32"/>
        </w:rPr>
        <w:t>街道）</w:t>
      </w:r>
      <w:r>
        <w:rPr>
          <w:rFonts w:hint="eastAsia"/>
          <w:szCs w:val="32"/>
        </w:rPr>
        <w:t>〕</w:t>
      </w:r>
    </w:p>
    <w:p w14:paraId="59374C72">
      <w:pPr>
        <w:widowControl w:val="0"/>
        <w:ind w:firstLine="640" w:firstLineChars="200"/>
        <w:rPr>
          <w:szCs w:val="32"/>
        </w:rPr>
      </w:pPr>
      <w:r>
        <w:rPr>
          <w:rFonts w:hint="eastAsia" w:ascii="方正楷体_GBK" w:hAnsi="方正楷体_GBK" w:eastAsia="方正楷体_GBK" w:cs="方正楷体_GBK"/>
          <w:szCs w:val="32"/>
        </w:rPr>
        <w:t>（二）监管施工。</w:t>
      </w:r>
      <w:r>
        <w:rPr>
          <w:szCs w:val="32"/>
        </w:rPr>
        <w:t>县林业局整合我县油茶产业专家顾问团和县奖补项目专班分别组建技术质量指导监督组，负责督导建营主体和种植主体，严格按作业设计和技术方案、苗木质量管理方案等要求施工，确保按时序高质量完成相应建设目标任务。</w:t>
      </w:r>
      <w:r>
        <w:rPr>
          <w:rFonts w:hint="eastAsia"/>
          <w:szCs w:val="32"/>
        </w:rPr>
        <w:t>〔</w:t>
      </w:r>
      <w:r>
        <w:rPr>
          <w:szCs w:val="32"/>
        </w:rPr>
        <w:t>牵头单位：县林业局，配合单位：相关乡镇</w:t>
      </w:r>
      <w:r>
        <w:rPr>
          <w:rFonts w:hint="eastAsia"/>
          <w:szCs w:val="32"/>
        </w:rPr>
        <w:t>（</w:t>
      </w:r>
      <w:r>
        <w:rPr>
          <w:szCs w:val="32"/>
        </w:rPr>
        <w:t>街道）</w:t>
      </w:r>
      <w:r>
        <w:rPr>
          <w:rFonts w:hint="eastAsia"/>
          <w:szCs w:val="32"/>
        </w:rPr>
        <w:t>〕</w:t>
      </w:r>
    </w:p>
    <w:p w14:paraId="2E4DC69D">
      <w:pPr>
        <w:pStyle w:val="11"/>
        <w:spacing w:before="0" w:beforeAutospacing="0" w:after="0" w:afterAutospacing="0"/>
        <w:ind w:firstLine="640" w:firstLineChars="200"/>
        <w:jc w:val="both"/>
        <w:rPr>
          <w:rFonts w:cs="Times New Roman"/>
          <w:sz w:val="32"/>
          <w:szCs w:val="32"/>
        </w:rPr>
      </w:pPr>
      <w:r>
        <w:rPr>
          <w:rFonts w:eastAsia="方正楷体_GBK" w:cs="Times New Roman"/>
          <w:sz w:val="32"/>
          <w:szCs w:val="32"/>
        </w:rPr>
        <w:t>（三）社会投入。</w:t>
      </w:r>
      <w:r>
        <w:rPr>
          <w:rFonts w:cs="Times New Roman"/>
          <w:sz w:val="32"/>
          <w:szCs w:val="32"/>
        </w:rPr>
        <w:t>项目区要结合深化集体林权制度改革工作，负责开展土地经营权流转与林权纠纷调处等工作。</w:t>
      </w:r>
      <w:r>
        <w:rPr>
          <w:rFonts w:hint="eastAsia" w:cs="Times New Roman"/>
          <w:sz w:val="32"/>
          <w:szCs w:val="32"/>
        </w:rPr>
        <w:t>县规划自然资源局</w:t>
      </w:r>
      <w:r>
        <w:rPr>
          <w:rFonts w:cs="Times New Roman"/>
          <w:sz w:val="32"/>
          <w:szCs w:val="32"/>
        </w:rPr>
        <w:t>会同县林业局同步开展油茶项目建设用地的不动产登记工作。县林业局联合县财政局、</w:t>
      </w:r>
      <w:r>
        <w:rPr>
          <w:rFonts w:hint="eastAsia" w:cs="Times New Roman"/>
          <w:sz w:val="32"/>
          <w:szCs w:val="32"/>
        </w:rPr>
        <w:t>县国资金融服务中心</w:t>
      </w:r>
      <w:r>
        <w:rPr>
          <w:rFonts w:cs="Times New Roman"/>
          <w:sz w:val="32"/>
          <w:szCs w:val="32"/>
        </w:rPr>
        <w:t>、</w:t>
      </w:r>
      <w:r>
        <w:rPr>
          <w:rFonts w:hint="eastAsia" w:cs="Times New Roman"/>
          <w:sz w:val="32"/>
          <w:szCs w:val="32"/>
        </w:rPr>
        <w:t>人行秀山营业部</w:t>
      </w:r>
      <w:r>
        <w:rPr>
          <w:rFonts w:cs="Times New Roman"/>
          <w:sz w:val="32"/>
          <w:szCs w:val="32"/>
        </w:rPr>
        <w:t>研究制定油茶基地资产评估办法、规范、标准等，为经营权抵押、收益权质押融资贷款争取社会资本投入创造条件。</w:t>
      </w:r>
      <w:r>
        <w:rPr>
          <w:rFonts w:hint="eastAsia" w:cs="Times New Roman"/>
          <w:sz w:val="32"/>
          <w:szCs w:val="32"/>
        </w:rPr>
        <w:t>〔</w:t>
      </w:r>
      <w:r>
        <w:rPr>
          <w:rFonts w:cs="Times New Roman"/>
          <w:sz w:val="32"/>
          <w:szCs w:val="32"/>
        </w:rPr>
        <w:t>牵头单位：县林业局，配合单位：县财政局、</w:t>
      </w:r>
      <w:r>
        <w:rPr>
          <w:rFonts w:hint="eastAsia" w:cs="Times New Roman"/>
          <w:sz w:val="32"/>
          <w:szCs w:val="32"/>
        </w:rPr>
        <w:t>县规划自然资源局</w:t>
      </w:r>
      <w:r>
        <w:rPr>
          <w:rFonts w:cs="Times New Roman"/>
          <w:sz w:val="32"/>
          <w:szCs w:val="32"/>
        </w:rPr>
        <w:t>、</w:t>
      </w:r>
      <w:r>
        <w:rPr>
          <w:rFonts w:hint="eastAsia" w:cs="Times New Roman"/>
          <w:sz w:val="32"/>
          <w:szCs w:val="32"/>
        </w:rPr>
        <w:t>县国资金融服务中心</w:t>
      </w:r>
      <w:r>
        <w:rPr>
          <w:rFonts w:cs="Times New Roman"/>
          <w:sz w:val="32"/>
          <w:szCs w:val="32"/>
        </w:rPr>
        <w:t>、</w:t>
      </w:r>
      <w:r>
        <w:rPr>
          <w:rFonts w:hint="eastAsia" w:cs="Times New Roman"/>
          <w:sz w:val="32"/>
          <w:szCs w:val="32"/>
        </w:rPr>
        <w:t>人行秀山营管部</w:t>
      </w:r>
      <w:r>
        <w:rPr>
          <w:rFonts w:cs="Times New Roman"/>
          <w:sz w:val="32"/>
          <w:szCs w:val="32"/>
        </w:rPr>
        <w:t>、相关乡镇</w:t>
      </w:r>
      <w:r>
        <w:rPr>
          <w:rFonts w:hint="eastAsia" w:cs="Times New Roman"/>
          <w:sz w:val="32"/>
          <w:szCs w:val="32"/>
        </w:rPr>
        <w:t>（</w:t>
      </w:r>
      <w:r>
        <w:rPr>
          <w:rFonts w:cs="Times New Roman"/>
          <w:sz w:val="32"/>
          <w:szCs w:val="32"/>
        </w:rPr>
        <w:t>街道）</w:t>
      </w:r>
      <w:r>
        <w:rPr>
          <w:rFonts w:hint="eastAsia" w:cs="Times New Roman"/>
          <w:sz w:val="32"/>
          <w:szCs w:val="32"/>
        </w:rPr>
        <w:t>〕</w:t>
      </w:r>
    </w:p>
    <w:p w14:paraId="356A4D93">
      <w:pPr>
        <w:pStyle w:val="11"/>
        <w:spacing w:before="0" w:beforeAutospacing="0" w:after="0" w:afterAutospacing="0"/>
        <w:ind w:firstLine="640" w:firstLineChars="200"/>
        <w:jc w:val="both"/>
        <w:rPr>
          <w:rFonts w:cs="Times New Roman"/>
          <w:sz w:val="32"/>
          <w:szCs w:val="32"/>
        </w:rPr>
      </w:pPr>
      <w:r>
        <w:rPr>
          <w:rFonts w:eastAsia="方正楷体_GBK" w:cs="Times New Roman"/>
          <w:sz w:val="32"/>
          <w:szCs w:val="32"/>
        </w:rPr>
        <w:t>（四）油茶保险。</w:t>
      </w:r>
      <w:r>
        <w:rPr>
          <w:rFonts w:cs="Times New Roman"/>
          <w:sz w:val="32"/>
          <w:szCs w:val="32"/>
        </w:rPr>
        <w:t>按照</w:t>
      </w:r>
      <w:r>
        <w:rPr>
          <w:rFonts w:hint="eastAsia" w:cs="Times New Roman"/>
          <w:sz w:val="32"/>
          <w:szCs w:val="32"/>
        </w:rPr>
        <w:t>“</w:t>
      </w:r>
      <w:r>
        <w:rPr>
          <w:rFonts w:cs="Times New Roman"/>
          <w:sz w:val="32"/>
          <w:szCs w:val="32"/>
        </w:rPr>
        <w:t>政府引导、市场运作、自主自愿、协同推进</w:t>
      </w:r>
      <w:r>
        <w:rPr>
          <w:rFonts w:hint="eastAsia" w:cs="Times New Roman"/>
          <w:sz w:val="32"/>
          <w:szCs w:val="32"/>
        </w:rPr>
        <w:t>”</w:t>
      </w:r>
      <w:r>
        <w:rPr>
          <w:rFonts w:cs="Times New Roman"/>
          <w:sz w:val="32"/>
          <w:szCs w:val="32"/>
        </w:rPr>
        <w:t>原则，持续优化油茶基地灾害保险和油茶鲜果收益保险，纳入政策性农业保险，全力支持建营主体和种植主体等参保投保，实现保险全覆盖，有效促进产业持续、健康、稳定发展。</w:t>
      </w:r>
      <w:r>
        <w:rPr>
          <w:rFonts w:hint="eastAsia" w:cs="Times New Roman"/>
          <w:sz w:val="32"/>
          <w:szCs w:val="32"/>
        </w:rPr>
        <w:t>〔</w:t>
      </w:r>
      <w:r>
        <w:rPr>
          <w:rFonts w:cs="Times New Roman"/>
          <w:sz w:val="32"/>
          <w:szCs w:val="32"/>
        </w:rPr>
        <w:t>牵头单位：县林业局，配合单位：县财政局、</w:t>
      </w:r>
      <w:r>
        <w:rPr>
          <w:rFonts w:hint="eastAsia" w:cs="Times New Roman"/>
          <w:sz w:val="32"/>
          <w:szCs w:val="32"/>
        </w:rPr>
        <w:t>县规划自然资源局</w:t>
      </w:r>
      <w:r>
        <w:rPr>
          <w:rFonts w:cs="Times New Roman"/>
          <w:sz w:val="32"/>
          <w:szCs w:val="32"/>
        </w:rPr>
        <w:t>、</w:t>
      </w:r>
      <w:r>
        <w:rPr>
          <w:rFonts w:hint="eastAsia" w:cs="Times New Roman"/>
          <w:sz w:val="32"/>
          <w:szCs w:val="32"/>
        </w:rPr>
        <w:t>县国资金融服务中心</w:t>
      </w:r>
      <w:r>
        <w:rPr>
          <w:rFonts w:cs="Times New Roman"/>
          <w:sz w:val="32"/>
          <w:szCs w:val="32"/>
        </w:rPr>
        <w:t>、</w:t>
      </w:r>
      <w:r>
        <w:rPr>
          <w:rFonts w:hint="eastAsia" w:cs="Times New Roman"/>
          <w:sz w:val="32"/>
          <w:szCs w:val="32"/>
        </w:rPr>
        <w:t>人行秀山营管部</w:t>
      </w:r>
      <w:r>
        <w:rPr>
          <w:rFonts w:cs="Times New Roman"/>
          <w:sz w:val="32"/>
          <w:szCs w:val="32"/>
        </w:rPr>
        <w:t>，相关乡镇</w:t>
      </w:r>
      <w:r>
        <w:rPr>
          <w:rFonts w:hint="eastAsia" w:cs="Times New Roman"/>
          <w:sz w:val="32"/>
          <w:szCs w:val="32"/>
        </w:rPr>
        <w:t>（</w:t>
      </w:r>
      <w:r>
        <w:rPr>
          <w:rFonts w:cs="Times New Roman"/>
          <w:sz w:val="32"/>
          <w:szCs w:val="32"/>
        </w:rPr>
        <w:t>街道）</w:t>
      </w:r>
      <w:r>
        <w:rPr>
          <w:rFonts w:hint="eastAsia" w:cs="Times New Roman"/>
          <w:sz w:val="32"/>
          <w:szCs w:val="32"/>
        </w:rPr>
        <w:t>〕</w:t>
      </w:r>
    </w:p>
    <w:p w14:paraId="0D5444DC">
      <w:pPr>
        <w:pStyle w:val="11"/>
        <w:spacing w:before="0" w:beforeAutospacing="0" w:after="0" w:afterAutospacing="0"/>
        <w:ind w:firstLine="640" w:firstLineChars="200"/>
        <w:jc w:val="both"/>
        <w:rPr>
          <w:rFonts w:eastAsia="方正楷体_GBK" w:cs="Times New Roman"/>
          <w:sz w:val="32"/>
          <w:szCs w:val="32"/>
        </w:rPr>
      </w:pPr>
      <w:r>
        <w:rPr>
          <w:rFonts w:eastAsia="方正楷体_GBK" w:cs="Times New Roman"/>
          <w:sz w:val="32"/>
          <w:szCs w:val="32"/>
        </w:rPr>
        <w:t>第三阶段：资金拨付</w:t>
      </w:r>
    </w:p>
    <w:p w14:paraId="4CA787D2">
      <w:pPr>
        <w:pStyle w:val="11"/>
        <w:spacing w:before="0" w:beforeAutospacing="0" w:after="0" w:afterAutospacing="0"/>
        <w:ind w:firstLine="640" w:firstLineChars="200"/>
        <w:jc w:val="both"/>
        <w:rPr>
          <w:rFonts w:cs="Times New Roman"/>
          <w:sz w:val="32"/>
          <w:szCs w:val="32"/>
        </w:rPr>
      </w:pPr>
      <w:r>
        <w:rPr>
          <w:rFonts w:cs="Times New Roman"/>
          <w:sz w:val="32"/>
          <w:szCs w:val="32"/>
        </w:rPr>
        <w:t>按进度分期</w:t>
      </w:r>
      <w:r>
        <w:rPr>
          <w:rFonts w:hint="eastAsia" w:cs="Times New Roman"/>
          <w:sz w:val="32"/>
          <w:szCs w:val="32"/>
        </w:rPr>
        <w:t>下达预算</w:t>
      </w:r>
      <w:r>
        <w:rPr>
          <w:rFonts w:cs="Times New Roman"/>
          <w:sz w:val="32"/>
          <w:szCs w:val="32"/>
        </w:rPr>
        <w:t>资金</w:t>
      </w:r>
      <w:r>
        <w:rPr>
          <w:rFonts w:hint="eastAsia" w:cs="Times New Roman"/>
          <w:sz w:val="32"/>
          <w:szCs w:val="32"/>
        </w:rPr>
        <w:t>，</w:t>
      </w:r>
      <w:r>
        <w:rPr>
          <w:rFonts w:cs="Times New Roman"/>
          <w:sz w:val="32"/>
          <w:szCs w:val="32"/>
        </w:rPr>
        <w:t>年度任务下达后按照当年任务30%的比例</w:t>
      </w:r>
      <w:r>
        <w:rPr>
          <w:rFonts w:hint="eastAsia" w:cs="Times New Roman"/>
          <w:sz w:val="32"/>
          <w:szCs w:val="32"/>
        </w:rPr>
        <w:t>向项目建设实施单位</w:t>
      </w:r>
      <w:r>
        <w:rPr>
          <w:rFonts w:cs="Times New Roman"/>
          <w:sz w:val="32"/>
          <w:szCs w:val="32"/>
        </w:rPr>
        <w:t>下达</w:t>
      </w:r>
      <w:r>
        <w:rPr>
          <w:rFonts w:hint="eastAsia" w:cs="Times New Roman"/>
          <w:sz w:val="32"/>
          <w:szCs w:val="32"/>
        </w:rPr>
        <w:t>预算</w:t>
      </w:r>
      <w:r>
        <w:rPr>
          <w:rFonts w:cs="Times New Roman"/>
          <w:sz w:val="32"/>
          <w:szCs w:val="32"/>
        </w:rPr>
        <w:t>资金</w:t>
      </w:r>
      <w:r>
        <w:rPr>
          <w:rFonts w:hint="eastAsia" w:cs="Times New Roman"/>
          <w:sz w:val="32"/>
          <w:szCs w:val="32"/>
        </w:rPr>
        <w:t>（</w:t>
      </w:r>
      <w:r>
        <w:rPr>
          <w:rFonts w:cs="Times New Roman"/>
          <w:sz w:val="32"/>
          <w:szCs w:val="32"/>
        </w:rPr>
        <w:t>启动资金</w:t>
      </w:r>
      <w:r>
        <w:rPr>
          <w:rFonts w:hint="eastAsia" w:cs="Times New Roman"/>
          <w:sz w:val="32"/>
          <w:szCs w:val="32"/>
        </w:rPr>
        <w:t>）；</w:t>
      </w:r>
      <w:r>
        <w:rPr>
          <w:rFonts w:cs="Times New Roman"/>
          <w:sz w:val="32"/>
          <w:szCs w:val="32"/>
        </w:rPr>
        <w:t>年度任务完工后，经县林业局验收合格，下达年度任务剩余</w:t>
      </w:r>
      <w:r>
        <w:rPr>
          <w:rFonts w:hint="eastAsia" w:cs="Times New Roman"/>
          <w:sz w:val="32"/>
          <w:szCs w:val="32"/>
        </w:rPr>
        <w:t>预算</w:t>
      </w:r>
      <w:r>
        <w:rPr>
          <w:rFonts w:cs="Times New Roman"/>
          <w:sz w:val="32"/>
          <w:szCs w:val="32"/>
        </w:rPr>
        <w:t>资金。年度报账完成后，建营主体统一提供报账资料到县林业局审核，建营主体对提供的报账资料真实性负责。对符合支付条件的，由</w:t>
      </w:r>
      <w:r>
        <w:rPr>
          <w:rFonts w:hint="eastAsia" w:cs="Times New Roman"/>
          <w:sz w:val="32"/>
          <w:szCs w:val="32"/>
        </w:rPr>
        <w:t>项目建设实施单位、县林业局</w:t>
      </w:r>
      <w:r>
        <w:rPr>
          <w:rFonts w:cs="Times New Roman"/>
          <w:sz w:val="32"/>
          <w:szCs w:val="32"/>
        </w:rPr>
        <w:t>向县财政局申请资金</w:t>
      </w:r>
      <w:r>
        <w:rPr>
          <w:rFonts w:hint="eastAsia" w:cs="Times New Roman"/>
          <w:sz w:val="32"/>
          <w:szCs w:val="32"/>
        </w:rPr>
        <w:t>支付</w:t>
      </w:r>
      <w:r>
        <w:rPr>
          <w:rFonts w:cs="Times New Roman"/>
          <w:sz w:val="32"/>
          <w:szCs w:val="32"/>
        </w:rPr>
        <w:t>。县财政局要全力保障奖补项目资金安全，</w:t>
      </w:r>
      <w:r>
        <w:rPr>
          <w:rFonts w:hint="eastAsia" w:cs="Times New Roman"/>
          <w:sz w:val="32"/>
          <w:szCs w:val="32"/>
        </w:rPr>
        <w:t>按照国库集中支付制度及时支付资金，</w:t>
      </w:r>
      <w:r>
        <w:rPr>
          <w:rFonts w:cs="Times New Roman"/>
          <w:sz w:val="32"/>
          <w:szCs w:val="32"/>
        </w:rPr>
        <w:t>确保劳务人员工资及其他资金支付到位。</w:t>
      </w:r>
      <w:r>
        <w:rPr>
          <w:rFonts w:hint="eastAsia" w:cs="Times New Roman"/>
          <w:sz w:val="32"/>
          <w:szCs w:val="32"/>
        </w:rPr>
        <w:t>〔</w:t>
      </w:r>
      <w:r>
        <w:rPr>
          <w:rFonts w:cs="Times New Roman"/>
          <w:sz w:val="32"/>
          <w:szCs w:val="32"/>
        </w:rPr>
        <w:t>牵头单位：县财政局，配合单位：县林业局，相关乡镇</w:t>
      </w:r>
      <w:r>
        <w:rPr>
          <w:rFonts w:hint="eastAsia" w:cs="Times New Roman"/>
          <w:sz w:val="32"/>
          <w:szCs w:val="32"/>
        </w:rPr>
        <w:t>（</w:t>
      </w:r>
      <w:r>
        <w:rPr>
          <w:rFonts w:cs="Times New Roman"/>
          <w:sz w:val="32"/>
          <w:szCs w:val="32"/>
        </w:rPr>
        <w:t>街道）</w:t>
      </w:r>
      <w:r>
        <w:rPr>
          <w:rFonts w:hint="eastAsia" w:cs="Times New Roman"/>
          <w:sz w:val="32"/>
          <w:szCs w:val="32"/>
        </w:rPr>
        <w:t>〕</w:t>
      </w:r>
    </w:p>
    <w:p w14:paraId="285C83E7">
      <w:pPr>
        <w:pStyle w:val="11"/>
        <w:spacing w:before="0" w:beforeAutospacing="0" w:after="0" w:afterAutospacing="0"/>
        <w:ind w:firstLine="640" w:firstLineChars="200"/>
        <w:jc w:val="both"/>
        <w:rPr>
          <w:rFonts w:eastAsia="方正楷体_GBK" w:cs="Times New Roman"/>
          <w:sz w:val="32"/>
          <w:szCs w:val="32"/>
        </w:rPr>
      </w:pPr>
      <w:r>
        <w:rPr>
          <w:rFonts w:eastAsia="方正楷体_GBK" w:cs="Times New Roman"/>
          <w:sz w:val="32"/>
          <w:szCs w:val="32"/>
        </w:rPr>
        <w:t>第四阶段：项目验收</w:t>
      </w:r>
    </w:p>
    <w:p w14:paraId="5E59D8D0">
      <w:pPr>
        <w:pStyle w:val="11"/>
        <w:spacing w:before="0" w:beforeAutospacing="0" w:after="0" w:afterAutospacing="0"/>
        <w:ind w:firstLine="640" w:firstLineChars="200"/>
        <w:jc w:val="both"/>
        <w:rPr>
          <w:rFonts w:cs="Times New Roman"/>
          <w:sz w:val="32"/>
          <w:szCs w:val="32"/>
        </w:rPr>
      </w:pPr>
      <w:r>
        <w:rPr>
          <w:rFonts w:eastAsia="方正楷体_GBK" w:cs="Times New Roman"/>
          <w:sz w:val="32"/>
          <w:szCs w:val="32"/>
        </w:rPr>
        <w:t>（一）阶段验收。</w:t>
      </w:r>
      <w:r>
        <w:rPr>
          <w:rFonts w:cs="Times New Roman"/>
          <w:sz w:val="32"/>
          <w:szCs w:val="32"/>
        </w:rPr>
        <w:t>年度任务建设完成后，县林业局组织第三方机构对建设</w:t>
      </w:r>
      <w:r>
        <w:rPr>
          <w:rFonts w:hint="eastAsia" w:ascii="方正仿宋_GBK" w:hAnsi="方正仿宋_GBK" w:cs="方正仿宋_GBK"/>
          <w:sz w:val="32"/>
          <w:szCs w:val="32"/>
        </w:rPr>
        <w:t>项目按照《秀山县油茶高产示范片种植技术要点（试行）》《秀山县油茶高产示范基地检查验收工作方案》开</w:t>
      </w:r>
      <w:r>
        <w:rPr>
          <w:rFonts w:cs="Times New Roman"/>
          <w:sz w:val="32"/>
          <w:szCs w:val="32"/>
        </w:rPr>
        <w:t>展全面自查验收，种植类项目每年验收1次。原则上种植类项目在次年</w:t>
      </w:r>
      <w:r>
        <w:rPr>
          <w:rFonts w:hint="eastAsia" w:cs="Times New Roman"/>
          <w:sz w:val="32"/>
          <w:szCs w:val="32"/>
        </w:rPr>
        <w:t>10</w:t>
      </w:r>
      <w:r>
        <w:rPr>
          <w:rFonts w:cs="Times New Roman"/>
          <w:sz w:val="32"/>
          <w:szCs w:val="32"/>
        </w:rPr>
        <w:t>月底之前完成，其余项目在次年3月底之前。县林业局和县奖补项目专班组建成果验收组，对第三方提供的自查验收成果及时开展抽查复核。</w:t>
      </w:r>
      <w:r>
        <w:rPr>
          <w:rFonts w:hint="eastAsia" w:cs="Times New Roman"/>
          <w:sz w:val="32"/>
          <w:szCs w:val="32"/>
        </w:rPr>
        <w:t>〔</w:t>
      </w:r>
      <w:r>
        <w:rPr>
          <w:rFonts w:cs="Times New Roman"/>
          <w:sz w:val="32"/>
          <w:szCs w:val="32"/>
        </w:rPr>
        <w:t>牵头单位：县林业局，配合单位：相关乡镇</w:t>
      </w:r>
      <w:r>
        <w:rPr>
          <w:rFonts w:hint="eastAsia" w:cs="Times New Roman"/>
          <w:sz w:val="32"/>
          <w:szCs w:val="32"/>
        </w:rPr>
        <w:t>（</w:t>
      </w:r>
      <w:r>
        <w:rPr>
          <w:rFonts w:cs="Times New Roman"/>
          <w:sz w:val="32"/>
          <w:szCs w:val="32"/>
        </w:rPr>
        <w:t>街道）</w:t>
      </w:r>
      <w:r>
        <w:rPr>
          <w:rFonts w:hint="eastAsia" w:cs="Times New Roman"/>
          <w:sz w:val="32"/>
          <w:szCs w:val="32"/>
        </w:rPr>
        <w:t>〕</w:t>
      </w:r>
    </w:p>
    <w:p w14:paraId="2DCB4807">
      <w:pPr>
        <w:pStyle w:val="11"/>
        <w:spacing w:before="0" w:beforeAutospacing="0" w:after="0" w:afterAutospacing="0"/>
        <w:ind w:firstLine="640" w:firstLineChars="200"/>
        <w:jc w:val="both"/>
        <w:rPr>
          <w:rFonts w:cs="Times New Roman"/>
          <w:sz w:val="32"/>
          <w:szCs w:val="32"/>
        </w:rPr>
      </w:pPr>
      <w:r>
        <w:rPr>
          <w:rFonts w:eastAsia="方正楷体_GBK" w:cs="Times New Roman"/>
          <w:sz w:val="32"/>
          <w:szCs w:val="32"/>
        </w:rPr>
        <w:t>（二）竣工验收。</w:t>
      </w:r>
      <w:r>
        <w:rPr>
          <w:rFonts w:cs="Times New Roman"/>
          <w:sz w:val="32"/>
          <w:szCs w:val="32"/>
        </w:rPr>
        <w:t>对照年度绩效目标表重点围绕种植类、水肥一体化、套种等建设任务，重点收集整理县级配套、社会资本完成情况。积极做好2027年国家中期评估和2030年项目终期验收，按照国家、市级复核验收要求完成中级评估和终期验收要求，从资金管理情况、绩效目标完成情况、项目管理情况、档案管理情况等四个方面对项目进行全面核查完善相关资料。</w:t>
      </w:r>
      <w:r>
        <w:rPr>
          <w:rFonts w:hint="eastAsia" w:cs="Times New Roman"/>
          <w:sz w:val="32"/>
          <w:szCs w:val="32"/>
        </w:rPr>
        <w:t>〔</w:t>
      </w:r>
      <w:r>
        <w:rPr>
          <w:rFonts w:cs="Times New Roman"/>
          <w:sz w:val="32"/>
          <w:szCs w:val="32"/>
        </w:rPr>
        <w:t>牵头单位：县林业局，配合单位：相关乡镇</w:t>
      </w:r>
      <w:r>
        <w:rPr>
          <w:rFonts w:hint="eastAsia" w:cs="Times New Roman"/>
          <w:sz w:val="32"/>
          <w:szCs w:val="32"/>
        </w:rPr>
        <w:t>（</w:t>
      </w:r>
      <w:r>
        <w:rPr>
          <w:rFonts w:cs="Times New Roman"/>
          <w:sz w:val="32"/>
          <w:szCs w:val="32"/>
        </w:rPr>
        <w:t>街道）</w:t>
      </w:r>
      <w:r>
        <w:rPr>
          <w:rFonts w:hint="eastAsia" w:cs="Times New Roman"/>
          <w:sz w:val="32"/>
          <w:szCs w:val="32"/>
        </w:rPr>
        <w:t>〕</w:t>
      </w:r>
    </w:p>
    <w:p w14:paraId="1671282F">
      <w:pPr>
        <w:pStyle w:val="11"/>
        <w:spacing w:before="0" w:beforeAutospacing="0" w:after="0" w:afterAutospacing="0"/>
        <w:ind w:firstLine="640" w:firstLineChars="200"/>
        <w:jc w:val="both"/>
        <w:rPr>
          <w:rFonts w:cs="Times New Roman"/>
          <w:sz w:val="32"/>
          <w:szCs w:val="32"/>
        </w:rPr>
      </w:pPr>
      <w:r>
        <w:rPr>
          <w:rFonts w:eastAsia="方正楷体_GBK" w:cs="Times New Roman"/>
          <w:sz w:val="32"/>
          <w:szCs w:val="32"/>
        </w:rPr>
        <w:t>（三）上图入库。</w:t>
      </w:r>
      <w:r>
        <w:rPr>
          <w:rFonts w:cs="Times New Roman"/>
          <w:sz w:val="32"/>
          <w:szCs w:val="32"/>
        </w:rPr>
        <w:t>县林业局根据批复的作业设计，分年度做好油茶新造、低产林改造、水肥一体化等任务的落地上图，涉及年度实施地块变更的不得涉及</w:t>
      </w:r>
      <w:r>
        <w:rPr>
          <w:rFonts w:hint="eastAsia" w:cs="Times New Roman"/>
          <w:sz w:val="32"/>
          <w:szCs w:val="32"/>
        </w:rPr>
        <w:t>“</w:t>
      </w:r>
      <w:r>
        <w:rPr>
          <w:rFonts w:cs="Times New Roman"/>
          <w:sz w:val="32"/>
          <w:szCs w:val="32"/>
        </w:rPr>
        <w:t>负面清单</w:t>
      </w:r>
      <w:r>
        <w:rPr>
          <w:rFonts w:hint="eastAsia" w:cs="Times New Roman"/>
          <w:sz w:val="32"/>
          <w:szCs w:val="32"/>
        </w:rPr>
        <w:t>”</w:t>
      </w:r>
      <w:r>
        <w:rPr>
          <w:rFonts w:cs="Times New Roman"/>
          <w:sz w:val="32"/>
          <w:szCs w:val="32"/>
        </w:rPr>
        <w:t>内容，并及时将计划造林地块落实到林草资源图，上报计划建设图斑、面积等情况。项目实施后，根据实际实施情况，在次年6月底前完成落地上图，将完成造林地块、实施类别、面积等情况上传至林草资源数据库。</w:t>
      </w:r>
      <w:r>
        <w:rPr>
          <w:rFonts w:hint="eastAsia" w:cs="Times New Roman"/>
          <w:sz w:val="32"/>
          <w:szCs w:val="32"/>
        </w:rPr>
        <w:t>〔</w:t>
      </w:r>
      <w:r>
        <w:rPr>
          <w:rFonts w:cs="Times New Roman"/>
          <w:sz w:val="32"/>
          <w:szCs w:val="32"/>
        </w:rPr>
        <w:t>牵头单位：县林业局，配合单位：相关乡镇</w:t>
      </w:r>
      <w:r>
        <w:rPr>
          <w:rFonts w:hint="eastAsia" w:cs="Times New Roman"/>
          <w:sz w:val="32"/>
          <w:szCs w:val="32"/>
        </w:rPr>
        <w:t>（</w:t>
      </w:r>
      <w:r>
        <w:rPr>
          <w:rFonts w:cs="Times New Roman"/>
          <w:sz w:val="32"/>
          <w:szCs w:val="32"/>
        </w:rPr>
        <w:t>街道）</w:t>
      </w:r>
      <w:r>
        <w:rPr>
          <w:rFonts w:hint="eastAsia" w:cs="Times New Roman"/>
          <w:sz w:val="32"/>
          <w:szCs w:val="32"/>
        </w:rPr>
        <w:t>〕</w:t>
      </w:r>
    </w:p>
    <w:p w14:paraId="3B3EB6E2">
      <w:pPr>
        <w:pStyle w:val="11"/>
        <w:spacing w:before="0" w:beforeAutospacing="0" w:after="0" w:afterAutospacing="0"/>
        <w:ind w:firstLine="640" w:firstLineChars="200"/>
        <w:jc w:val="both"/>
        <w:rPr>
          <w:rFonts w:cs="Times New Roman"/>
          <w:sz w:val="32"/>
          <w:szCs w:val="32"/>
        </w:rPr>
      </w:pPr>
      <w:r>
        <w:rPr>
          <w:rFonts w:eastAsia="方正楷体_GBK" w:cs="Times New Roman"/>
          <w:sz w:val="32"/>
          <w:szCs w:val="32"/>
        </w:rPr>
        <w:t>（四）档案管理。</w:t>
      </w:r>
      <w:r>
        <w:rPr>
          <w:rFonts w:cs="Times New Roman"/>
          <w:sz w:val="32"/>
          <w:szCs w:val="32"/>
        </w:rPr>
        <w:t>县林业局及建营主体要强化档案资料管理，落实专人负责</w:t>
      </w:r>
      <w:r>
        <w:rPr>
          <w:rFonts w:hint="eastAsia" w:cs="Times New Roman"/>
          <w:sz w:val="32"/>
          <w:szCs w:val="32"/>
        </w:rPr>
        <w:t>，</w:t>
      </w:r>
      <w:r>
        <w:rPr>
          <w:rFonts w:cs="Times New Roman"/>
          <w:sz w:val="32"/>
          <w:szCs w:val="32"/>
        </w:rPr>
        <w:t>分类整理分册汇编，并贯穿项目建设的全过程。项目档案资料包含项目实施方案、作业设计、建设（经营）管护合同、采购手续、验收报告、佐证对比图片、苗木等物资资料、资金拨付和银行流水等凭证、工作总结等。</w:t>
      </w:r>
      <w:r>
        <w:rPr>
          <w:rFonts w:hint="eastAsia" w:cs="Times New Roman"/>
          <w:sz w:val="32"/>
          <w:szCs w:val="32"/>
        </w:rPr>
        <w:t>〔</w:t>
      </w:r>
      <w:r>
        <w:rPr>
          <w:rFonts w:cs="Times New Roman"/>
          <w:sz w:val="32"/>
          <w:szCs w:val="32"/>
        </w:rPr>
        <w:t>牵头单位：县林业局，配合单位：相关乡镇</w:t>
      </w:r>
      <w:r>
        <w:rPr>
          <w:rFonts w:hint="eastAsia" w:cs="Times New Roman"/>
          <w:sz w:val="32"/>
          <w:szCs w:val="32"/>
        </w:rPr>
        <w:t>（</w:t>
      </w:r>
      <w:r>
        <w:rPr>
          <w:rFonts w:cs="Times New Roman"/>
          <w:sz w:val="32"/>
          <w:szCs w:val="32"/>
        </w:rPr>
        <w:t>街道）</w:t>
      </w:r>
      <w:r>
        <w:rPr>
          <w:rFonts w:hint="eastAsia" w:cs="Times New Roman"/>
          <w:sz w:val="32"/>
          <w:szCs w:val="32"/>
        </w:rPr>
        <w:t>〕</w:t>
      </w:r>
    </w:p>
    <w:p w14:paraId="3D169A3C">
      <w:pPr>
        <w:pStyle w:val="11"/>
        <w:spacing w:before="0" w:beforeAutospacing="0" w:after="0" w:afterAutospacing="0"/>
        <w:ind w:firstLine="640" w:firstLineChars="200"/>
        <w:jc w:val="both"/>
        <w:rPr>
          <w:rFonts w:eastAsia="方正黑体_GBK" w:cs="Times New Roman"/>
          <w:bCs/>
          <w:sz w:val="32"/>
          <w:szCs w:val="32"/>
        </w:rPr>
      </w:pPr>
      <w:r>
        <w:rPr>
          <w:rStyle w:val="15"/>
          <w:rFonts w:eastAsia="方正黑体_GBK" w:cs="Times New Roman"/>
          <w:b w:val="0"/>
          <w:bCs/>
          <w:sz w:val="32"/>
          <w:szCs w:val="32"/>
        </w:rPr>
        <w:t>四、保障措施</w:t>
      </w:r>
    </w:p>
    <w:p w14:paraId="7EAD87B6">
      <w:pPr>
        <w:pStyle w:val="11"/>
        <w:spacing w:before="0" w:beforeAutospacing="0" w:after="0" w:afterAutospacing="0"/>
        <w:ind w:firstLine="640" w:firstLineChars="200"/>
        <w:jc w:val="both"/>
        <w:rPr>
          <w:rFonts w:cs="Times New Roman"/>
          <w:sz w:val="32"/>
          <w:szCs w:val="32"/>
        </w:rPr>
      </w:pPr>
      <w:r>
        <w:rPr>
          <w:rStyle w:val="15"/>
          <w:rFonts w:eastAsia="方正楷体_GBK" w:cs="Times New Roman"/>
          <w:b w:val="0"/>
          <w:bCs/>
          <w:sz w:val="32"/>
          <w:szCs w:val="32"/>
        </w:rPr>
        <w:t>（一）加强组织领导。</w:t>
      </w:r>
      <w:r>
        <w:rPr>
          <w:rFonts w:cs="Times New Roman"/>
          <w:sz w:val="32"/>
          <w:szCs w:val="32"/>
        </w:rPr>
        <w:t>成立以</w:t>
      </w:r>
      <w:r>
        <w:rPr>
          <w:rFonts w:hint="eastAsia" w:cs="Times New Roman"/>
          <w:sz w:val="32"/>
          <w:szCs w:val="32"/>
        </w:rPr>
        <w:t>县政府主要领导</w:t>
      </w:r>
      <w:r>
        <w:rPr>
          <w:rFonts w:cs="Times New Roman"/>
          <w:sz w:val="32"/>
          <w:szCs w:val="32"/>
        </w:rPr>
        <w:t>为组长，县委副书记、县政府分管领导为副组长，县发展改革委、县经济信息委、县财政局、县规划自然资源局、县生态环境局、县交通运输委、县水利局、县农业农村委、县商务委、县文化旅游委、县市场监管局、县林业局等部门为成员的项目推进工作专班，专班下设专班办公室，组织县内熟悉林业工作专业人才参与专班工作，全力推进项目实施。各部门要加强协调合作，凝聚工作合力。各相关</w:t>
      </w:r>
      <w:r>
        <w:rPr>
          <w:rFonts w:hint="eastAsia" w:cs="Times New Roman"/>
          <w:sz w:val="32"/>
          <w:szCs w:val="32"/>
        </w:rPr>
        <w:t>乡镇（街道）</w:t>
      </w:r>
      <w:r>
        <w:rPr>
          <w:rFonts w:cs="Times New Roman"/>
          <w:sz w:val="32"/>
          <w:szCs w:val="32"/>
        </w:rPr>
        <w:t>要落实奖补项目建设主体责任，统筹推进本地区、本部门奖补项目任务建设。</w:t>
      </w:r>
    </w:p>
    <w:p w14:paraId="64677028">
      <w:pPr>
        <w:pStyle w:val="11"/>
        <w:spacing w:before="0" w:beforeAutospacing="0" w:after="0" w:afterAutospacing="0"/>
        <w:ind w:firstLine="640" w:firstLineChars="200"/>
        <w:jc w:val="both"/>
        <w:rPr>
          <w:rFonts w:cs="Times New Roman"/>
          <w:sz w:val="32"/>
          <w:szCs w:val="32"/>
        </w:rPr>
      </w:pPr>
      <w:r>
        <w:rPr>
          <w:rStyle w:val="15"/>
          <w:rFonts w:eastAsia="方正楷体_GBK" w:cs="Times New Roman"/>
          <w:b w:val="0"/>
          <w:bCs/>
          <w:sz w:val="32"/>
          <w:szCs w:val="32"/>
        </w:rPr>
        <w:t>（二）规范资金管理。</w:t>
      </w:r>
      <w:r>
        <w:rPr>
          <w:rFonts w:cs="Times New Roman"/>
          <w:sz w:val="32"/>
          <w:szCs w:val="32"/>
        </w:rPr>
        <w:t>统筹安排好中央奖补资金及相关涉农资金，支持项目建设实施，加快预算执行进度。要实行专款专用，建立财政、林业等多部门联合监管机制，加强对奖补资金使用过程各环节的监控，严禁截留、挪用，加强财务审计和监督，强化绩效评估，确保奖补资金使用的有效性、规范性和安全性。</w:t>
      </w:r>
    </w:p>
    <w:p w14:paraId="6D8A5220">
      <w:pPr>
        <w:pStyle w:val="11"/>
        <w:spacing w:before="0" w:beforeAutospacing="0" w:after="0" w:afterAutospacing="0"/>
        <w:ind w:firstLine="640" w:firstLineChars="200"/>
        <w:jc w:val="both"/>
        <w:rPr>
          <w:rFonts w:cs="Times New Roman"/>
          <w:sz w:val="32"/>
          <w:szCs w:val="32"/>
        </w:rPr>
      </w:pPr>
      <w:r>
        <w:rPr>
          <w:rStyle w:val="15"/>
          <w:rFonts w:eastAsia="方正楷体_GBK" w:cs="Times New Roman"/>
          <w:b w:val="0"/>
          <w:bCs/>
          <w:sz w:val="32"/>
          <w:szCs w:val="32"/>
        </w:rPr>
        <w:t>（</w:t>
      </w:r>
      <w:r>
        <w:rPr>
          <w:rStyle w:val="15"/>
          <w:rFonts w:hint="eastAsia" w:eastAsia="方正楷体_GBK" w:cs="Times New Roman"/>
          <w:b w:val="0"/>
          <w:bCs/>
          <w:sz w:val="32"/>
          <w:szCs w:val="32"/>
        </w:rPr>
        <w:t>三</w:t>
      </w:r>
      <w:r>
        <w:rPr>
          <w:rStyle w:val="15"/>
          <w:rFonts w:eastAsia="方正楷体_GBK" w:cs="Times New Roman"/>
          <w:b w:val="0"/>
          <w:bCs/>
          <w:sz w:val="32"/>
          <w:szCs w:val="32"/>
        </w:rPr>
        <w:t>）强化科技支撑。</w:t>
      </w:r>
      <w:r>
        <w:rPr>
          <w:rFonts w:cs="Times New Roman"/>
          <w:sz w:val="32"/>
          <w:szCs w:val="32"/>
        </w:rPr>
        <w:t>要加强与国家油茶科学中心、国家油茶工程中心、市林科院、江南大学等科研单位交流合作，深入开展良种繁育、丰产栽培、精深加工及生产装备等关键技术研发和应用，升级生产加工设备和技术，提升生产效率。完善建立</w:t>
      </w:r>
      <w:r>
        <w:rPr>
          <w:rFonts w:hint="eastAsia" w:cs="Times New Roman"/>
          <w:sz w:val="32"/>
          <w:szCs w:val="32"/>
        </w:rPr>
        <w:t>“</w:t>
      </w:r>
      <w:r>
        <w:rPr>
          <w:rFonts w:cs="Times New Roman"/>
          <w:sz w:val="32"/>
          <w:szCs w:val="32"/>
        </w:rPr>
        <w:t>1+4</w:t>
      </w:r>
      <w:r>
        <w:rPr>
          <w:rFonts w:hint="eastAsia" w:cs="Times New Roman"/>
          <w:sz w:val="32"/>
          <w:szCs w:val="32"/>
        </w:rPr>
        <w:t>”</w:t>
      </w:r>
      <w:r>
        <w:rPr>
          <w:rFonts w:cs="Times New Roman"/>
          <w:sz w:val="32"/>
          <w:szCs w:val="32"/>
        </w:rPr>
        <w:t>（国内知名专家+市、县、</w:t>
      </w:r>
      <w:r>
        <w:rPr>
          <w:rFonts w:hint="eastAsia" w:cs="Times New Roman"/>
          <w:sz w:val="32"/>
          <w:szCs w:val="32"/>
        </w:rPr>
        <w:t>乡镇（街道）</w:t>
      </w:r>
      <w:r>
        <w:rPr>
          <w:rFonts w:cs="Times New Roman"/>
          <w:sz w:val="32"/>
          <w:szCs w:val="32"/>
        </w:rPr>
        <w:t>级指导员和乡土油茶专家）油茶科技推广服务队伍，构筑油茶科技创新和推广应用紧密衔接的科技支撑体系，推进油茶高质高效经营。完善信息数据库建设，规范落地上图和数据监测采集，提升项目管理水平。</w:t>
      </w:r>
    </w:p>
    <w:p w14:paraId="07FA8742">
      <w:pPr>
        <w:pStyle w:val="11"/>
        <w:spacing w:before="0" w:beforeAutospacing="0" w:after="0" w:afterAutospacing="0"/>
        <w:ind w:firstLine="640" w:firstLineChars="200"/>
        <w:jc w:val="both"/>
        <w:rPr>
          <w:rFonts w:cs="Times New Roman"/>
          <w:sz w:val="32"/>
          <w:szCs w:val="32"/>
        </w:rPr>
      </w:pPr>
      <w:r>
        <w:rPr>
          <w:rStyle w:val="15"/>
          <w:rFonts w:eastAsia="方正楷体_GBK" w:cs="Times New Roman"/>
          <w:b w:val="0"/>
          <w:bCs/>
          <w:sz w:val="32"/>
          <w:szCs w:val="32"/>
        </w:rPr>
        <w:t>（</w:t>
      </w:r>
      <w:r>
        <w:rPr>
          <w:rStyle w:val="15"/>
          <w:rFonts w:hint="eastAsia" w:eastAsia="方正楷体_GBK" w:cs="Times New Roman"/>
          <w:b w:val="0"/>
          <w:bCs/>
          <w:sz w:val="32"/>
          <w:szCs w:val="32"/>
        </w:rPr>
        <w:t>四</w:t>
      </w:r>
      <w:r>
        <w:rPr>
          <w:rStyle w:val="15"/>
          <w:rFonts w:eastAsia="方正楷体_GBK" w:cs="Times New Roman"/>
          <w:b w:val="0"/>
          <w:bCs/>
          <w:sz w:val="32"/>
          <w:szCs w:val="32"/>
        </w:rPr>
        <w:t>）创新组织形式。</w:t>
      </w:r>
      <w:r>
        <w:rPr>
          <w:rFonts w:cs="Times New Roman"/>
          <w:sz w:val="32"/>
          <w:szCs w:val="32"/>
        </w:rPr>
        <w:t>要因地制宜，分类施策，创新组织实施模式，按照集中实施的原则，统一编制作业设计或建设方案，建设任务下达到各</w:t>
      </w:r>
      <w:r>
        <w:rPr>
          <w:rFonts w:hint="eastAsia" w:cs="Times New Roman"/>
          <w:sz w:val="32"/>
          <w:szCs w:val="32"/>
        </w:rPr>
        <w:t>乡镇（街道）</w:t>
      </w:r>
      <w:r>
        <w:rPr>
          <w:rFonts w:cs="Times New Roman"/>
          <w:sz w:val="32"/>
          <w:szCs w:val="32"/>
        </w:rPr>
        <w:t>，各</w:t>
      </w:r>
      <w:r>
        <w:rPr>
          <w:rFonts w:hint="eastAsia" w:cs="Times New Roman"/>
          <w:sz w:val="32"/>
          <w:szCs w:val="32"/>
        </w:rPr>
        <w:t>乡镇（街道）</w:t>
      </w:r>
      <w:r>
        <w:rPr>
          <w:rFonts w:cs="Times New Roman"/>
          <w:sz w:val="32"/>
          <w:szCs w:val="32"/>
        </w:rPr>
        <w:t>落实建设主体。鼓励有条件的国有林场、村集体经济组织承包经营，推进壮大集体资产，支持企业、大户、合作社充分参与，构建实施主体多元、经营管理高效的项目管理模式。完善构建利益联结机制，探索运用</w:t>
      </w:r>
      <w:r>
        <w:rPr>
          <w:rFonts w:hint="eastAsia" w:cs="Times New Roman"/>
          <w:sz w:val="32"/>
          <w:szCs w:val="32"/>
        </w:rPr>
        <w:t>“</w:t>
      </w:r>
      <w:r>
        <w:rPr>
          <w:rFonts w:cs="Times New Roman"/>
          <w:sz w:val="32"/>
          <w:szCs w:val="32"/>
        </w:rPr>
        <w:t>林地入股、保底分红</w:t>
      </w:r>
      <w:r>
        <w:rPr>
          <w:rFonts w:hint="eastAsia" w:cs="Times New Roman"/>
          <w:sz w:val="32"/>
          <w:szCs w:val="32"/>
        </w:rPr>
        <w:t>”“</w:t>
      </w:r>
      <w:r>
        <w:rPr>
          <w:rFonts w:cs="Times New Roman"/>
          <w:sz w:val="32"/>
          <w:szCs w:val="32"/>
        </w:rPr>
        <w:t>统一实施、分户经营</w:t>
      </w:r>
      <w:r>
        <w:rPr>
          <w:rFonts w:hint="eastAsia" w:cs="Times New Roman"/>
          <w:sz w:val="32"/>
          <w:szCs w:val="32"/>
        </w:rPr>
        <w:t>”</w:t>
      </w:r>
      <w:r>
        <w:rPr>
          <w:rFonts w:cs="Times New Roman"/>
          <w:sz w:val="32"/>
          <w:szCs w:val="32"/>
        </w:rPr>
        <w:t>机制，推广</w:t>
      </w:r>
      <w:r>
        <w:rPr>
          <w:rFonts w:hint="eastAsia" w:cs="Times New Roman"/>
          <w:sz w:val="32"/>
          <w:szCs w:val="32"/>
        </w:rPr>
        <w:t>“</w:t>
      </w:r>
      <w:r>
        <w:rPr>
          <w:rFonts w:cs="Times New Roman"/>
          <w:sz w:val="32"/>
          <w:szCs w:val="32"/>
        </w:rPr>
        <w:t>公司+农户、合作社+农户</w:t>
      </w:r>
      <w:r>
        <w:rPr>
          <w:rFonts w:hint="eastAsia" w:cs="Times New Roman"/>
          <w:sz w:val="32"/>
          <w:szCs w:val="32"/>
        </w:rPr>
        <w:t>”</w:t>
      </w:r>
      <w:r>
        <w:rPr>
          <w:rFonts w:cs="Times New Roman"/>
          <w:sz w:val="32"/>
          <w:szCs w:val="32"/>
        </w:rPr>
        <w:t>等经营模式，保障项目建设质量，提升油茶林经营管护效率。</w:t>
      </w:r>
    </w:p>
    <w:p w14:paraId="35B0330B">
      <w:pPr>
        <w:pStyle w:val="11"/>
        <w:spacing w:before="0" w:beforeAutospacing="0" w:after="0" w:afterAutospacing="0"/>
        <w:ind w:firstLine="640" w:firstLineChars="200"/>
        <w:jc w:val="both"/>
        <w:rPr>
          <w:rFonts w:hint="default" w:ascii="方正小标宋_GBK"/>
          <w:lang w:val="en-US" w:eastAsia="zh-CN"/>
        </w:rPr>
      </w:pPr>
      <w:r>
        <w:rPr>
          <w:rStyle w:val="15"/>
          <w:rFonts w:eastAsia="方正楷体_GBK" w:cs="Times New Roman"/>
          <w:b w:val="0"/>
          <w:bCs/>
          <w:sz w:val="32"/>
          <w:szCs w:val="32"/>
        </w:rPr>
        <w:t>（</w:t>
      </w:r>
      <w:r>
        <w:rPr>
          <w:rStyle w:val="15"/>
          <w:rFonts w:hint="eastAsia" w:eastAsia="方正楷体_GBK" w:cs="Times New Roman"/>
          <w:b w:val="0"/>
          <w:bCs/>
          <w:sz w:val="32"/>
          <w:szCs w:val="32"/>
        </w:rPr>
        <w:t>五</w:t>
      </w:r>
      <w:r>
        <w:rPr>
          <w:rStyle w:val="15"/>
          <w:rFonts w:eastAsia="方正楷体_GBK" w:cs="Times New Roman"/>
          <w:b w:val="0"/>
          <w:bCs/>
          <w:sz w:val="32"/>
          <w:szCs w:val="32"/>
        </w:rPr>
        <w:t>）加强项目监管。</w:t>
      </w:r>
      <w:r>
        <w:rPr>
          <w:rFonts w:cs="Times New Roman"/>
          <w:sz w:val="32"/>
          <w:szCs w:val="32"/>
        </w:rPr>
        <w:t>认真落实项目管理责任制、建设监理制和合同管理制等，科学采取招标投标制，对需要执行政府采购的项目，应当按照政府采购有关规定执行</w:t>
      </w:r>
      <w:r>
        <w:rPr>
          <w:rFonts w:hint="eastAsia" w:cs="Times New Roman"/>
          <w:sz w:val="32"/>
          <w:szCs w:val="32"/>
        </w:rPr>
        <w:t>，</w:t>
      </w:r>
      <w:r>
        <w:rPr>
          <w:rFonts w:cs="Times New Roman"/>
          <w:sz w:val="32"/>
          <w:szCs w:val="32"/>
        </w:rPr>
        <w:t>建立完善第三方评估机制，落实绩效评价，对偏离绩效目标的，采取措施，及时纠正，对随意改变资金使用用途的，收回资金，并追究有关单位、人员责任。按照项目建设要求，严格执行检查验收制度，将项目筹备、施工建设、验收评估、后续管护、资金使用等各项工作全部纳入项目监督范畴，严控项目建设过程廉政风险，提升项目实施质效。建立健全项目考核评估指标体系，将项目实施情况纳入林长制落实目标考核范围。</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ZXBSK--GBK1-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FZFSK--GBK1-0">
    <w:altName w:val="微软雅黑"/>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3CEF6">
    <w:pPr>
      <w:pStyle w:val="9"/>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B23958">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EB23958">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0C09947">
    <w:pPr>
      <w:pStyle w:val="9"/>
      <w:wordWrap w:val="0"/>
      <w:ind w:left="1921" w:leftChars="0" w:firstLine="9263" w:firstLineChars="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秀山土家族苗族自治县人民政府办公室发布     </w:t>
    </w:r>
  </w:p>
  <w:p w14:paraId="114375F0">
    <w:pPr>
      <w:pStyle w:val="9"/>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0B277">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2920033B">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秀山土家族苗族自治县人民政府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ECE38"/>
    <w:multiLevelType w:val="singleLevel"/>
    <w:tmpl w:val="FFFECE38"/>
    <w:lvl w:ilvl="0" w:tentative="0">
      <w:start w:val="1"/>
      <w:numFmt w:val="chineseCounting"/>
      <w:suff w:val="nothing"/>
      <w:lvlText w:val="（%1）"/>
      <w:lvlJc w:val="left"/>
      <w:rPr>
        <w:rFonts w:hint="eastAsia"/>
      </w:rPr>
    </w:lvl>
  </w:abstractNum>
  <w:abstractNum w:abstractNumId="1">
    <w:nsid w:val="646260FA"/>
    <w:multiLevelType w:val="multilevel"/>
    <w:tmpl w:val="646260FA"/>
    <w:lvl w:ilvl="0" w:tentative="0">
      <w:start w:val="1"/>
      <w:numFmt w:val="decimal"/>
      <w:pStyle w:val="24"/>
      <w:suff w:val="nothing"/>
      <w:lvlText w:val="表%1　"/>
      <w:lvlJc w:val="left"/>
      <w:pPr>
        <w:ind w:left="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kMjJmMDMyNDc0NzhkNmU5NDgyZjA0YTUyYmY0ZTkifQ=="/>
  </w:docVars>
  <w:rsids>
    <w:rsidRoot w:val="00172A27"/>
    <w:rsid w:val="017054A8"/>
    <w:rsid w:val="019E71BD"/>
    <w:rsid w:val="039C5442"/>
    <w:rsid w:val="03D63BD5"/>
    <w:rsid w:val="03E9643D"/>
    <w:rsid w:val="03EA7BA5"/>
    <w:rsid w:val="041C42DA"/>
    <w:rsid w:val="04B679C3"/>
    <w:rsid w:val="05F07036"/>
    <w:rsid w:val="064279DD"/>
    <w:rsid w:val="06CC44BC"/>
    <w:rsid w:val="06E00104"/>
    <w:rsid w:val="07DA1DB8"/>
    <w:rsid w:val="080F63D8"/>
    <w:rsid w:val="09341458"/>
    <w:rsid w:val="098254C2"/>
    <w:rsid w:val="0A5847B8"/>
    <w:rsid w:val="0A766EDE"/>
    <w:rsid w:val="0AD64BE8"/>
    <w:rsid w:val="0B0912D7"/>
    <w:rsid w:val="0E025194"/>
    <w:rsid w:val="0FFC4E26"/>
    <w:rsid w:val="0FFF1966"/>
    <w:rsid w:val="10A649C0"/>
    <w:rsid w:val="11F53E02"/>
    <w:rsid w:val="13F849D6"/>
    <w:rsid w:val="14652761"/>
    <w:rsid w:val="152D2DCA"/>
    <w:rsid w:val="187168EA"/>
    <w:rsid w:val="196673CA"/>
    <w:rsid w:val="1A7E323B"/>
    <w:rsid w:val="1B2F4AEE"/>
    <w:rsid w:val="1B371BA5"/>
    <w:rsid w:val="1CF734C9"/>
    <w:rsid w:val="1D525441"/>
    <w:rsid w:val="1D9554B5"/>
    <w:rsid w:val="1DEC284C"/>
    <w:rsid w:val="1E6523AC"/>
    <w:rsid w:val="22440422"/>
    <w:rsid w:val="22BB4BBB"/>
    <w:rsid w:val="22D95A50"/>
    <w:rsid w:val="26D32EFF"/>
    <w:rsid w:val="28B906C0"/>
    <w:rsid w:val="2A0730C3"/>
    <w:rsid w:val="2AEB3417"/>
    <w:rsid w:val="2EB142FD"/>
    <w:rsid w:val="2EB47637"/>
    <w:rsid w:val="2F1F0B6E"/>
    <w:rsid w:val="2F9C4067"/>
    <w:rsid w:val="30C36F47"/>
    <w:rsid w:val="31A15F24"/>
    <w:rsid w:val="324A1681"/>
    <w:rsid w:val="361B6EFE"/>
    <w:rsid w:val="367D6C5C"/>
    <w:rsid w:val="36C33662"/>
    <w:rsid w:val="36FB1DF0"/>
    <w:rsid w:val="37857BE1"/>
    <w:rsid w:val="395347B5"/>
    <w:rsid w:val="39A232A0"/>
    <w:rsid w:val="39E745AA"/>
    <w:rsid w:val="3A985F37"/>
    <w:rsid w:val="3B120E32"/>
    <w:rsid w:val="3B5A6BBB"/>
    <w:rsid w:val="3C235230"/>
    <w:rsid w:val="3CCB1FE8"/>
    <w:rsid w:val="3D731917"/>
    <w:rsid w:val="3EDA13A6"/>
    <w:rsid w:val="3F4F560F"/>
    <w:rsid w:val="417B75E9"/>
    <w:rsid w:val="42F058B7"/>
    <w:rsid w:val="436109F6"/>
    <w:rsid w:val="43BF0FA8"/>
    <w:rsid w:val="441A38D4"/>
    <w:rsid w:val="442A5AAE"/>
    <w:rsid w:val="44D23AE5"/>
    <w:rsid w:val="4504239D"/>
    <w:rsid w:val="461F284F"/>
    <w:rsid w:val="46271D1B"/>
    <w:rsid w:val="465A4714"/>
    <w:rsid w:val="480A7467"/>
    <w:rsid w:val="496C53EB"/>
    <w:rsid w:val="49E7307C"/>
    <w:rsid w:val="4AC75EBD"/>
    <w:rsid w:val="4AD57EE4"/>
    <w:rsid w:val="4B027B23"/>
    <w:rsid w:val="4BB53E28"/>
    <w:rsid w:val="4BC77339"/>
    <w:rsid w:val="4C1105F2"/>
    <w:rsid w:val="4C9236C5"/>
    <w:rsid w:val="4D274336"/>
    <w:rsid w:val="4E250A85"/>
    <w:rsid w:val="4FFD4925"/>
    <w:rsid w:val="505C172E"/>
    <w:rsid w:val="506405EA"/>
    <w:rsid w:val="51F46A7D"/>
    <w:rsid w:val="52A77CC2"/>
    <w:rsid w:val="52F46F0B"/>
    <w:rsid w:val="532B6A10"/>
    <w:rsid w:val="53D8014D"/>
    <w:rsid w:val="55DC3589"/>
    <w:rsid w:val="55E064E0"/>
    <w:rsid w:val="572C6D10"/>
    <w:rsid w:val="581B0D4D"/>
    <w:rsid w:val="58343CA4"/>
    <w:rsid w:val="5A4B0316"/>
    <w:rsid w:val="5CC874B8"/>
    <w:rsid w:val="5DC34279"/>
    <w:rsid w:val="5F724D7D"/>
    <w:rsid w:val="5FCD688E"/>
    <w:rsid w:val="5FD6034F"/>
    <w:rsid w:val="5FF9BDAA"/>
    <w:rsid w:val="5FFE5333"/>
    <w:rsid w:val="608816D1"/>
    <w:rsid w:val="60EF4E7F"/>
    <w:rsid w:val="63346FCF"/>
    <w:rsid w:val="63AF23AE"/>
    <w:rsid w:val="64107080"/>
    <w:rsid w:val="648B0A32"/>
    <w:rsid w:val="665233C1"/>
    <w:rsid w:val="68FB4E2B"/>
    <w:rsid w:val="69AA35B4"/>
    <w:rsid w:val="69AC0D42"/>
    <w:rsid w:val="6A5675B7"/>
    <w:rsid w:val="6AD9688B"/>
    <w:rsid w:val="6AE5205E"/>
    <w:rsid w:val="6D0E3F22"/>
    <w:rsid w:val="6FE436D6"/>
    <w:rsid w:val="702434E5"/>
    <w:rsid w:val="72851D44"/>
    <w:rsid w:val="729D570B"/>
    <w:rsid w:val="72FD0DC8"/>
    <w:rsid w:val="74104F99"/>
    <w:rsid w:val="744E4660"/>
    <w:rsid w:val="74775B26"/>
    <w:rsid w:val="753355A2"/>
    <w:rsid w:val="759F1C61"/>
    <w:rsid w:val="762D37B1"/>
    <w:rsid w:val="769F2DE8"/>
    <w:rsid w:val="76FDEB7C"/>
    <w:rsid w:val="7704568A"/>
    <w:rsid w:val="797B323C"/>
    <w:rsid w:val="79C65162"/>
    <w:rsid w:val="79FF7B1B"/>
    <w:rsid w:val="7A817AF7"/>
    <w:rsid w:val="7B65640E"/>
    <w:rsid w:val="7BB46EBB"/>
    <w:rsid w:val="7C9011D9"/>
    <w:rsid w:val="7DC651C5"/>
    <w:rsid w:val="7DF350ED"/>
    <w:rsid w:val="7F193657"/>
    <w:rsid w:val="7F9DA0E8"/>
    <w:rsid w:val="7FCC2834"/>
    <w:rsid w:val="7FF6A4EF"/>
    <w:rsid w:val="92DD1CEF"/>
    <w:rsid w:val="DFFE27A6"/>
    <w:rsid w:val="F05B4F69"/>
    <w:rsid w:val="F97D9566"/>
    <w:rsid w:val="FDFF411C"/>
    <w:rsid w:val="FFFF33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方正仿宋_GBK" w:cs="Times New Roman"/>
      <w:kern w:val="2"/>
      <w:sz w:val="32"/>
      <w:szCs w:val="18"/>
      <w:lang w:val="en-US" w:eastAsia="zh-CN" w:bidi="ar-SA"/>
    </w:rPr>
  </w:style>
  <w:style w:type="paragraph" w:styleId="2">
    <w:name w:val="heading 1"/>
    <w:basedOn w:val="1"/>
    <w:next w:val="1"/>
    <w:qFormat/>
    <w:uiPriority w:val="0"/>
    <w:pPr>
      <w:widowControl w:val="0"/>
      <w:spacing w:beforeAutospacing="1" w:afterAutospacing="1"/>
      <w:jc w:val="left"/>
      <w:outlineLvl w:val="0"/>
    </w:pPr>
    <w:rPr>
      <w:rFonts w:ascii="宋体" w:hAnsi="宋体" w:eastAsia="宋体" w:cs="Times New Roman"/>
      <w:b/>
      <w:kern w:val="44"/>
      <w:sz w:val="48"/>
      <w:szCs w:val="48"/>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pPr>
      <w:widowControl w:val="0"/>
      <w:jc w:val="both"/>
    </w:pPr>
    <w:rPr>
      <w:rFonts w:ascii="宋体" w:eastAsia="宋体" w:cs="宋体"/>
      <w:kern w:val="2"/>
      <w:sz w:val="21"/>
      <w:szCs w:val="21"/>
      <w:lang w:val="zh-CN" w:eastAsia="zh-CN" w:bidi="zh-CN"/>
    </w:rPr>
  </w:style>
  <w:style w:type="paragraph" w:styleId="6">
    <w:name w:val="Date"/>
    <w:basedOn w:val="1"/>
    <w:next w:val="1"/>
    <w:qFormat/>
    <w:uiPriority w:val="0"/>
    <w:pPr>
      <w:widowControl w:val="0"/>
    </w:pPr>
    <w:rPr>
      <w:rFonts w:ascii="宋体" w:eastAsia="宋体"/>
      <w:sz w:val="28"/>
      <w:szCs w:val="20"/>
    </w:rPr>
  </w:style>
  <w:style w:type="paragraph" w:styleId="7">
    <w:name w:val="toc 5"/>
    <w:basedOn w:val="1"/>
    <w:next w:val="1"/>
    <w:unhideWhenUsed/>
    <w:qFormat/>
    <w:uiPriority w:val="39"/>
    <w:pPr>
      <w:spacing w:line="600" w:lineRule="exact"/>
      <w:ind w:firstLine="200" w:firstLineChars="200"/>
      <w:jc w:val="left"/>
    </w:pPr>
    <w:rPr>
      <w:rFonts w:ascii="方正黑体_GBK" w:eastAsia="方正黑体_GBK" w:cs="Times New Roman"/>
      <w:sz w:val="32"/>
      <w:szCs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pPr>
    <w:rPr>
      <w:rFonts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character" w:styleId="16">
    <w:name w:val="page number"/>
    <w:basedOn w:val="14"/>
    <w:qFormat/>
    <w:uiPriority w:val="0"/>
    <w:rPr>
      <w:sz w:val="28"/>
      <w:szCs w:val="28"/>
    </w:rPr>
  </w:style>
  <w:style w:type="paragraph" w:customStyle="1" w:styleId="17">
    <w:name w:val="p0"/>
    <w:basedOn w:val="1"/>
    <w:qFormat/>
    <w:uiPriority w:val="0"/>
    <w:pPr>
      <w:widowControl/>
    </w:pPr>
    <w:rPr>
      <w:rFonts w:ascii="Calibri" w:hAnsi="Calibri" w:eastAsia="宋体" w:cs="宋体"/>
      <w:kern w:val="0"/>
      <w:szCs w:val="32"/>
    </w:rPr>
  </w:style>
  <w:style w:type="paragraph" w:customStyle="1" w:styleId="18">
    <w:name w:val="正文首行缩进1"/>
    <w:basedOn w:val="5"/>
    <w:next w:val="19"/>
    <w:qFormat/>
    <w:uiPriority w:val="0"/>
    <w:pPr>
      <w:adjustRightInd w:val="0"/>
      <w:spacing w:line="275" w:lineRule="atLeast"/>
      <w:ind w:firstLine="420"/>
      <w:textAlignment w:val="baseline"/>
    </w:pPr>
    <w:rPr>
      <w:rFonts w:hAnsi="宋体" w:eastAsia="楷体_GB2312"/>
      <w:sz w:val="24"/>
      <w:szCs w:val="20"/>
    </w:rPr>
  </w:style>
  <w:style w:type="paragraph" w:customStyle="1" w:styleId="19">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 w:type="character" w:customStyle="1" w:styleId="20">
    <w:name w:val="fontstyle01"/>
    <w:qFormat/>
    <w:uiPriority w:val="0"/>
    <w:rPr>
      <w:rFonts w:ascii="FZXBSK--GBK1-0" w:hAnsi="FZXBSK--GBK1-0" w:eastAsia="FZXBSK--GBK1-0" w:cs="FZXBSK--GBK1-0"/>
      <w:color w:val="000000"/>
      <w:sz w:val="44"/>
      <w:szCs w:val="44"/>
    </w:rPr>
  </w:style>
  <w:style w:type="character" w:customStyle="1" w:styleId="21">
    <w:name w:val="fontstyle11"/>
    <w:qFormat/>
    <w:uiPriority w:val="0"/>
    <w:rPr>
      <w:rFonts w:ascii="FZFSK--GBK1-0" w:hAnsi="FZFSK--GBK1-0" w:eastAsia="FZFSK--GBK1-0" w:cs="FZFSK--GBK1-0"/>
      <w:color w:val="000000"/>
      <w:sz w:val="32"/>
      <w:szCs w:val="32"/>
    </w:rPr>
  </w:style>
  <w:style w:type="paragraph" w:customStyle="1" w:styleId="22">
    <w:name w:val="正文-公1"/>
    <w:basedOn w:val="1"/>
    <w:qFormat/>
    <w:uiPriority w:val="0"/>
    <w:pPr>
      <w:widowControl w:val="0"/>
      <w:ind w:firstLine="200" w:firstLineChars="200"/>
      <w:jc w:val="left"/>
    </w:pPr>
    <w:rPr>
      <w:rFonts w:ascii="Calibri" w:hAnsi="Calibri" w:eastAsia="仿宋_GB2312" w:cs="Times New Roman"/>
      <w:sz w:val="21"/>
      <w:szCs w:val="24"/>
    </w:rPr>
  </w:style>
  <w:style w:type="paragraph" w:customStyle="1" w:styleId="2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4">
    <w:name w:val="正文表标题"/>
    <w:next w:val="1"/>
    <w:qFormat/>
    <w:uiPriority w:val="0"/>
    <w:pPr>
      <w:numPr>
        <w:ilvl w:val="0"/>
        <w:numId w:val="1"/>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25">
    <w:name w:val="正文缩进1"/>
    <w:basedOn w:val="1"/>
    <w:qFormat/>
    <w:uiPriority w:val="0"/>
    <w:pPr>
      <w:widowControl w:val="0"/>
      <w:ind w:firstLine="420" w:firstLineChars="200"/>
    </w:pPr>
    <w:rPr>
      <w:rFonts w:ascii="Calibri" w:hAnsi="Calibri" w:eastAsia="宋体" w:cs="Times New Roman"/>
      <w:sz w:val="21"/>
      <w:szCs w:val="20"/>
    </w:rPr>
  </w:style>
  <w:style w:type="paragraph" w:customStyle="1" w:styleId="26">
    <w:name w:val="标题 Char Char"/>
    <w:basedOn w:val="1"/>
    <w:qFormat/>
    <w:uiPriority w:val="0"/>
    <w:pPr>
      <w:widowControl w:val="0"/>
      <w:jc w:val="center"/>
      <w:outlineLvl w:val="0"/>
    </w:pPr>
    <w:rPr>
      <w:rFonts w:ascii="Arial" w:hAnsi="Arial" w:eastAsiaTheme="minorEastAsia" w:cstheme="minorBidi"/>
      <w:b/>
      <w:bCs/>
      <w:sz w:val="21"/>
      <w:szCs w:val="21"/>
    </w:rPr>
  </w:style>
  <w:style w:type="character" w:customStyle="1" w:styleId="27">
    <w:name w:val="font01"/>
    <w:basedOn w:val="14"/>
    <w:qFormat/>
    <w:uiPriority w:val="0"/>
    <w:rPr>
      <w:rFonts w:ascii="方正黑体_GBK" w:hAnsi="方正黑体_GBK" w:eastAsia="方正黑体_GBK" w:cs="方正黑体_GBK"/>
      <w:color w:val="000000"/>
      <w:sz w:val="22"/>
      <w:szCs w:val="22"/>
      <w:u w:val="none"/>
    </w:rPr>
  </w:style>
  <w:style w:type="character" w:customStyle="1" w:styleId="28">
    <w:name w:val="font11"/>
    <w:basedOn w:val="14"/>
    <w:qFormat/>
    <w:uiPriority w:val="0"/>
    <w:rPr>
      <w:rFonts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6964</Words>
  <Characters>7167</Characters>
  <Lines>1</Lines>
  <Paragraphs>1</Paragraphs>
  <TotalTime>0</TotalTime>
  <ScaleCrop>false</ScaleCrop>
  <LinksUpToDate>false</LinksUpToDate>
  <CharactersWithSpaces>7167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政府办综合科1（公文处理）</cp:lastModifiedBy>
  <cp:lastPrinted>2022-05-12T08:46:00Z</cp:lastPrinted>
  <dcterms:modified xsi:type="dcterms:W3CDTF">2025-12-16T03:37:29Z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0756C2608EE840B487E4661386CFEFEF</vt:lpwstr>
  </property>
  <property fmtid="{D5CDD505-2E9C-101B-9397-08002B2CF9AE}" pid="4" name="KSOTemplateDocerSaveRecord">
    <vt:lpwstr>eyJoZGlkIjoiMWIyZWI1NWJlYWJiZDFlNzg4Mjk1YmQ1YzNmZjIwMWUiLCJ1c2VySWQiOiI0NDYwNjI2NDIifQ==</vt:lpwstr>
  </property>
</Properties>
</file>