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_GBK"/>
          <w:sz w:val="22"/>
        </w:rPr>
      </w:pPr>
    </w:p>
    <w:p>
      <w:pPr>
        <w:widowControl w:val="0"/>
        <w:snapToGrid w:val="0"/>
        <w:jc w:val="center"/>
        <w:rPr>
          <w:rFonts w:ascii="方正小标宋_GBK" w:eastAsia="方正小标宋_GBK"/>
          <w:sz w:val="34"/>
        </w:rPr>
      </w:pPr>
    </w:p>
    <w:p>
      <w:pPr>
        <w:widowControl w:val="0"/>
        <w:snapToGrid w:val="0"/>
        <w:spacing w:line="540" w:lineRule="exact"/>
        <w:jc w:val="center"/>
        <w:rPr>
          <w:rFonts w:ascii="方正小标宋_GBK" w:eastAsia="方正小标宋_GBK" w:cs="方正小标宋_GBK"/>
          <w:sz w:val="44"/>
          <w:szCs w:val="44"/>
        </w:rPr>
      </w:pPr>
      <w:r>
        <w:rPr>
          <w:rFonts w:hint="eastAsia" w:ascii="方正小标宋_GBK" w:eastAsia="方正小标宋_GBK" w:cs="方正小标宋_GBK"/>
          <w:sz w:val="44"/>
          <w:szCs w:val="44"/>
        </w:rPr>
        <w:t>秀山土家族苗族自治县人民政府办公室</w:t>
      </w:r>
    </w:p>
    <w:p>
      <w:pPr>
        <w:widowControl w:val="0"/>
        <w:snapToGrid w:val="0"/>
        <w:spacing w:line="540" w:lineRule="exact"/>
        <w:jc w:val="center"/>
        <w:rPr>
          <w:rFonts w:hint="eastAsia" w:ascii="方正小标宋_GBK" w:eastAsia="方正小标宋_GBK"/>
          <w:sz w:val="44"/>
          <w:szCs w:val="44"/>
        </w:rPr>
      </w:pPr>
      <w:r>
        <w:rPr>
          <w:rFonts w:hint="eastAsia" w:ascii="方正小标宋_GBK" w:eastAsia="方正小标宋_GBK" w:cs="方正小标宋_GBK"/>
          <w:sz w:val="44"/>
          <w:szCs w:val="44"/>
        </w:rPr>
        <w:t>关于印发</w:t>
      </w:r>
      <w:r>
        <w:rPr>
          <w:rFonts w:hint="eastAsia" w:ascii="方正小标宋_GBK" w:eastAsia="方正小标宋_GBK"/>
          <w:sz w:val="44"/>
          <w:szCs w:val="44"/>
        </w:rPr>
        <w:t>《秀山自治县农村公益性公墓设施</w:t>
      </w:r>
    </w:p>
    <w:p>
      <w:pPr>
        <w:widowControl w:val="0"/>
        <w:snapToGrid w:val="0"/>
        <w:spacing w:line="540" w:lineRule="exact"/>
        <w:jc w:val="center"/>
        <w:rPr>
          <w:rFonts w:ascii="方正小标宋_GBK" w:eastAsia="方正小标宋_GBK"/>
          <w:sz w:val="44"/>
          <w:szCs w:val="32"/>
        </w:rPr>
      </w:pPr>
      <w:r>
        <w:rPr>
          <w:rFonts w:hint="eastAsia" w:ascii="方正小标宋_GBK" w:eastAsia="方正小标宋_GBK"/>
          <w:sz w:val="44"/>
          <w:szCs w:val="44"/>
        </w:rPr>
        <w:t>建设三年行动实施方案</w:t>
      </w:r>
      <w:r>
        <w:rPr>
          <w:rFonts w:hint="eastAsia" w:ascii="方正小标宋_GBK" w:eastAsia="方正小标宋_GBK" w:cs="方正小标宋_GBK"/>
          <w:sz w:val="44"/>
          <w:szCs w:val="44"/>
        </w:rPr>
        <w:t>》的通知</w:t>
      </w:r>
    </w:p>
    <w:p>
      <w:pPr>
        <w:widowControl w:val="0"/>
        <w:snapToGrid w:val="0"/>
        <w:jc w:val="center"/>
        <w:rPr>
          <w:color w:val="000000"/>
          <w:szCs w:val="32"/>
        </w:rPr>
      </w:pPr>
      <w:r>
        <w:rPr>
          <w:color w:val="000000"/>
          <w:szCs w:val="32"/>
        </w:rPr>
        <w:t>秀山府办发〔2022</w:t>
      </w:r>
      <w:r>
        <w:rPr>
          <w:rFonts w:hint="default"/>
          <w:color w:val="000000"/>
          <w:szCs w:val="32"/>
        </w:rPr>
        <w:t>〕5</w:t>
      </w:r>
      <w:r>
        <w:rPr>
          <w:rFonts w:hint="eastAsia"/>
          <w:color w:val="000000"/>
          <w:szCs w:val="32"/>
          <w:lang w:val="en-US" w:eastAsia="zh-CN"/>
        </w:rPr>
        <w:t>5</w:t>
      </w:r>
      <w:r>
        <w:rPr>
          <w:rFonts w:hint="default"/>
          <w:color w:val="000000"/>
          <w:szCs w:val="32"/>
        </w:rPr>
        <w:t>号</w:t>
      </w:r>
    </w:p>
    <w:p>
      <w:pPr>
        <w:pStyle w:val="2"/>
        <w:snapToGrid w:val="0"/>
        <w:spacing w:beforeAutospacing="0" w:afterAutospacing="0"/>
        <w:jc w:val="both"/>
        <w:rPr>
          <w:rFonts w:ascii="Times New Roman" w:hAnsi="Times New Roman" w:eastAsia="方正仿宋_GBK"/>
          <w:b w:val="0"/>
          <w:color w:val="000000"/>
          <w:kern w:val="2"/>
          <w:sz w:val="32"/>
          <w:szCs w:val="32"/>
        </w:rPr>
      </w:pPr>
    </w:p>
    <w:p>
      <w:pPr>
        <w:pStyle w:val="2"/>
        <w:snapToGrid w:val="0"/>
        <w:spacing w:beforeAutospacing="0" w:afterAutospacing="0"/>
        <w:jc w:val="both"/>
        <w:rPr>
          <w:rFonts w:ascii="Times New Roman" w:hAnsi="Times New Roman" w:eastAsia="方正仿宋_GBK"/>
          <w:b w:val="0"/>
          <w:color w:val="000000"/>
          <w:kern w:val="2"/>
          <w:sz w:val="32"/>
          <w:szCs w:val="32"/>
        </w:rPr>
      </w:pPr>
      <w:r>
        <w:rPr>
          <w:rFonts w:ascii="Times New Roman" w:hAnsi="Times New Roman" w:eastAsia="方正仿宋_GBK"/>
          <w:b w:val="0"/>
          <w:color w:val="000000"/>
          <w:kern w:val="2"/>
          <w:sz w:val="32"/>
          <w:szCs w:val="32"/>
        </w:rPr>
        <w:t>各街道办事处</w:t>
      </w:r>
      <w:r>
        <w:rPr>
          <w:rFonts w:hint="eastAsia" w:ascii="Times New Roman" w:hAnsi="Times New Roman" w:eastAsia="方正仿宋_GBK"/>
          <w:b w:val="0"/>
          <w:color w:val="000000"/>
          <w:kern w:val="2"/>
          <w:sz w:val="32"/>
          <w:szCs w:val="32"/>
        </w:rPr>
        <w:t>、</w:t>
      </w:r>
      <w:r>
        <w:rPr>
          <w:rFonts w:ascii="Times New Roman" w:hAnsi="Times New Roman" w:eastAsia="方正仿宋_GBK"/>
          <w:b w:val="0"/>
          <w:color w:val="000000"/>
          <w:kern w:val="2"/>
          <w:sz w:val="32"/>
          <w:szCs w:val="32"/>
        </w:rPr>
        <w:t>乡镇人民政府，县政府有关部门，有关单位：</w:t>
      </w:r>
    </w:p>
    <w:p>
      <w:pPr>
        <w:widowControl w:val="0"/>
        <w:snapToGrid w:val="0"/>
        <w:ind w:firstLine="640"/>
        <w:rPr>
          <w:color w:val="000000"/>
          <w:szCs w:val="32"/>
        </w:rPr>
      </w:pPr>
      <w:r>
        <w:rPr>
          <w:rFonts w:hint="eastAsia"/>
          <w:color w:val="000000"/>
          <w:szCs w:val="32"/>
        </w:rPr>
        <w:t>《秀山自治县农村公益性公墓设施建设三年行动实施方案》</w:t>
      </w:r>
      <w:r>
        <w:rPr>
          <w:color w:val="000000"/>
          <w:szCs w:val="32"/>
        </w:rPr>
        <w:t>已经十八届县人民政府第</w:t>
      </w:r>
      <w:r>
        <w:rPr>
          <w:rFonts w:hint="eastAsia"/>
          <w:color w:val="000000"/>
          <w:szCs w:val="32"/>
        </w:rPr>
        <w:t>17</w:t>
      </w:r>
      <w:r>
        <w:rPr>
          <w:color w:val="000000"/>
          <w:szCs w:val="32"/>
        </w:rPr>
        <w:t>次常务会议审议通过，现印发给你们，请抓好贯彻落实。</w:t>
      </w:r>
    </w:p>
    <w:p>
      <w:pPr>
        <w:widowControl w:val="0"/>
      </w:pPr>
    </w:p>
    <w:p>
      <w:pPr>
        <w:widowControl w:val="0"/>
        <w:rPr>
          <w:rFonts w:hint="eastAsia"/>
        </w:rPr>
      </w:pPr>
    </w:p>
    <w:p>
      <w:pPr>
        <w:widowControl w:val="0"/>
        <w:ind w:right="624" w:firstLine="2560"/>
        <w:jc w:val="right"/>
        <w:rPr>
          <w:szCs w:val="32"/>
        </w:rPr>
      </w:pPr>
      <w:r>
        <w:rPr>
          <w:szCs w:val="32"/>
        </w:rPr>
        <w:t>秀山土家族苗族自治县人民政府办公室</w:t>
      </w:r>
    </w:p>
    <w:p>
      <w:pPr>
        <w:pStyle w:val="2"/>
        <w:spacing w:beforeAutospacing="0" w:afterAutospacing="0"/>
        <w:ind w:right="1247" w:firstLine="4480"/>
        <w:jc w:val="right"/>
        <w:rPr>
          <w:rFonts w:ascii="Times New Roman" w:hAnsi="Times New Roman" w:eastAsia="方正仿宋_GBK"/>
          <w:b w:val="0"/>
          <w:bCs/>
          <w:sz w:val="32"/>
          <w:szCs w:val="32"/>
        </w:rPr>
      </w:pPr>
      <w:r>
        <w:rPr>
          <w:rFonts w:hint="eastAsia" w:ascii="Times New Roman" w:hAnsi="Times New Roman" w:eastAsia="方正仿宋_GBK"/>
          <w:b w:val="0"/>
          <w:bCs/>
          <w:sz w:val="32"/>
          <w:szCs w:val="32"/>
        </w:rPr>
        <w:t>2022</w:t>
      </w:r>
      <w:r>
        <w:rPr>
          <w:rFonts w:ascii="Times New Roman" w:hAnsi="Times New Roman" w:eastAsia="方正仿宋_GBK"/>
          <w:b w:val="0"/>
          <w:bCs/>
          <w:sz w:val="32"/>
          <w:szCs w:val="32"/>
        </w:rPr>
        <w:t>年</w:t>
      </w:r>
      <w:r>
        <w:rPr>
          <w:rFonts w:hint="eastAsia" w:ascii="Times New Roman" w:hAnsi="Times New Roman" w:eastAsia="方正仿宋_GBK"/>
          <w:b w:val="0"/>
          <w:bCs/>
          <w:sz w:val="32"/>
          <w:szCs w:val="32"/>
        </w:rPr>
        <w:t>9</w:t>
      </w:r>
      <w:r>
        <w:rPr>
          <w:rFonts w:ascii="Times New Roman" w:hAnsi="Times New Roman" w:eastAsia="方正仿宋_GBK"/>
          <w:b w:val="0"/>
          <w:bCs/>
          <w:sz w:val="32"/>
          <w:szCs w:val="32"/>
        </w:rPr>
        <w:t>月</w:t>
      </w:r>
      <w:r>
        <w:rPr>
          <w:rFonts w:hint="eastAsia" w:ascii="Times New Roman" w:hAnsi="Times New Roman" w:eastAsia="方正仿宋_GBK"/>
          <w:b w:val="0"/>
          <w:bCs/>
          <w:sz w:val="32"/>
          <w:szCs w:val="32"/>
        </w:rPr>
        <w:t>5</w:t>
      </w:r>
      <w:r>
        <w:rPr>
          <w:rFonts w:ascii="Times New Roman" w:hAnsi="Times New Roman" w:eastAsia="方正仿宋_GBK"/>
          <w:b w:val="0"/>
          <w:bCs/>
          <w:sz w:val="32"/>
          <w:szCs w:val="32"/>
        </w:rPr>
        <w:t>日</w:t>
      </w:r>
    </w:p>
    <w:p>
      <w:pPr>
        <w:widowControl w:val="0"/>
        <w:snapToGrid w:val="0"/>
        <w:jc w:val="center"/>
        <w:rPr>
          <w:rFonts w:ascii="方正小标宋_GBK" w:eastAsia="方正小标宋_GBK" w:cs="方正小标宋_GBK"/>
          <w:sz w:val="44"/>
          <w:szCs w:val="44"/>
        </w:rPr>
      </w:pPr>
      <w:r>
        <w:rPr>
          <w:rFonts w:ascii="方正小标宋_GBK" w:eastAsia="方正小标宋_GBK" w:cs="方正小标宋_GBK"/>
          <w:sz w:val="44"/>
          <w:szCs w:val="44"/>
        </w:rPr>
        <w:br w:type="page"/>
      </w:r>
    </w:p>
    <w:p>
      <w:pPr>
        <w:widowControl w:val="0"/>
        <w:snapToGrid w:val="0"/>
        <w:jc w:val="center"/>
        <w:rPr>
          <w:rFonts w:hint="eastAsia" w:asci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_GBK" w:eastAsia="方正小标宋_GBK" w:cs="方正小标宋_GBK"/>
          <w:sz w:val="44"/>
          <w:szCs w:val="44"/>
        </w:rPr>
      </w:pPr>
      <w:r>
        <w:rPr>
          <w:rFonts w:hint="eastAsia" w:ascii="方正小标宋_GBK" w:eastAsia="方正小标宋_GBK" w:cs="方正小标宋_GBK"/>
          <w:sz w:val="44"/>
          <w:szCs w:val="44"/>
        </w:rPr>
        <w:t>秀山自治县农村公益性公墓设施</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_GBK" w:eastAsia="方正小标宋_GBK" w:cs="方正楷体_GBK"/>
          <w:sz w:val="44"/>
          <w:szCs w:val="32"/>
        </w:rPr>
      </w:pPr>
      <w:r>
        <w:rPr>
          <w:rFonts w:hint="eastAsia" w:ascii="方正小标宋_GBK" w:eastAsia="方正小标宋_GBK" w:cs="方正小标宋_GBK"/>
          <w:sz w:val="44"/>
          <w:szCs w:val="44"/>
        </w:rPr>
        <w:t>建设三年行动实施方案</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_GBK" w:eastAsia="方正小标宋_GBK"/>
          <w:sz w:val="26"/>
          <w:szCs w:val="32"/>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szCs w:val="32"/>
        </w:rPr>
      </w:pPr>
      <w:r>
        <w:rPr>
          <w:szCs w:val="32"/>
        </w:rPr>
        <w:t>为进一步深化殡葬改革，助力全县城市建设、助力乡村振兴，有效推进农村公益性公墓建设，规范殡葬秩序，有效治理乱埋乱葬现象，不断满足人民群众的丧葬需求，促进全县殡葬事业科学发展，根据《国务院殡葬管理条例》《重庆市殡葬管理条例》《秀山土家族苗族自治县殡葬管理条例》相关规定，认真贯彻</w:t>
      </w:r>
      <w:r>
        <w:rPr>
          <w:rFonts w:hint="eastAsia"/>
          <w:szCs w:val="32"/>
        </w:rPr>
        <w:t>重庆市委、市政府关于</w:t>
      </w:r>
      <w:r>
        <w:rPr>
          <w:szCs w:val="32"/>
        </w:rPr>
        <w:t>2022</w:t>
      </w:r>
      <w:r>
        <w:rPr>
          <w:rFonts w:hint="eastAsia"/>
          <w:szCs w:val="32"/>
        </w:rPr>
        <w:t>年乡村振兴重点工作的战略部署和重庆市民政局关于解决殡葬领域突出问题的工作要求，</w:t>
      </w:r>
      <w:r>
        <w:rPr>
          <w:szCs w:val="32"/>
        </w:rPr>
        <w:t>结合我县实际，特制定本</w:t>
      </w:r>
      <w:r>
        <w:rPr>
          <w:rFonts w:hint="eastAsia"/>
          <w:szCs w:val="32"/>
        </w:rPr>
        <w:t>实施方案</w:t>
      </w:r>
      <w:r>
        <w:rPr>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szCs w:val="32"/>
        </w:rPr>
      </w:pPr>
      <w:r>
        <w:rPr>
          <w:rFonts w:hint="eastAsia" w:ascii="方正黑体_GBK" w:hAnsi="方正黑体_GBK" w:eastAsia="方正黑体_GBK" w:cs="方正黑体_GBK"/>
          <w:szCs w:val="32"/>
        </w:rPr>
        <w:t>一、指导思想</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szCs w:val="32"/>
        </w:rPr>
      </w:pPr>
      <w:r>
        <w:rPr>
          <w:szCs w:val="32"/>
        </w:rPr>
        <w:t>以习近平新时代中国特色社会主义思想为指导，深入贯彻落实党的十九大和十九届历次全会精神，以推行惠民、生态、文明、节地殡葬为基本方针，以提升殡葬公共服务能力、减轻群众殡葬负担、推进移风易俗</w:t>
      </w:r>
      <w:r>
        <w:rPr>
          <w:rFonts w:hint="eastAsia"/>
          <w:szCs w:val="32"/>
        </w:rPr>
        <w:t>、助力乡村振兴</w:t>
      </w:r>
      <w:r>
        <w:rPr>
          <w:szCs w:val="32"/>
        </w:rPr>
        <w:t>为基本目标，以</w:t>
      </w:r>
      <w:r>
        <w:rPr>
          <w:rFonts w:hint="eastAsia"/>
          <w:szCs w:val="32"/>
        </w:rPr>
        <w:t>“</w:t>
      </w:r>
      <w:r>
        <w:rPr>
          <w:szCs w:val="32"/>
        </w:rPr>
        <w:t>科学规划、合理布局、全面覆盖、分期建设</w:t>
      </w:r>
      <w:r>
        <w:rPr>
          <w:rFonts w:hint="eastAsia"/>
          <w:szCs w:val="32"/>
        </w:rPr>
        <w:t>”</w:t>
      </w:r>
      <w:r>
        <w:rPr>
          <w:szCs w:val="32"/>
        </w:rPr>
        <w:t>为基本要求，有序解决违规土葬和散埋乱葬等问题，推进农村公益性公墓设施建设，树立厚养薄葬文明殡葬新风尚，推进全县精神文明和生态文明建设再上新台阶。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方正黑体_GBK" w:hAnsi="方正黑体_GBK" w:eastAsia="方正黑体_GBK" w:cs="方正黑体_GBK"/>
          <w:szCs w:val="32"/>
        </w:rPr>
      </w:pPr>
      <w:r>
        <w:rPr>
          <w:rFonts w:hint="eastAsia" w:ascii="方正黑体_GBK" w:hAnsi="方正黑体_GBK" w:eastAsia="方正黑体_GBK" w:cs="方正黑体_GBK"/>
          <w:szCs w:val="32"/>
        </w:rPr>
        <w:t>二、基本原则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szCs w:val="32"/>
        </w:rPr>
      </w:pPr>
      <w:r>
        <w:rPr>
          <w:rFonts w:hint="eastAsia" w:ascii="方正楷体_GBK" w:hAnsi="方正楷体_GBK" w:eastAsia="方正楷体_GBK" w:cs="方正楷体_GBK"/>
          <w:szCs w:val="32"/>
        </w:rPr>
        <w:t>（一）以人为本，公益便民。</w:t>
      </w:r>
      <w:r>
        <w:rPr>
          <w:szCs w:val="32"/>
        </w:rPr>
        <w:t>坚持从最广大人民群众的根本利益出发，明确农村公益性公墓是经依法批准建设不以营利为目的的殡葬场所，属社会公益性福利设施，要按照便民原则建设，体现以人为本，体现节约用地，体现绿色生态。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szCs w:val="32"/>
        </w:rPr>
      </w:pPr>
      <w:r>
        <w:rPr>
          <w:rFonts w:hint="eastAsia" w:ascii="方正楷体_GBK" w:hAnsi="方正楷体_GBK" w:eastAsia="方正楷体_GBK" w:cs="方正楷体_GBK"/>
          <w:szCs w:val="32"/>
        </w:rPr>
        <w:t>（二）政府指导，社会参与。</w:t>
      </w:r>
      <w:r>
        <w:rPr>
          <w:szCs w:val="32"/>
        </w:rPr>
        <w:t>将农村公益性公墓建设纳入基本公共服务保障范围，发挥政府</w:t>
      </w:r>
      <w:r>
        <w:rPr>
          <w:rFonts w:hint="eastAsia"/>
          <w:szCs w:val="32"/>
        </w:rPr>
        <w:t>引导</w:t>
      </w:r>
      <w:r>
        <w:rPr>
          <w:szCs w:val="32"/>
        </w:rPr>
        <w:t>指导作用，同时鼓励集体经济组织、社会组织、企业</w:t>
      </w:r>
      <w:r>
        <w:rPr>
          <w:rFonts w:hint="eastAsia"/>
          <w:szCs w:val="32"/>
        </w:rPr>
        <w:t>、</w:t>
      </w:r>
      <w:r>
        <w:rPr>
          <w:szCs w:val="32"/>
        </w:rPr>
        <w:t>个人等社会力量提供帮助捐助，广泛发动农民群众自觉参与。</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pPr>
      <w:r>
        <w:rPr>
          <w:rFonts w:hint="eastAsia" w:ascii="方正楷体_GBK" w:hAnsi="方正楷体_GBK" w:eastAsia="方正楷体_GBK" w:cs="方正楷体_GBK"/>
          <w:szCs w:val="32"/>
        </w:rPr>
        <w:t>（三）科学规划，合理布局。</w:t>
      </w:r>
      <w:r>
        <w:rPr>
          <w:szCs w:val="32"/>
        </w:rPr>
        <w:t>坚持</w:t>
      </w:r>
      <w:r>
        <w:rPr>
          <w:rFonts w:hint="eastAsia"/>
          <w:szCs w:val="32"/>
        </w:rPr>
        <w:t>“</w:t>
      </w:r>
      <w:r>
        <w:rPr>
          <w:szCs w:val="32"/>
        </w:rPr>
        <w:t>节约殡葬用地，骨灰处理多样化</w:t>
      </w:r>
      <w:r>
        <w:rPr>
          <w:rFonts w:hint="eastAsia"/>
          <w:szCs w:val="32"/>
        </w:rPr>
        <w:t>”</w:t>
      </w:r>
      <w:r>
        <w:rPr>
          <w:szCs w:val="32"/>
        </w:rPr>
        <w:t>的原则，将农村公益性公墓的布局纳入农村总体规划、土地利用总体规划和乡村振兴战略总体规划，选址要远离交通主干线、人口集中区、水库、饮用水源地、文物保护区和旅游景点等，不得占用永久性耕地修建公墓。</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方正黑体_GBK" w:hAnsi="方正黑体_GBK" w:eastAsia="方正黑体_GBK" w:cs="方正黑体_GBK"/>
          <w:szCs w:val="32"/>
        </w:rPr>
      </w:pPr>
      <w:r>
        <w:rPr>
          <w:rFonts w:hint="eastAsia" w:ascii="方正黑体_GBK" w:hAnsi="方正黑体_GBK" w:eastAsia="方正黑体_GBK" w:cs="方正黑体_GBK"/>
          <w:szCs w:val="32"/>
        </w:rPr>
        <w:t>三、工作目标</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color w:val="0000FF"/>
          <w:szCs w:val="32"/>
        </w:rPr>
      </w:pPr>
      <w:r>
        <w:rPr>
          <w:szCs w:val="32"/>
        </w:rPr>
        <w:t>全县各乡镇按照科学规划、合理布局、分期建设的要求，积极推进农村公益性公墓建设。从2022年开始，计划用3年的时间，力争到2024年末，建成投用一批、开工建设一批、规划选址一批，基本实现全县乡镇农村公益性公墓设施建设全面</w:t>
      </w:r>
      <w:r>
        <w:rPr>
          <w:rFonts w:hint="eastAsia"/>
          <w:szCs w:val="32"/>
        </w:rPr>
        <w:t>覆盖</w:t>
      </w:r>
      <w:r>
        <w:rPr>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方正黑体_GBK" w:hAnsi="方正黑体_GBK" w:eastAsia="方正黑体_GBK" w:cs="方正黑体_GBK"/>
          <w:szCs w:val="32"/>
        </w:rPr>
      </w:pPr>
      <w:r>
        <w:rPr>
          <w:rFonts w:hint="eastAsia" w:ascii="方正黑体_GBK" w:hAnsi="方正黑体_GBK" w:eastAsia="方正黑体_GBK" w:cs="方正黑体_GBK"/>
          <w:szCs w:val="32"/>
        </w:rPr>
        <w:t>四、重点内容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szCs w:val="32"/>
        </w:rPr>
      </w:pPr>
      <w:r>
        <w:rPr>
          <w:szCs w:val="32"/>
        </w:rPr>
        <w:t>农村公益性公墓建设要按照重庆市地方标准《公益性公墓建设规范》实施，是由乡镇人民政府、村民自治组织设立建设，为本区域内集体组织成员提供骨灰安葬（安放）、遗体安葬的集体福利设施。任何单位和个人未经批准，不得擅自兴建殡葬设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szCs w:val="32"/>
        </w:rPr>
      </w:pPr>
      <w:r>
        <w:rPr>
          <w:rFonts w:hint="eastAsia" w:ascii="方正楷体_GBK" w:hAnsi="方正楷体_GBK" w:eastAsia="方正楷体_GBK" w:cs="方正楷体_GBK"/>
          <w:szCs w:val="32"/>
        </w:rPr>
        <w:t>（一）合理选址，科学规划。</w:t>
      </w:r>
      <w:r>
        <w:rPr>
          <w:szCs w:val="32"/>
        </w:rPr>
        <w:t>倡导节地生态葬式葬法，各乡镇结合当地人口数量、地理环境、丧葬需求等实际情况，合理规划公益性公墓的数量和规模。原则上以乡镇为单位建设，或以村为单位单建、相邻多村联建等方式开展。1个村设置1个公益性公墓的，一般规划用地规模控制在15亩以内；对土地较少的地区或人口较少的村提倡以乡镇为单位由若干相邻行政村联建，一般规划用地规模控制在60亩以内。公益性公墓选址应优先选择荒山、瘠地，不得占用耕地、林地。公墓必须距城市公园、风景名胜区和文物保护区、自然保护区2000米以外，距水库、水源、河流堤坝、铁路、公路主干线</w:t>
      </w:r>
      <w:r>
        <w:rPr>
          <w:rFonts w:hint="eastAsia"/>
          <w:szCs w:val="32"/>
        </w:rPr>
        <w:t>两侧</w:t>
      </w:r>
      <w:r>
        <w:rPr>
          <w:szCs w:val="32"/>
        </w:rPr>
        <w:t>、居民居住区500米以外</w:t>
      </w:r>
      <w:r>
        <w:rPr>
          <w:rFonts w:hint="eastAsia"/>
          <w:szCs w:val="32"/>
        </w:rPr>
        <w:t>。</w:t>
      </w:r>
    </w:p>
    <w:p>
      <w:pPr>
        <w:pStyle w:val="21"/>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560" w:lineRule="exact"/>
        <w:ind w:firstLine="640" w:firstLineChars="200"/>
        <w:jc w:val="both"/>
        <w:textAlignment w:val="auto"/>
        <w:rPr>
          <w:rFonts w:ascii="Times New Roman" w:eastAsia="方正仿宋_GBK"/>
          <w:sz w:val="32"/>
          <w:szCs w:val="32"/>
        </w:rPr>
      </w:pPr>
      <w:r>
        <w:rPr>
          <w:rFonts w:hint="eastAsia" w:ascii="方正楷体_GBK" w:hAnsi="方正楷体_GBK" w:eastAsia="方正楷体_GBK" w:cs="方正楷体_GBK"/>
          <w:sz w:val="32"/>
          <w:szCs w:val="32"/>
        </w:rPr>
        <w:t>（二）统一标准，规范建设。</w:t>
      </w:r>
      <w:r>
        <w:rPr>
          <w:rFonts w:ascii="Times New Roman" w:eastAsia="方正仿宋_GBK"/>
          <w:sz w:val="32"/>
          <w:szCs w:val="32"/>
        </w:rPr>
        <w:t>按照节约用地、文明节俭的原则进行建设和使用。埋葬遗体的单人墓占地面积不超过4平方米；埋葬遗体的双人合葬墓占地面积不超过6平方米；埋葬骨灰的单人墓和双人合葬墓占地面积不得超过1平方米。骨灰墓墓碑顶端距地表面高度不超过0.8米，遗体墓高不超过1.</w:t>
      </w:r>
      <w:r>
        <w:rPr>
          <w:rFonts w:hint="eastAsia" w:ascii="Times New Roman" w:eastAsia="方正仿宋_GBK"/>
          <w:sz w:val="32"/>
          <w:szCs w:val="32"/>
        </w:rPr>
        <w:t>4</w:t>
      </w:r>
      <w:r>
        <w:rPr>
          <w:rFonts w:ascii="Times New Roman" w:eastAsia="方正仿宋_GBK"/>
          <w:sz w:val="32"/>
          <w:szCs w:val="32"/>
        </w:rPr>
        <w:t>米，墓型墓碑应小型化，墓碑设计规格样式统一，墓排整齐规范，墓位间以绿化带相隔，间距不宜大于1米。墓区用地占80%，配套设施、墓地道路、绿化用地占20%，条件适宜可以配套公共祭祀区、管理房、卫生间、停车场等。</w:t>
      </w:r>
    </w:p>
    <w:p>
      <w:pPr>
        <w:pStyle w:val="21"/>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560" w:lineRule="exact"/>
        <w:ind w:firstLine="640" w:firstLineChars="200"/>
        <w:jc w:val="both"/>
        <w:textAlignment w:val="auto"/>
        <w:rPr>
          <w:rFonts w:ascii="Times New Roman" w:eastAsia="方正仿宋_GBK"/>
          <w:sz w:val="32"/>
          <w:szCs w:val="32"/>
        </w:rPr>
      </w:pPr>
      <w:r>
        <w:rPr>
          <w:rFonts w:hint="eastAsia" w:ascii="方正楷体_GBK" w:hAnsi="方正楷体_GBK" w:eastAsia="方正楷体_GBK" w:cs="方正楷体_GBK"/>
          <w:sz w:val="32"/>
          <w:szCs w:val="32"/>
        </w:rPr>
        <w:t>（三）保护环境、节约土地。</w:t>
      </w:r>
      <w:r>
        <w:rPr>
          <w:rFonts w:ascii="Times New Roman" w:eastAsia="方正仿宋_GBK"/>
          <w:sz w:val="32"/>
          <w:szCs w:val="32"/>
        </w:rPr>
        <w:t>公墓建设应与当地生态相协调，因地制宜地进行有特色、园林型的设计，既方便群众祭祀，又做好美化绿化环境，且要有一定规模的公共绿地。积极鼓励推行生态葬，在墓区内规划建设骨灰墓穴、墙、廊、塔等；鼓励规划设置树葬、花葬、草坪葬等。禁止修建家族墓；禁止超标准建立大墓、豪华墓。</w:t>
      </w:r>
    </w:p>
    <w:p>
      <w:pPr>
        <w:pStyle w:val="21"/>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560" w:lineRule="exact"/>
        <w:ind w:firstLine="640" w:firstLineChars="200"/>
        <w:jc w:val="both"/>
        <w:textAlignment w:val="auto"/>
        <w:rPr>
          <w:rFonts w:ascii="Times New Roman" w:eastAsia="方正仿宋_GBK"/>
          <w:sz w:val="32"/>
          <w:szCs w:val="32"/>
        </w:rPr>
      </w:pPr>
      <w:r>
        <w:rPr>
          <w:rFonts w:hint="eastAsia" w:ascii="方正楷体_GBK" w:hAnsi="方正楷体_GBK" w:eastAsia="方正楷体_GBK" w:cs="方正楷体_GBK"/>
          <w:sz w:val="32"/>
          <w:szCs w:val="32"/>
        </w:rPr>
        <w:t>（四）明确主体，规范管理。</w:t>
      </w:r>
      <w:r>
        <w:rPr>
          <w:rFonts w:ascii="Times New Roman" w:eastAsia="方正仿宋_GBK"/>
          <w:sz w:val="32"/>
          <w:szCs w:val="32"/>
        </w:rPr>
        <w:t>各乡镇要切实发挥属地管理职能，加强对公益性公墓的建设实施和监管，不得对外经营服务。公益性公墓由当地村民委员会提出申请，经乡镇人民政府审核同意，报县民政局审批，县民政局报市</w:t>
      </w:r>
      <w:r>
        <w:rPr>
          <w:rFonts w:hint="eastAsia" w:ascii="Times New Roman" w:eastAsia="方正仿宋_GBK"/>
          <w:sz w:val="32"/>
          <w:szCs w:val="32"/>
        </w:rPr>
        <w:t>民政</w:t>
      </w:r>
      <w:r>
        <w:rPr>
          <w:rFonts w:ascii="Times New Roman" w:eastAsia="方正仿宋_GBK"/>
          <w:sz w:val="32"/>
          <w:szCs w:val="32"/>
        </w:rPr>
        <w:t>局备案。</w:t>
      </w:r>
      <w:r>
        <w:rPr>
          <w:rFonts w:hint="eastAsia" w:ascii="Times New Roman" w:eastAsia="方正仿宋_GBK"/>
          <w:sz w:val="32"/>
          <w:szCs w:val="32"/>
        </w:rPr>
        <w:t>公墓投入使用后，所收取的管理费用主要用于公墓管理、维护等，墓穴管理收费标准由县发展改革委会同县民政局共同制定。</w:t>
      </w:r>
      <w:r>
        <w:rPr>
          <w:rFonts w:ascii="Times New Roman" w:eastAsia="方正仿宋_GBK"/>
          <w:sz w:val="32"/>
          <w:szCs w:val="32"/>
        </w:rPr>
        <w:t>对擅自兴建和违规运营公益性墓地的，由县民政局会同相关部门依法</w:t>
      </w:r>
      <w:r>
        <w:rPr>
          <w:rFonts w:hint="eastAsia" w:ascii="Times New Roman" w:eastAsia="方正仿宋_GBK"/>
          <w:sz w:val="32"/>
          <w:szCs w:val="32"/>
        </w:rPr>
        <w:t>查</w:t>
      </w:r>
      <w:r>
        <w:rPr>
          <w:rFonts w:ascii="Times New Roman" w:eastAsia="方正仿宋_GBK"/>
          <w:sz w:val="32"/>
          <w:szCs w:val="32"/>
        </w:rPr>
        <w:t>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szCs w:val="32"/>
        </w:rPr>
      </w:pPr>
      <w:r>
        <w:rPr>
          <w:rFonts w:hint="eastAsia" w:ascii="方正楷体_GBK" w:hAnsi="方正楷体_GBK" w:eastAsia="方正楷体_GBK" w:cs="方正楷体_GBK"/>
          <w:szCs w:val="32"/>
        </w:rPr>
        <w:t>（五）健全机制，创优服务。</w:t>
      </w:r>
      <w:r>
        <w:rPr>
          <w:szCs w:val="32"/>
        </w:rPr>
        <w:t>各乡镇结合本地实际，深化丧葬习俗改革，开展散埋乱葬专项治理活动，采取村民自治，一事一议，村规民约等方式，建立健全公墓的管理制度和办法，加强对墓区的日常管护，落实专门的管理人员负责墓地的维护、安全、登记等日常管理工作。要制定殡葬服务清单，确保为群众提供更加方便、快捷、透明的殡葬服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szCs w:val="32"/>
        </w:rPr>
      </w:pPr>
      <w:r>
        <w:rPr>
          <w:rFonts w:hint="eastAsia" w:ascii="方正黑体_GBK" w:hAnsi="方正黑体_GBK" w:eastAsia="方正黑体_GBK" w:cs="方正黑体_GBK"/>
          <w:szCs w:val="32"/>
        </w:rPr>
        <w:t>五、工作保障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szCs w:val="32"/>
        </w:rPr>
      </w:pPr>
      <w:r>
        <w:rPr>
          <w:rFonts w:hint="eastAsia" w:ascii="方正楷体_GBK" w:hAnsi="方正楷体_GBK" w:eastAsia="方正楷体_GBK" w:cs="方正楷体_GBK"/>
          <w:szCs w:val="32"/>
        </w:rPr>
        <w:t>（一）强化组织领导。</w:t>
      </w:r>
      <w:r>
        <w:rPr>
          <w:szCs w:val="32"/>
        </w:rPr>
        <w:t>各乡镇要将农村公益性公墓设施建设摆上重要议事日程，成立领导小组，建立健全党委领导、政府负责、部门协作、村居联动、社会参与、法制保障的组织领导机构和工作协调机制，细化分解任务，指定专人负责公益性公墓建设的用地选址、前期手续、建设验收、后期管理等工作，确保责任到人、工作到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szCs w:val="32"/>
        </w:rPr>
      </w:pPr>
      <w:r>
        <w:rPr>
          <w:rFonts w:hint="eastAsia" w:ascii="方正楷体_GBK" w:hAnsi="方正楷体_GBK" w:eastAsia="方正楷体_GBK" w:cs="方正楷体_GBK"/>
          <w:szCs w:val="32"/>
        </w:rPr>
        <w:t>（二）强化部门协同。</w:t>
      </w:r>
      <w:r>
        <w:rPr>
          <w:szCs w:val="32"/>
        </w:rPr>
        <w:t>县级各部门要切实履行职责，加强联动互动。县发展改革委做好农村公益性公墓项目前期审批手续及收费定价</w:t>
      </w:r>
      <w:r>
        <w:rPr>
          <w:rFonts w:hint="eastAsia"/>
          <w:szCs w:val="32"/>
        </w:rPr>
        <w:t>指导</w:t>
      </w:r>
      <w:r>
        <w:rPr>
          <w:szCs w:val="32"/>
        </w:rPr>
        <w:t>工作；县民政局牵头做好统一规划、审批、验收，健全基层殡葬服务体系，加强殡葬事务监管</w:t>
      </w:r>
      <w:r>
        <w:rPr>
          <w:rFonts w:hint="eastAsia"/>
          <w:szCs w:val="32"/>
        </w:rPr>
        <w:t>，</w:t>
      </w:r>
      <w:r>
        <w:rPr>
          <w:szCs w:val="32"/>
        </w:rPr>
        <w:t>推动殡葬改革；县财政局积极配合主管部门向上争资，做好农村公益性公墓建设资金奖补扶持工作，加强财政资金监管，提高资金效益；县农业农村委抓好文明治丧、丧葬移风易俗宣传和推进，为助力乡村振兴</w:t>
      </w:r>
      <w:r>
        <w:rPr>
          <w:rFonts w:hint="eastAsia"/>
          <w:szCs w:val="32"/>
        </w:rPr>
        <w:t>、</w:t>
      </w:r>
      <w:r>
        <w:rPr>
          <w:szCs w:val="32"/>
        </w:rPr>
        <w:t>推进公益性公墓建设营造良好社会氛围；</w:t>
      </w:r>
      <w:r>
        <w:rPr>
          <w:rFonts w:hint="eastAsia"/>
          <w:szCs w:val="32"/>
        </w:rPr>
        <w:t>县乡村振兴局做好资金整合支持以及指导乡镇公墓建设工作统筹推进；</w:t>
      </w:r>
      <w:r>
        <w:rPr>
          <w:szCs w:val="32"/>
        </w:rPr>
        <w:t>县规划自然资源局、县住房城乡建委、县生态环境局</w:t>
      </w:r>
      <w:r>
        <w:rPr>
          <w:rFonts w:hint="eastAsia"/>
          <w:szCs w:val="32"/>
        </w:rPr>
        <w:t>、</w:t>
      </w:r>
      <w:r>
        <w:rPr>
          <w:szCs w:val="32"/>
        </w:rPr>
        <w:t>县林业局等部门做好公益性公墓设施建设用地规划选址的审核工作；县文化旅游委、县水</w:t>
      </w:r>
      <w:r>
        <w:rPr>
          <w:rFonts w:hint="eastAsia"/>
          <w:szCs w:val="32"/>
        </w:rPr>
        <w:t>利</w:t>
      </w:r>
      <w:r>
        <w:rPr>
          <w:szCs w:val="32"/>
        </w:rPr>
        <w:t>局等部门依法查处在水源保护区和水库、湖泊、河流、引水渠堤坝附近及风景名胜区和文物保护区、自然保护区建墓行为；县公安局依法惩处丧事活动中扰乱社会秩序等行为；县司法局履行好法治乡村建设职责，加强法治宣传、法律咨询等工作；县</w:t>
      </w:r>
      <w:r>
        <w:rPr>
          <w:rFonts w:hint="eastAsia"/>
          <w:szCs w:val="32"/>
        </w:rPr>
        <w:t>民族宗教</w:t>
      </w:r>
      <w:r>
        <w:rPr>
          <w:szCs w:val="32"/>
        </w:rPr>
        <w:t>委根据有关法律法规和政策，指导宗教场所和宗教人士做好殡葬工作；县市场监管局规范丧葬</w:t>
      </w:r>
      <w:r>
        <w:rPr>
          <w:rFonts w:hint="eastAsia"/>
          <w:szCs w:val="32"/>
        </w:rPr>
        <w:t>用</w:t>
      </w:r>
      <w:r>
        <w:rPr>
          <w:szCs w:val="32"/>
        </w:rPr>
        <w:t>品市场管理</w:t>
      </w:r>
      <w:r>
        <w:rPr>
          <w:rFonts w:hint="eastAsia"/>
          <w:szCs w:val="32"/>
        </w:rPr>
        <w:t>等</w:t>
      </w:r>
      <w:r>
        <w:rPr>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szCs w:val="32"/>
        </w:rPr>
      </w:pPr>
      <w:r>
        <w:rPr>
          <w:rFonts w:hint="eastAsia" w:ascii="方正楷体_GBK" w:hAnsi="方正楷体_GBK" w:eastAsia="方正楷体_GBK" w:cs="方正楷体_GBK"/>
          <w:szCs w:val="32"/>
        </w:rPr>
        <w:t>（三）强化宣传引导。</w:t>
      </w:r>
      <w:r>
        <w:rPr>
          <w:szCs w:val="32"/>
        </w:rPr>
        <w:t>各乡镇要把殡葬移风易俗纳入文明乡村创建和美丽乡村建设之中，注重发挥基层党组织和党员干部的示范带头作用，发挥村（居）委会和红白理事会等基层组织的引导作用，通过电视、广播、网络、微信、标语、宣传栏等多种形式对公益性公墓建设的重要意义、殡葬管理政策法规等进行广泛宣传，提倡厚养薄葬新观念，树立文明殡葬新风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szCs w:val="32"/>
        </w:rPr>
      </w:pPr>
      <w:r>
        <w:rPr>
          <w:rFonts w:hint="eastAsia" w:ascii="方正楷体_GBK" w:hAnsi="方正楷体_GBK" w:eastAsia="方正楷体_GBK" w:cs="方正楷体_GBK"/>
          <w:szCs w:val="32"/>
        </w:rPr>
        <w:t>（四）强化拓展资金渠道。</w:t>
      </w:r>
      <w:r>
        <w:rPr>
          <w:szCs w:val="32"/>
        </w:rPr>
        <w:t>各乡镇积极采取政府投资、引入社会资本、村集体资金、村民筹资、社会捐赠等多种方式建设农村公益性公墓。按照基本殡葬服务均等化的要求，完善殡葬事业资金投入机制，以奖补方式对农村公益性公墓建设给予一定资助。各乡镇要大胆探索，积极发挥村民自治、村民</w:t>
      </w:r>
      <w:r>
        <w:rPr>
          <w:rFonts w:hint="eastAsia"/>
          <w:szCs w:val="32"/>
        </w:rPr>
        <w:t>“</w:t>
      </w:r>
      <w:r>
        <w:rPr>
          <w:szCs w:val="32"/>
        </w:rPr>
        <w:t>一事一议</w:t>
      </w:r>
      <w:r>
        <w:rPr>
          <w:rFonts w:hint="eastAsia"/>
          <w:szCs w:val="32"/>
        </w:rPr>
        <w:t>”</w:t>
      </w:r>
      <w:r>
        <w:rPr>
          <w:szCs w:val="32"/>
        </w:rPr>
        <w:t>制度等，落实用地规划，积极探索</w:t>
      </w:r>
      <w:r>
        <w:rPr>
          <w:rFonts w:hint="eastAsia"/>
          <w:szCs w:val="32"/>
        </w:rPr>
        <w:t>“</w:t>
      </w:r>
      <w:r>
        <w:rPr>
          <w:szCs w:val="32"/>
        </w:rPr>
        <w:t>农户+村集体+社会力量</w:t>
      </w:r>
      <w:r>
        <w:rPr>
          <w:rFonts w:hint="eastAsia"/>
          <w:szCs w:val="32"/>
        </w:rPr>
        <w:t>”</w:t>
      </w:r>
      <w:r>
        <w:rPr>
          <w:szCs w:val="32"/>
        </w:rPr>
        <w:t>合作模式，多方筹集资金，加</w:t>
      </w:r>
      <w:r>
        <w:rPr>
          <w:rFonts w:hint="eastAsia"/>
          <w:szCs w:val="32"/>
        </w:rPr>
        <w:t>快</w:t>
      </w:r>
      <w:r>
        <w:rPr>
          <w:szCs w:val="32"/>
        </w:rPr>
        <w:t>建设进度。</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szCs w:val="32"/>
        </w:rPr>
      </w:pPr>
      <w:r>
        <w:rPr>
          <w:rFonts w:hint="eastAsia" w:ascii="方正楷体_GBK" w:hAnsi="方正楷体_GBK" w:eastAsia="方正楷体_GBK" w:cs="方正楷体_GBK"/>
          <w:szCs w:val="32"/>
        </w:rPr>
        <w:t>（五）强化宣传推广。</w:t>
      </w:r>
      <w:r>
        <w:rPr>
          <w:rFonts w:hint="eastAsia"/>
          <w:szCs w:val="32"/>
        </w:rPr>
        <w:t>各</w:t>
      </w:r>
      <w:r>
        <w:rPr>
          <w:szCs w:val="32"/>
        </w:rPr>
        <w:t>乡镇认真做好试点示范，县民政局牵头认真总结经验，加强宣传推广。</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szCs w:val="32"/>
        </w:rPr>
      </w:pPr>
      <w:r>
        <w:rPr>
          <w:szCs w:val="32"/>
        </w:rPr>
        <w:t>备注：街道布局的农村公益性公墓原则上参照执行。</w:t>
      </w:r>
    </w:p>
    <w:p>
      <w:pPr>
        <w:pStyle w:val="22"/>
      </w:pPr>
    </w:p>
    <w:p>
      <w:pPr>
        <w:widowControl w:val="0"/>
        <w:ind w:firstLine="640" w:firstLineChars="200"/>
        <w:rPr>
          <w:rFonts w:eastAsia="方正小标宋_GBK"/>
          <w:sz w:val="44"/>
          <w:szCs w:val="44"/>
        </w:rPr>
      </w:pPr>
      <w:r>
        <w:rPr>
          <w:szCs w:val="32"/>
        </w:rPr>
        <w:t>附件：1.秀山自治县实施农村公益性公墓建设审批规程</w:t>
      </w:r>
    </w:p>
    <w:p>
      <w:pPr>
        <w:pStyle w:val="22"/>
        <w:ind w:firstLine="1600" w:firstLineChars="500"/>
        <w:rPr>
          <w:rFonts w:ascii="Times New Roman" w:hAnsi="Times New Roman" w:eastAsia="方正仿宋_GBK"/>
          <w:sz w:val="32"/>
          <w:szCs w:val="32"/>
        </w:rPr>
      </w:pPr>
      <w:r>
        <w:rPr>
          <w:rFonts w:ascii="Times New Roman" w:hAnsi="Times New Roman" w:eastAsia="方正仿宋_GBK"/>
          <w:sz w:val="32"/>
          <w:szCs w:val="32"/>
        </w:rPr>
        <w:t>2.秀山</w:t>
      </w:r>
      <w:r>
        <w:rPr>
          <w:rFonts w:hint="eastAsia" w:eastAsia="方正仿宋_GBK"/>
          <w:sz w:val="32"/>
          <w:szCs w:val="32"/>
        </w:rPr>
        <w:t>自治县</w:t>
      </w:r>
      <w:r>
        <w:rPr>
          <w:rFonts w:ascii="Times New Roman" w:hAnsi="Times New Roman" w:eastAsia="方正仿宋_GBK"/>
          <w:sz w:val="32"/>
          <w:szCs w:val="32"/>
        </w:rPr>
        <w:t>农村公益性公墓建设审批表</w:t>
      </w:r>
    </w:p>
    <w:p>
      <w:pPr>
        <w:spacing w:line="578" w:lineRule="exact"/>
        <w:jc w:val="left"/>
        <w:rPr>
          <w:rFonts w:ascii="方正小标宋_GBK" w:eastAsia="方正小标宋_GBK"/>
          <w:sz w:val="56"/>
          <w:szCs w:val="44"/>
        </w:rPr>
      </w:pPr>
      <w:r>
        <w:rPr>
          <w:rFonts w:ascii="方正黑体_GBK" w:hAnsi="方正黑体_GBK" w:eastAsia="方正黑体_GBK" w:cs="方正黑体_GBK"/>
          <w:szCs w:val="32"/>
        </w:rPr>
        <w:br w:type="page"/>
      </w:r>
      <w:r>
        <w:rPr>
          <w:rFonts w:hint="eastAsia" w:ascii="方正黑体_GBK" w:hAnsi="方正黑体_GBK" w:eastAsia="方正黑体_GBK" w:cs="方正黑体_GBK"/>
          <w:szCs w:val="32"/>
        </w:rPr>
        <w:t>附件1</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_GBK" w:eastAsia="方正小标宋_GBK"/>
          <w:sz w:val="44"/>
          <w:szCs w:val="44"/>
        </w:rPr>
      </w:pPr>
      <w:r>
        <w:rPr>
          <w:rFonts w:ascii="方正小标宋_GBK" w:eastAsia="方正小标宋_GBK"/>
          <w:sz w:val="44"/>
          <w:szCs w:val="44"/>
        </w:rPr>
        <w:t>秀山</w:t>
      </w:r>
      <w:r>
        <w:rPr>
          <w:rFonts w:hint="eastAsia" w:ascii="方正小标宋_GBK" w:eastAsia="方正小标宋_GBK"/>
          <w:sz w:val="44"/>
          <w:szCs w:val="44"/>
        </w:rPr>
        <w:t>自治县实施</w:t>
      </w:r>
      <w:r>
        <w:rPr>
          <w:rFonts w:ascii="方正小标宋_GBK" w:eastAsia="方正小标宋_GBK"/>
          <w:sz w:val="44"/>
          <w:szCs w:val="44"/>
        </w:rPr>
        <w:t>农村公益性公墓建设</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_GBK" w:eastAsia="方正小标宋_GBK"/>
          <w:sz w:val="44"/>
          <w:szCs w:val="44"/>
        </w:rPr>
      </w:pPr>
      <w:r>
        <w:rPr>
          <w:rFonts w:ascii="方正小标宋_GBK" w:eastAsia="方正小标宋_GBK"/>
          <w:sz w:val="44"/>
          <w:szCs w:val="44"/>
        </w:rPr>
        <w:t>审批规程</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_GBK" w:eastAsia="方正小标宋_GBK"/>
          <w:sz w:val="44"/>
          <w:szCs w:val="28"/>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eastAsia="方正黑体_GBK"/>
          <w:szCs w:val="32"/>
        </w:rPr>
      </w:pPr>
      <w:r>
        <w:rPr>
          <w:rFonts w:eastAsia="方正黑体_GBK"/>
          <w:szCs w:val="32"/>
        </w:rPr>
        <w:t>一、审批事项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szCs w:val="32"/>
        </w:rPr>
      </w:pPr>
      <w:r>
        <w:rPr>
          <w:szCs w:val="32"/>
        </w:rPr>
        <w:t>农村公益性公墓建设审批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方正黑体_GBK"/>
          <w:szCs w:val="32"/>
        </w:rPr>
      </w:pPr>
      <w:r>
        <w:rPr>
          <w:rFonts w:eastAsia="方正黑体_GBK"/>
          <w:szCs w:val="32"/>
        </w:rPr>
        <w:t>二、审批依据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szCs w:val="32"/>
        </w:rPr>
      </w:pPr>
      <w:r>
        <w:rPr>
          <w:szCs w:val="32"/>
        </w:rPr>
        <w:t>《殡葬管理条例》（国务院令第628号）第八条规定：农村为村民设置公益性墓地，经乡镇人民政府审核同意后，报县级人民政府民政部门审批。第九条：任何单位和个人未经批准，不得擅自兴建殡葬设施。《重庆市殡葬管理条例》第十八条第三款规定：农村为村民设置公益性墓地、骨灰堂，经乡、镇人民政府审核后，报区、县（市）民政部门审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方正黑体_GBK"/>
          <w:szCs w:val="32"/>
        </w:rPr>
      </w:pPr>
      <w:r>
        <w:rPr>
          <w:rFonts w:eastAsia="方正黑体_GBK"/>
          <w:szCs w:val="32"/>
        </w:rPr>
        <w:t>三、审批部门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szCs w:val="32"/>
        </w:rPr>
      </w:pPr>
      <w:r>
        <w:rPr>
          <w:szCs w:val="32"/>
        </w:rPr>
        <w:t>秀山</w:t>
      </w:r>
      <w:r>
        <w:rPr>
          <w:rFonts w:hint="eastAsia"/>
          <w:szCs w:val="32"/>
        </w:rPr>
        <w:t>土家族苗族自治</w:t>
      </w:r>
      <w:r>
        <w:rPr>
          <w:szCs w:val="32"/>
        </w:rPr>
        <w:t>县民政局</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方正黑体_GBK"/>
          <w:szCs w:val="32"/>
        </w:rPr>
      </w:pPr>
      <w:r>
        <w:rPr>
          <w:rFonts w:eastAsia="方正黑体_GBK"/>
          <w:szCs w:val="32"/>
        </w:rPr>
        <w:t>四、建设主体</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szCs w:val="32"/>
        </w:rPr>
      </w:pPr>
      <w:r>
        <w:rPr>
          <w:szCs w:val="32"/>
        </w:rPr>
        <w:t>秀山土家族苗族自治县行政区域内设立农村公益性公墓的乡镇。</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方正黑体_GBK"/>
          <w:szCs w:val="32"/>
        </w:rPr>
      </w:pPr>
      <w:r>
        <w:rPr>
          <w:rFonts w:eastAsia="方正黑体_GBK"/>
          <w:szCs w:val="32"/>
        </w:rPr>
        <w:t>五、审批流程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方正楷体_GBK"/>
          <w:szCs w:val="32"/>
        </w:rPr>
      </w:pPr>
      <w:r>
        <w:rPr>
          <w:rFonts w:hint="eastAsia" w:eastAsia="方正楷体_GBK"/>
          <w:szCs w:val="32"/>
        </w:rPr>
        <w:t>（一）</w:t>
      </w:r>
      <w:r>
        <w:rPr>
          <w:rFonts w:eastAsia="方正楷体_GBK"/>
          <w:szCs w:val="32"/>
        </w:rPr>
        <w:t>农村公益性公墓</w:t>
      </w:r>
      <w:r>
        <w:rPr>
          <w:rFonts w:hint="eastAsia" w:eastAsia="方正楷体_GBK"/>
          <w:szCs w:val="32"/>
        </w:rPr>
        <w:t>建设</w:t>
      </w:r>
      <w:r>
        <w:rPr>
          <w:rFonts w:eastAsia="方正楷体_GBK"/>
          <w:szCs w:val="32"/>
        </w:rPr>
        <w:t>审批</w:t>
      </w:r>
      <w:r>
        <w:rPr>
          <w:rFonts w:hint="eastAsia" w:eastAsia="方正楷体_GBK"/>
          <w:szCs w:val="32"/>
        </w:rPr>
        <w:t>提交材料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szCs w:val="32"/>
        </w:rPr>
      </w:pPr>
      <w:r>
        <w:rPr>
          <w:rFonts w:hint="eastAsia"/>
          <w:szCs w:val="32"/>
        </w:rPr>
        <w:t>1.申请人（单位）申请报告及可行性报告。</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szCs w:val="32"/>
        </w:rPr>
      </w:pPr>
      <w:r>
        <w:rPr>
          <w:rFonts w:hint="eastAsia"/>
          <w:szCs w:val="32"/>
        </w:rPr>
        <w:t>2.乡镇人民政府、街道办事处向县民政局提交关于新建公墓的函，</w:t>
      </w:r>
      <w:r>
        <w:rPr>
          <w:szCs w:val="32"/>
        </w:rPr>
        <w:t>并提交《秀山</w:t>
      </w:r>
      <w:r>
        <w:rPr>
          <w:rFonts w:hint="eastAsia"/>
          <w:szCs w:val="32"/>
        </w:rPr>
        <w:t>自治县</w:t>
      </w:r>
      <w:r>
        <w:rPr>
          <w:szCs w:val="32"/>
        </w:rPr>
        <w:t>农村公益性公墓建设审批表》</w:t>
      </w:r>
      <w:r>
        <w:rPr>
          <w:rFonts w:hint="eastAsia"/>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szCs w:val="32"/>
        </w:rPr>
      </w:pPr>
      <w:r>
        <w:rPr>
          <w:rFonts w:hint="eastAsia"/>
          <w:szCs w:val="32"/>
        </w:rPr>
        <w:t>3.县发展改革委立项批复（或备案）。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szCs w:val="32"/>
        </w:rPr>
      </w:pPr>
      <w:r>
        <w:rPr>
          <w:rFonts w:hint="eastAsia"/>
          <w:szCs w:val="32"/>
        </w:rPr>
        <w:t>4.县规划自然资源局用地的审查意见。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szCs w:val="32"/>
        </w:rPr>
      </w:pPr>
      <w:r>
        <w:rPr>
          <w:rFonts w:hint="eastAsia"/>
          <w:szCs w:val="32"/>
        </w:rPr>
        <w:t>5.县林业局的审查意见。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szCs w:val="32"/>
        </w:rPr>
      </w:pPr>
      <w:r>
        <w:rPr>
          <w:rFonts w:hint="eastAsia"/>
          <w:szCs w:val="32"/>
        </w:rPr>
        <w:t>6.县生态环境局的审查意见（或备案）。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szCs w:val="32"/>
        </w:rPr>
      </w:pPr>
      <w:r>
        <w:rPr>
          <w:rFonts w:hint="eastAsia"/>
          <w:szCs w:val="32"/>
        </w:rPr>
        <w:t>7.</w:t>
      </w:r>
      <w:r>
        <w:rPr>
          <w:rFonts w:hint="eastAsia"/>
          <w:szCs w:val="32"/>
          <w:lang w:val="zh-CN"/>
        </w:rPr>
        <w:t>县住房城乡建委</w:t>
      </w:r>
      <w:r>
        <w:rPr>
          <w:rFonts w:hint="eastAsia"/>
          <w:szCs w:val="32"/>
        </w:rPr>
        <w:t>安全意见。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szCs w:val="32"/>
        </w:rPr>
      </w:pPr>
      <w:r>
        <w:rPr>
          <w:rFonts w:hint="eastAsia"/>
          <w:szCs w:val="32"/>
        </w:rPr>
        <w:t>8.法人登记证书（身份证、营业执照副本）。</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szCs w:val="32"/>
        </w:rPr>
      </w:pPr>
      <w:r>
        <w:rPr>
          <w:rFonts w:hint="eastAsia"/>
          <w:szCs w:val="32"/>
        </w:rPr>
        <w:t>9.建设审批审查表。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szCs w:val="32"/>
        </w:rPr>
      </w:pPr>
      <w:r>
        <w:rPr>
          <w:rFonts w:hint="eastAsia"/>
          <w:szCs w:val="32"/>
        </w:rPr>
        <w:t>办理流程：提交材料→县民政局建设审批现场办理→县民政局工作人员受理→县民政局科室审核→县民政局分管局领导审查→县民政局局长（局长办公会）决定→县民政局进行批复。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方正楷体_GBK"/>
          <w:szCs w:val="32"/>
        </w:rPr>
      </w:pPr>
      <w:r>
        <w:rPr>
          <w:szCs w:val="32"/>
        </w:rPr>
        <w:t>乡镇持</w:t>
      </w:r>
      <w:r>
        <w:rPr>
          <w:rFonts w:hint="eastAsia"/>
          <w:szCs w:val="32"/>
        </w:rPr>
        <w:t>县</w:t>
      </w:r>
      <w:r>
        <w:rPr>
          <w:szCs w:val="32"/>
        </w:rPr>
        <w:t>民政局同意筹建批复</w:t>
      </w:r>
      <w:r>
        <w:rPr>
          <w:rFonts w:hint="eastAsia"/>
          <w:szCs w:val="32"/>
        </w:rPr>
        <w:t>后</w:t>
      </w:r>
      <w:r>
        <w:rPr>
          <w:szCs w:val="32"/>
        </w:rPr>
        <w:t>正式施工建设，项目建成后需办理殡葬服务许可证才能对群众提供服务。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szCs w:val="32"/>
        </w:rPr>
      </w:pPr>
      <w:r>
        <w:rPr>
          <w:rFonts w:hint="eastAsia" w:eastAsia="方正楷体_GBK"/>
          <w:szCs w:val="32"/>
        </w:rPr>
        <w:t>（二）农村公益性公墓申领</w:t>
      </w:r>
      <w:r>
        <w:rPr>
          <w:rFonts w:eastAsia="方正楷体_GBK"/>
          <w:szCs w:val="32"/>
        </w:rPr>
        <w:t>许可证</w:t>
      </w:r>
      <w:r>
        <w:rPr>
          <w:rFonts w:hint="eastAsia" w:eastAsia="方正楷体_GBK"/>
          <w:szCs w:val="32"/>
        </w:rPr>
        <w:t>提交材料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szCs w:val="32"/>
        </w:rPr>
      </w:pPr>
      <w:r>
        <w:rPr>
          <w:szCs w:val="32"/>
        </w:rPr>
        <w:t>1.县民政局审批文件。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szCs w:val="32"/>
        </w:rPr>
      </w:pPr>
      <w:r>
        <w:rPr>
          <w:szCs w:val="32"/>
        </w:rPr>
        <w:t>2.县规划自然资源局土地使用手续。</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szCs w:val="32"/>
        </w:rPr>
      </w:pPr>
      <w:r>
        <w:rPr>
          <w:szCs w:val="32"/>
        </w:rPr>
        <w:t>3.</w:t>
      </w:r>
      <w:r>
        <w:rPr>
          <w:szCs w:val="32"/>
          <w:lang w:val="zh-CN"/>
        </w:rPr>
        <w:t>县住房城乡建委</w:t>
      </w:r>
      <w:r>
        <w:rPr>
          <w:szCs w:val="32"/>
        </w:rPr>
        <w:t>安全意见及安全竣工手续。</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szCs w:val="32"/>
        </w:rPr>
      </w:pPr>
      <w:r>
        <w:rPr>
          <w:szCs w:val="32"/>
        </w:rPr>
        <w:t>4.县生态环境局的环保验收手续。</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szCs w:val="32"/>
        </w:rPr>
      </w:pPr>
      <w:r>
        <w:rPr>
          <w:szCs w:val="32"/>
        </w:rPr>
        <w:t>5.县发展改革委和县民政局的核价批准文件。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szCs w:val="32"/>
        </w:rPr>
      </w:pPr>
      <w:r>
        <w:rPr>
          <w:szCs w:val="32"/>
        </w:rPr>
        <w:t>6.法人登记证书。</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szCs w:val="32"/>
        </w:rPr>
      </w:pPr>
      <w:r>
        <w:rPr>
          <w:szCs w:val="32"/>
        </w:rPr>
        <w:t>7.整体规划建设图纸。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szCs w:val="32"/>
        </w:rPr>
      </w:pPr>
      <w:r>
        <w:rPr>
          <w:szCs w:val="32"/>
        </w:rPr>
        <w:t>8.经营服务场所环境（服务场所、墓区实景图拍照打印和上传）。</w:t>
      </w:r>
    </w:p>
    <w:p>
      <w:pPr>
        <w:pStyle w:val="22"/>
        <w:keepNext w:val="0"/>
        <w:keepLines w:val="0"/>
        <w:pageBreakBefore w:val="0"/>
        <w:kinsoku/>
        <w:wordWrap/>
        <w:overflowPunct/>
        <w:topLinePunct w:val="0"/>
        <w:autoSpaceDE/>
        <w:autoSpaceDN/>
        <w:bidi w:val="0"/>
        <w:adjustRightInd/>
        <w:spacing w:line="560" w:lineRule="exact"/>
        <w:ind w:firstLine="640"/>
        <w:textAlignment w:val="auto"/>
        <w:rPr>
          <w:rFonts w:ascii="Times New Roman" w:hAnsi="Times New Roman" w:eastAsia="方正仿宋_GBK"/>
          <w:sz w:val="32"/>
          <w:szCs w:val="32"/>
        </w:rPr>
      </w:pPr>
      <w:r>
        <w:rPr>
          <w:rFonts w:hint="eastAsia" w:ascii="Times New Roman" w:hAnsi="Times New Roman" w:eastAsia="方正仿宋_GBK"/>
          <w:sz w:val="32"/>
          <w:szCs w:val="32"/>
        </w:rPr>
        <w:t>办理流程：提交材料→县民政局工作人员受理→县民政局科室审核→县民政局分管局领导审查→县民政局局长签批→区县民政局进行许可证打印发放。</w:t>
      </w:r>
    </w:p>
    <w:p>
      <w:pPr>
        <w:pStyle w:val="22"/>
        <w:keepNext w:val="0"/>
        <w:keepLines w:val="0"/>
        <w:pageBreakBefore w:val="0"/>
        <w:kinsoku/>
        <w:wordWrap/>
        <w:overflowPunct/>
        <w:topLinePunct w:val="0"/>
        <w:autoSpaceDE/>
        <w:autoSpaceDN/>
        <w:bidi w:val="0"/>
        <w:adjustRightInd/>
        <w:spacing w:line="560" w:lineRule="exact"/>
        <w:ind w:firstLine="640"/>
        <w:textAlignment w:val="auto"/>
        <w:rPr>
          <w:rFonts w:ascii="Times New Roman" w:hAnsi="Times New Roman" w:eastAsia="方正仿宋_GBK"/>
          <w:sz w:val="32"/>
          <w:szCs w:val="32"/>
        </w:rPr>
      </w:pPr>
      <w:r>
        <w:rPr>
          <w:rFonts w:hint="eastAsia" w:ascii="Times New Roman" w:hAnsi="Times New Roman" w:eastAsia="方正仿宋_GBK"/>
          <w:sz w:val="32"/>
          <w:szCs w:val="32"/>
        </w:rPr>
        <w:t>乡镇持</w:t>
      </w:r>
      <w:r>
        <w:rPr>
          <w:rFonts w:ascii="Times New Roman" w:hAnsi="Times New Roman" w:eastAsia="方正仿宋_GBK"/>
          <w:sz w:val="32"/>
          <w:szCs w:val="32"/>
        </w:rPr>
        <w:t>殡葬服务许可证</w:t>
      </w:r>
      <w:r>
        <w:rPr>
          <w:rFonts w:hint="eastAsia" w:ascii="Times New Roman" w:hAnsi="Times New Roman" w:eastAsia="方正仿宋_GBK"/>
          <w:sz w:val="32"/>
          <w:szCs w:val="32"/>
        </w:rPr>
        <w:t>开展殡葬业务，每年年检并提交年度报告书。</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方正楷体_GBK"/>
          <w:szCs w:val="32"/>
        </w:rPr>
      </w:pPr>
      <w:r>
        <w:rPr>
          <w:rFonts w:eastAsia="方正楷体_GBK"/>
          <w:szCs w:val="32"/>
        </w:rPr>
        <w:t>（</w:t>
      </w:r>
      <w:r>
        <w:rPr>
          <w:rFonts w:hint="eastAsia" w:eastAsia="方正楷体_GBK"/>
          <w:szCs w:val="32"/>
        </w:rPr>
        <w:t>三</w:t>
      </w:r>
      <w:r>
        <w:rPr>
          <w:rFonts w:eastAsia="方正楷体_GBK"/>
          <w:szCs w:val="32"/>
        </w:rPr>
        <w:t>）农村公益性公墓建设标准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szCs w:val="32"/>
        </w:rPr>
      </w:pPr>
      <w:r>
        <w:rPr>
          <w:szCs w:val="32"/>
        </w:rPr>
        <w:t>农村公益性公墓建设规模应按照乡镇20年的安葬需求设置，墓位原则上按照节地生态安葬葬式进行设计，墓区内部建设按照《重庆市公益性公墓建设规范》标准设计、实施。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方正楷体_GBK"/>
          <w:szCs w:val="32"/>
        </w:rPr>
      </w:pPr>
      <w:r>
        <w:rPr>
          <w:rFonts w:eastAsia="方正楷体_GBK"/>
          <w:szCs w:val="32"/>
        </w:rPr>
        <w:t>（</w:t>
      </w:r>
      <w:r>
        <w:rPr>
          <w:rFonts w:hint="eastAsia" w:eastAsia="方正楷体_GBK"/>
          <w:szCs w:val="32"/>
        </w:rPr>
        <w:t>四</w:t>
      </w:r>
      <w:r>
        <w:rPr>
          <w:rFonts w:eastAsia="方正楷体_GBK"/>
          <w:szCs w:val="32"/>
        </w:rPr>
        <w:t>）农村公益性公墓监督管理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szCs w:val="32"/>
        </w:rPr>
      </w:pPr>
      <w:r>
        <w:rPr>
          <w:szCs w:val="32"/>
        </w:rPr>
        <w:t>1.乡镇是农村公益性公墓的建设主体，应对辖区内的农村公益性公墓进行日常监督管理。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szCs w:val="32"/>
        </w:rPr>
      </w:pPr>
      <w:r>
        <w:rPr>
          <w:szCs w:val="32"/>
        </w:rPr>
        <w:t>2.县民政局每两年对农村公益性公墓进行复核检查，并将检查通过的名单对外公示。</w:t>
      </w:r>
    </w:p>
    <w:p>
      <w:pPr>
        <w:pStyle w:val="22"/>
      </w:pPr>
    </w:p>
    <w:p>
      <w:pPr>
        <w:pStyle w:val="22"/>
        <w:spacing w:line="578" w:lineRule="exact"/>
      </w:pPr>
    </w:p>
    <w:p>
      <w:pPr>
        <w:pStyle w:val="22"/>
        <w:spacing w:line="578" w:lineRule="exact"/>
      </w:pPr>
    </w:p>
    <w:p>
      <w:pPr>
        <w:pStyle w:val="22"/>
        <w:spacing w:line="578" w:lineRule="exact"/>
      </w:pPr>
    </w:p>
    <w:p>
      <w:pPr>
        <w:pStyle w:val="22"/>
        <w:spacing w:line="578" w:lineRule="exact"/>
        <w:rPr>
          <w:rFonts w:hint="eastAsia" w:ascii="方正黑体_GBK" w:hAnsi="方正黑体_GBK" w:eastAsia="方正黑体_GBK" w:cs="方正黑体_GBK"/>
          <w:szCs w:val="32"/>
        </w:rPr>
      </w:pPr>
      <w:r>
        <w:br w:type="page"/>
      </w:r>
    </w:p>
    <w:p>
      <w:pPr>
        <w:spacing w:line="578" w:lineRule="exact"/>
        <w:jc w:val="left"/>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附件2</w:t>
      </w:r>
    </w:p>
    <w:p>
      <w:pPr>
        <w:widowControl w:val="0"/>
        <w:snapToGrid w:val="0"/>
        <w:jc w:val="center"/>
        <w:rPr>
          <w:rFonts w:ascii="方正小标宋_GBK" w:eastAsia="方正小标宋_GBK"/>
          <w:sz w:val="36"/>
          <w:szCs w:val="40"/>
        </w:rPr>
      </w:pPr>
      <w:r>
        <w:rPr>
          <w:rFonts w:ascii="方正小标宋_GBK" w:eastAsia="方正小标宋_GBK"/>
          <w:sz w:val="36"/>
          <w:szCs w:val="44"/>
        </w:rPr>
        <w:t>秀山</w:t>
      </w:r>
      <w:r>
        <w:rPr>
          <w:rFonts w:hint="eastAsia" w:ascii="方正小标宋_GBK" w:eastAsia="方正小标宋_GBK"/>
          <w:sz w:val="36"/>
          <w:szCs w:val="44"/>
        </w:rPr>
        <w:t>自治</w:t>
      </w:r>
      <w:r>
        <w:rPr>
          <w:rFonts w:ascii="方正小标宋_GBK" w:eastAsia="方正小标宋_GBK"/>
          <w:sz w:val="36"/>
          <w:szCs w:val="44"/>
        </w:rPr>
        <w:t>县农村公益性公墓</w:t>
      </w:r>
      <w:r>
        <w:rPr>
          <w:rFonts w:hint="eastAsia" w:ascii="方正小标宋_GBK" w:eastAsia="方正小标宋_GBK"/>
          <w:sz w:val="36"/>
          <w:szCs w:val="44"/>
        </w:rPr>
        <w:t>建设</w:t>
      </w:r>
      <w:r>
        <w:rPr>
          <w:rFonts w:ascii="方正小标宋_GBK" w:eastAsia="方正小标宋_GBK"/>
          <w:sz w:val="36"/>
          <w:szCs w:val="44"/>
        </w:rPr>
        <w:t>审批表</w:t>
      </w:r>
    </w:p>
    <w:tbl>
      <w:tblPr>
        <w:tblStyle w:val="13"/>
        <w:tblpPr w:leftFromText="180" w:rightFromText="180" w:vertAnchor="text" w:horzAnchor="page" w:tblpX="1736" w:tblpY="315"/>
        <w:tblOverlap w:val="never"/>
        <w:tblW w:w="87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2153"/>
        <w:gridCol w:w="1928"/>
        <w:gridCol w:w="2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2079" w:type="dxa"/>
            <w:vAlign w:val="center"/>
          </w:tcPr>
          <w:p>
            <w:pPr>
              <w:snapToGrid w:val="0"/>
              <w:jc w:val="center"/>
              <w:rPr>
                <w:color w:val="000000"/>
                <w:sz w:val="24"/>
              </w:rPr>
            </w:pPr>
            <w:r>
              <w:rPr>
                <w:rFonts w:hint="eastAsia"/>
                <w:color w:val="000000"/>
                <w:sz w:val="24"/>
                <w:szCs w:val="24"/>
              </w:rPr>
              <w:t>设施</w:t>
            </w:r>
            <w:r>
              <w:rPr>
                <w:color w:val="000000"/>
                <w:sz w:val="24"/>
                <w:szCs w:val="24"/>
              </w:rPr>
              <w:t>名称</w:t>
            </w:r>
          </w:p>
        </w:tc>
        <w:tc>
          <w:tcPr>
            <w:tcW w:w="6720" w:type="dxa"/>
            <w:gridSpan w:val="3"/>
            <w:vAlign w:val="center"/>
          </w:tcPr>
          <w:p>
            <w:pPr>
              <w:snapToGrid w:val="0"/>
              <w:jc w:val="center"/>
              <w:rPr>
                <w:rFonts w:eastAsia="宋体"/>
                <w:color w:val="000000"/>
                <w:sz w:val="24"/>
              </w:rPr>
            </w:pPr>
            <w:r>
              <w:rPr>
                <w:rFonts w:hint="eastAsia"/>
                <w:color w:val="000000"/>
                <w:sz w:val="24"/>
                <w:szCs w:val="24"/>
              </w:rPr>
              <w:t>区县+乡镇+设施名称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2079" w:type="dxa"/>
            <w:vAlign w:val="center"/>
          </w:tcPr>
          <w:p>
            <w:pPr>
              <w:snapToGrid w:val="0"/>
              <w:jc w:val="center"/>
              <w:rPr>
                <w:color w:val="000000"/>
                <w:sz w:val="24"/>
              </w:rPr>
            </w:pPr>
            <w:r>
              <w:rPr>
                <w:rFonts w:hint="eastAsia"/>
                <w:color w:val="000000"/>
                <w:sz w:val="24"/>
                <w:szCs w:val="24"/>
              </w:rPr>
              <w:t>建设</w:t>
            </w:r>
            <w:r>
              <w:rPr>
                <w:color w:val="000000"/>
                <w:sz w:val="24"/>
                <w:szCs w:val="24"/>
              </w:rPr>
              <w:t>单位</w:t>
            </w:r>
          </w:p>
        </w:tc>
        <w:tc>
          <w:tcPr>
            <w:tcW w:w="2153" w:type="dxa"/>
            <w:vAlign w:val="center"/>
          </w:tcPr>
          <w:p>
            <w:pPr>
              <w:snapToGrid w:val="0"/>
              <w:jc w:val="center"/>
              <w:rPr>
                <w:rFonts w:eastAsia="宋体"/>
                <w:color w:val="000000"/>
                <w:sz w:val="24"/>
              </w:rPr>
            </w:pPr>
            <w:r>
              <w:rPr>
                <w:rFonts w:hint="eastAsia"/>
                <w:color w:val="000000"/>
                <w:sz w:val="24"/>
                <w:szCs w:val="24"/>
              </w:rPr>
              <w:t>乡镇</w:t>
            </w:r>
          </w:p>
        </w:tc>
        <w:tc>
          <w:tcPr>
            <w:tcW w:w="1928" w:type="dxa"/>
            <w:vAlign w:val="center"/>
          </w:tcPr>
          <w:p>
            <w:pPr>
              <w:snapToGrid w:val="0"/>
              <w:jc w:val="center"/>
              <w:rPr>
                <w:rFonts w:eastAsia="宋体"/>
                <w:color w:val="000000"/>
                <w:sz w:val="24"/>
              </w:rPr>
            </w:pPr>
            <w:r>
              <w:rPr>
                <w:rFonts w:hint="eastAsia"/>
                <w:color w:val="000000"/>
                <w:sz w:val="24"/>
                <w:szCs w:val="24"/>
              </w:rPr>
              <w:t>经营单位</w:t>
            </w:r>
          </w:p>
        </w:tc>
        <w:tc>
          <w:tcPr>
            <w:tcW w:w="2639" w:type="dxa"/>
            <w:vAlign w:val="center"/>
          </w:tcPr>
          <w:p>
            <w:pPr>
              <w:snapToGrid w:val="0"/>
              <w:jc w:val="center"/>
              <w:rPr>
                <w:rFonts w:eastAsia="宋体"/>
                <w:color w:val="000000"/>
                <w:sz w:val="24"/>
              </w:rPr>
            </w:pPr>
            <w:r>
              <w:rPr>
                <w:rFonts w:hint="eastAsia"/>
                <w:color w:val="000000"/>
                <w:sz w:val="24"/>
                <w:szCs w:val="24"/>
              </w:rPr>
              <w:t>村或其他（村集体经济组织）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86" w:hRule="atLeast"/>
        </w:trPr>
        <w:tc>
          <w:tcPr>
            <w:tcW w:w="2079" w:type="dxa"/>
            <w:vAlign w:val="center"/>
          </w:tcPr>
          <w:p>
            <w:pPr>
              <w:snapToGrid w:val="0"/>
              <w:jc w:val="center"/>
              <w:rPr>
                <w:color w:val="000000"/>
                <w:sz w:val="24"/>
              </w:rPr>
            </w:pPr>
            <w:r>
              <w:rPr>
                <w:color w:val="000000"/>
                <w:sz w:val="24"/>
                <w:szCs w:val="24"/>
              </w:rPr>
              <w:t>法定代表人</w:t>
            </w:r>
          </w:p>
        </w:tc>
        <w:tc>
          <w:tcPr>
            <w:tcW w:w="2153" w:type="dxa"/>
            <w:vAlign w:val="center"/>
          </w:tcPr>
          <w:p>
            <w:pPr>
              <w:snapToGrid w:val="0"/>
              <w:jc w:val="center"/>
              <w:rPr>
                <w:color w:val="000000"/>
                <w:sz w:val="24"/>
              </w:rPr>
            </w:pPr>
          </w:p>
        </w:tc>
        <w:tc>
          <w:tcPr>
            <w:tcW w:w="1928" w:type="dxa"/>
            <w:vAlign w:val="center"/>
          </w:tcPr>
          <w:p>
            <w:pPr>
              <w:snapToGrid w:val="0"/>
              <w:jc w:val="center"/>
              <w:rPr>
                <w:color w:val="000000"/>
                <w:sz w:val="24"/>
              </w:rPr>
            </w:pPr>
            <w:r>
              <w:rPr>
                <w:color w:val="000000"/>
                <w:sz w:val="24"/>
                <w:szCs w:val="24"/>
              </w:rPr>
              <w:t>行政区划</w:t>
            </w:r>
          </w:p>
          <w:p>
            <w:pPr>
              <w:snapToGrid w:val="0"/>
              <w:jc w:val="center"/>
              <w:rPr>
                <w:color w:val="000000"/>
                <w:sz w:val="24"/>
              </w:rPr>
            </w:pPr>
            <w:r>
              <w:rPr>
                <w:color w:val="000000"/>
                <w:sz w:val="24"/>
                <w:szCs w:val="24"/>
              </w:rPr>
              <w:t>人   口</w:t>
            </w:r>
          </w:p>
        </w:tc>
        <w:tc>
          <w:tcPr>
            <w:tcW w:w="2639" w:type="dxa"/>
            <w:vAlign w:val="center"/>
          </w:tcPr>
          <w:p>
            <w:pPr>
              <w:snapToGrid w:val="0"/>
              <w:jc w:val="center"/>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86" w:hRule="atLeast"/>
        </w:trPr>
        <w:tc>
          <w:tcPr>
            <w:tcW w:w="2079" w:type="dxa"/>
            <w:vAlign w:val="center"/>
          </w:tcPr>
          <w:p>
            <w:pPr>
              <w:snapToGrid w:val="0"/>
              <w:jc w:val="center"/>
              <w:rPr>
                <w:color w:val="000000"/>
                <w:sz w:val="24"/>
              </w:rPr>
            </w:pPr>
            <w:r>
              <w:rPr>
                <w:color w:val="000000"/>
                <w:sz w:val="24"/>
                <w:szCs w:val="24"/>
              </w:rPr>
              <w:t>规划面积</w:t>
            </w:r>
          </w:p>
        </w:tc>
        <w:tc>
          <w:tcPr>
            <w:tcW w:w="2153" w:type="dxa"/>
            <w:vAlign w:val="center"/>
          </w:tcPr>
          <w:p>
            <w:pPr>
              <w:snapToGrid w:val="0"/>
              <w:jc w:val="center"/>
              <w:rPr>
                <w:color w:val="000000"/>
                <w:sz w:val="24"/>
              </w:rPr>
            </w:pPr>
          </w:p>
        </w:tc>
        <w:tc>
          <w:tcPr>
            <w:tcW w:w="1928" w:type="dxa"/>
            <w:vAlign w:val="center"/>
          </w:tcPr>
          <w:p>
            <w:pPr>
              <w:snapToGrid w:val="0"/>
              <w:jc w:val="center"/>
              <w:rPr>
                <w:color w:val="000000"/>
                <w:sz w:val="24"/>
              </w:rPr>
            </w:pPr>
            <w:r>
              <w:rPr>
                <w:color w:val="000000"/>
                <w:sz w:val="24"/>
                <w:szCs w:val="24"/>
              </w:rPr>
              <w:t>拟建墓穴</w:t>
            </w:r>
          </w:p>
          <w:p>
            <w:pPr>
              <w:snapToGrid w:val="0"/>
              <w:jc w:val="center"/>
              <w:rPr>
                <w:color w:val="000000"/>
                <w:sz w:val="24"/>
              </w:rPr>
            </w:pPr>
            <w:r>
              <w:rPr>
                <w:color w:val="000000"/>
                <w:sz w:val="24"/>
                <w:szCs w:val="24"/>
              </w:rPr>
              <w:t>数    量</w:t>
            </w:r>
          </w:p>
        </w:tc>
        <w:tc>
          <w:tcPr>
            <w:tcW w:w="2639" w:type="dxa"/>
            <w:vAlign w:val="center"/>
          </w:tcPr>
          <w:p>
            <w:pPr>
              <w:snapToGrid w:val="0"/>
              <w:jc w:val="center"/>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2079" w:type="dxa"/>
            <w:vAlign w:val="center"/>
          </w:tcPr>
          <w:p>
            <w:pPr>
              <w:snapToGrid w:val="0"/>
              <w:jc w:val="center"/>
              <w:rPr>
                <w:color w:val="000000"/>
                <w:sz w:val="24"/>
              </w:rPr>
            </w:pPr>
            <w:r>
              <w:rPr>
                <w:color w:val="000000"/>
                <w:sz w:val="24"/>
                <w:szCs w:val="24"/>
              </w:rPr>
              <w:t>安葬形式</w:t>
            </w:r>
          </w:p>
        </w:tc>
        <w:tc>
          <w:tcPr>
            <w:tcW w:w="6720" w:type="dxa"/>
            <w:gridSpan w:val="3"/>
            <w:vAlign w:val="center"/>
          </w:tcPr>
          <w:p>
            <w:pPr>
              <w:snapToGrid w:val="0"/>
              <w:jc w:val="center"/>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2079" w:type="dxa"/>
            <w:vAlign w:val="center"/>
          </w:tcPr>
          <w:p>
            <w:pPr>
              <w:snapToGrid w:val="0"/>
              <w:jc w:val="center"/>
              <w:rPr>
                <w:color w:val="000000"/>
                <w:sz w:val="24"/>
              </w:rPr>
            </w:pPr>
            <w:r>
              <w:rPr>
                <w:rFonts w:hint="eastAsia"/>
                <w:color w:val="000000"/>
                <w:sz w:val="24"/>
                <w:szCs w:val="24"/>
              </w:rPr>
              <w:t>设施</w:t>
            </w:r>
            <w:r>
              <w:rPr>
                <w:color w:val="000000"/>
                <w:sz w:val="24"/>
                <w:szCs w:val="24"/>
              </w:rPr>
              <w:t>地址</w:t>
            </w:r>
          </w:p>
        </w:tc>
        <w:tc>
          <w:tcPr>
            <w:tcW w:w="6720" w:type="dxa"/>
            <w:gridSpan w:val="3"/>
            <w:vAlign w:val="center"/>
          </w:tcPr>
          <w:p>
            <w:pPr>
              <w:snapToGrid w:val="0"/>
              <w:jc w:val="center"/>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2079" w:type="dxa"/>
            <w:vAlign w:val="center"/>
          </w:tcPr>
          <w:p>
            <w:pPr>
              <w:snapToGrid w:val="0"/>
              <w:jc w:val="center"/>
              <w:rPr>
                <w:color w:val="000000"/>
                <w:sz w:val="24"/>
              </w:rPr>
            </w:pPr>
            <w:r>
              <w:rPr>
                <w:color w:val="000000"/>
                <w:sz w:val="24"/>
                <w:szCs w:val="24"/>
              </w:rPr>
              <w:t>联系电话</w:t>
            </w:r>
          </w:p>
        </w:tc>
        <w:tc>
          <w:tcPr>
            <w:tcW w:w="2153" w:type="dxa"/>
            <w:vAlign w:val="center"/>
          </w:tcPr>
          <w:p>
            <w:pPr>
              <w:snapToGrid w:val="0"/>
              <w:jc w:val="center"/>
              <w:rPr>
                <w:color w:val="000000"/>
                <w:sz w:val="24"/>
              </w:rPr>
            </w:pPr>
          </w:p>
        </w:tc>
        <w:tc>
          <w:tcPr>
            <w:tcW w:w="1928" w:type="dxa"/>
            <w:vAlign w:val="center"/>
          </w:tcPr>
          <w:p>
            <w:pPr>
              <w:snapToGrid w:val="0"/>
              <w:jc w:val="center"/>
              <w:rPr>
                <w:color w:val="000000"/>
                <w:sz w:val="24"/>
              </w:rPr>
            </w:pPr>
            <w:r>
              <w:rPr>
                <w:color w:val="000000"/>
                <w:sz w:val="24"/>
                <w:szCs w:val="24"/>
              </w:rPr>
              <w:t>邮政编码</w:t>
            </w:r>
          </w:p>
        </w:tc>
        <w:tc>
          <w:tcPr>
            <w:tcW w:w="2639" w:type="dxa"/>
            <w:vAlign w:val="center"/>
          </w:tcPr>
          <w:p>
            <w:pPr>
              <w:snapToGrid w:val="0"/>
              <w:jc w:val="center"/>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2079" w:type="dxa"/>
            <w:vAlign w:val="center"/>
          </w:tcPr>
          <w:p>
            <w:pPr>
              <w:snapToGrid w:val="0"/>
              <w:jc w:val="center"/>
              <w:rPr>
                <w:color w:val="000000"/>
                <w:sz w:val="24"/>
              </w:rPr>
            </w:pPr>
            <w:r>
              <w:rPr>
                <w:color w:val="000000"/>
                <w:sz w:val="24"/>
                <w:szCs w:val="24"/>
              </w:rPr>
              <w:t>说明</w:t>
            </w:r>
          </w:p>
        </w:tc>
        <w:tc>
          <w:tcPr>
            <w:tcW w:w="6720" w:type="dxa"/>
            <w:gridSpan w:val="3"/>
            <w:vAlign w:val="center"/>
          </w:tcPr>
          <w:p>
            <w:pPr>
              <w:snapToGrid w:val="0"/>
              <w:jc w:val="center"/>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08" w:hRule="atLeast"/>
        </w:trPr>
        <w:tc>
          <w:tcPr>
            <w:tcW w:w="2079" w:type="dxa"/>
            <w:vAlign w:val="center"/>
          </w:tcPr>
          <w:p>
            <w:pPr>
              <w:snapToGrid w:val="0"/>
              <w:jc w:val="center"/>
              <w:rPr>
                <w:color w:val="000000"/>
                <w:sz w:val="24"/>
              </w:rPr>
            </w:pPr>
            <w:r>
              <w:rPr>
                <w:color w:val="000000"/>
                <w:sz w:val="24"/>
              </w:rPr>
              <w:t>村（居）委会</w:t>
            </w:r>
          </w:p>
          <w:p>
            <w:pPr>
              <w:snapToGrid w:val="0"/>
              <w:jc w:val="center"/>
              <w:rPr>
                <w:color w:val="000000"/>
                <w:sz w:val="24"/>
              </w:rPr>
            </w:pPr>
            <w:r>
              <w:rPr>
                <w:color w:val="000000"/>
                <w:sz w:val="24"/>
              </w:rPr>
              <w:t>意见</w:t>
            </w:r>
          </w:p>
        </w:tc>
        <w:tc>
          <w:tcPr>
            <w:tcW w:w="2153" w:type="dxa"/>
            <w:vAlign w:val="center"/>
          </w:tcPr>
          <w:p>
            <w:pPr>
              <w:snapToGrid w:val="0"/>
              <w:jc w:val="center"/>
              <w:rPr>
                <w:color w:val="000000"/>
                <w:szCs w:val="32"/>
              </w:rPr>
            </w:pPr>
          </w:p>
          <w:p>
            <w:pPr>
              <w:snapToGrid w:val="0"/>
              <w:jc w:val="center"/>
              <w:rPr>
                <w:color w:val="000000"/>
                <w:szCs w:val="32"/>
              </w:rPr>
            </w:pPr>
          </w:p>
        </w:tc>
        <w:tc>
          <w:tcPr>
            <w:tcW w:w="1928" w:type="dxa"/>
            <w:vAlign w:val="center"/>
          </w:tcPr>
          <w:p>
            <w:pPr>
              <w:snapToGrid w:val="0"/>
              <w:jc w:val="center"/>
              <w:rPr>
                <w:color w:val="000000"/>
                <w:sz w:val="24"/>
              </w:rPr>
            </w:pPr>
            <w:r>
              <w:rPr>
                <w:color w:val="000000"/>
                <w:sz w:val="24"/>
              </w:rPr>
              <w:t>乡镇</w:t>
            </w:r>
            <w:r>
              <w:rPr>
                <w:rFonts w:hint="eastAsia"/>
                <w:color w:val="000000"/>
                <w:sz w:val="24"/>
              </w:rPr>
              <w:t>人民</w:t>
            </w:r>
            <w:r>
              <w:rPr>
                <w:color w:val="000000"/>
                <w:sz w:val="24"/>
              </w:rPr>
              <w:t>政府</w:t>
            </w:r>
          </w:p>
          <w:p>
            <w:pPr>
              <w:snapToGrid w:val="0"/>
              <w:jc w:val="center"/>
              <w:rPr>
                <w:color w:val="000000"/>
                <w:sz w:val="24"/>
              </w:rPr>
            </w:pPr>
            <w:r>
              <w:rPr>
                <w:color w:val="000000"/>
                <w:sz w:val="24"/>
              </w:rPr>
              <w:t>意见</w:t>
            </w:r>
          </w:p>
        </w:tc>
        <w:tc>
          <w:tcPr>
            <w:tcW w:w="2639" w:type="dxa"/>
            <w:vAlign w:val="center"/>
          </w:tcPr>
          <w:p>
            <w:pPr>
              <w:snapToGrid w:val="0"/>
              <w:jc w:val="center"/>
              <w:rPr>
                <w:color w:val="000000"/>
                <w:szCs w:val="32"/>
              </w:rPr>
            </w:pPr>
          </w:p>
          <w:p>
            <w:pPr>
              <w:snapToGrid w:val="0"/>
              <w:jc w:val="center"/>
              <w:rPr>
                <w:color w:val="000000"/>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981" w:hRule="atLeast"/>
        </w:trPr>
        <w:tc>
          <w:tcPr>
            <w:tcW w:w="2079" w:type="dxa"/>
            <w:vAlign w:val="center"/>
          </w:tcPr>
          <w:p>
            <w:pPr>
              <w:snapToGrid w:val="0"/>
              <w:jc w:val="center"/>
              <w:rPr>
                <w:color w:val="000000"/>
                <w:sz w:val="24"/>
              </w:rPr>
            </w:pPr>
            <w:r>
              <w:rPr>
                <w:color w:val="000000"/>
                <w:sz w:val="24"/>
              </w:rPr>
              <w:t>县民政局</w:t>
            </w:r>
          </w:p>
          <w:p>
            <w:pPr>
              <w:snapToGrid w:val="0"/>
              <w:jc w:val="center"/>
              <w:rPr>
                <w:color w:val="000000"/>
                <w:sz w:val="24"/>
              </w:rPr>
            </w:pPr>
            <w:r>
              <w:rPr>
                <w:color w:val="000000"/>
                <w:sz w:val="24"/>
              </w:rPr>
              <w:t>意见</w:t>
            </w:r>
          </w:p>
        </w:tc>
        <w:tc>
          <w:tcPr>
            <w:tcW w:w="6720" w:type="dxa"/>
            <w:gridSpan w:val="3"/>
            <w:vAlign w:val="center"/>
          </w:tcPr>
          <w:p>
            <w:pPr>
              <w:snapToGrid w:val="0"/>
              <w:jc w:val="center"/>
              <w:rPr>
                <w:color w:val="000000"/>
                <w:szCs w:val="32"/>
              </w:rPr>
            </w:pPr>
          </w:p>
        </w:tc>
      </w:tr>
    </w:tbl>
    <w:p>
      <w:pPr>
        <w:pStyle w:val="22"/>
        <w:ind w:firstLine="0" w:firstLineChars="0"/>
      </w:pPr>
    </w:p>
    <w:p>
      <w:pPr>
        <w:pStyle w:val="22"/>
        <w:ind w:firstLine="0" w:firstLineChars="0"/>
        <w:rPr>
          <w:rFonts w:hint="default"/>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ZXBSK--GBK1-0">
    <w:altName w:val="微软雅黑"/>
    <w:panose1 w:val="00000000000000000000"/>
    <w:charset w:val="00"/>
    <w:family w:val="auto"/>
    <w:pitch w:val="default"/>
    <w:sig w:usb0="00000000" w:usb1="00000000" w:usb2="00000000" w:usb3="00000000" w:csb0="00040001" w:csb1="00000000"/>
  </w:font>
  <w:font w:name="FZFSK--GBK1-0">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167640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5pt;margin-top:13.2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321" w:leftChars="0" w:firstLine="319" w:firstLineChars="0"/>
      <w:jc w:val="right"/>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秀山土家族苗族自治县人民政府办公室发布     </w:t>
    </w:r>
  </w:p>
  <w:p>
    <w:pPr>
      <w:pStyle w:val="8"/>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秀山土家族苗族自治县人民政府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260FA"/>
    <w:multiLevelType w:val="multilevel"/>
    <w:tmpl w:val="646260FA"/>
    <w:lvl w:ilvl="0" w:tentative="0">
      <w:start w:val="1"/>
      <w:numFmt w:val="decimal"/>
      <w:pStyle w:val="21"/>
      <w:suff w:val="nothing"/>
      <w:lvlText w:val="表%1　"/>
      <w:lvlJc w:val="left"/>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kMjJmMDMyNDc0NzhkNmU5NDgyZjA0YTUyYmY0ZTkifQ=="/>
  </w:docVars>
  <w:rsids>
    <w:rsidRoot w:val="00172A27"/>
    <w:rsid w:val="017054A8"/>
    <w:rsid w:val="019E71BD"/>
    <w:rsid w:val="039C5442"/>
    <w:rsid w:val="03D63BD5"/>
    <w:rsid w:val="03E9643D"/>
    <w:rsid w:val="041C42DA"/>
    <w:rsid w:val="04B679C3"/>
    <w:rsid w:val="05F07036"/>
    <w:rsid w:val="064279DD"/>
    <w:rsid w:val="06E00104"/>
    <w:rsid w:val="07DA1DB8"/>
    <w:rsid w:val="080F63D8"/>
    <w:rsid w:val="09341458"/>
    <w:rsid w:val="098254C2"/>
    <w:rsid w:val="0A766EDE"/>
    <w:rsid w:val="0AD64BE8"/>
    <w:rsid w:val="0B0912D7"/>
    <w:rsid w:val="0E025194"/>
    <w:rsid w:val="0FFC4E26"/>
    <w:rsid w:val="0FFF1966"/>
    <w:rsid w:val="14652761"/>
    <w:rsid w:val="152D2DCA"/>
    <w:rsid w:val="187168EA"/>
    <w:rsid w:val="196673CA"/>
    <w:rsid w:val="1B2F4AEE"/>
    <w:rsid w:val="1B371BA5"/>
    <w:rsid w:val="1CF734C9"/>
    <w:rsid w:val="1D9554B5"/>
    <w:rsid w:val="1DEC284C"/>
    <w:rsid w:val="1E6523AC"/>
    <w:rsid w:val="22440422"/>
    <w:rsid w:val="22BB4BBB"/>
    <w:rsid w:val="2A0730C3"/>
    <w:rsid w:val="2AEB3417"/>
    <w:rsid w:val="2F1F0B6E"/>
    <w:rsid w:val="2F9C4067"/>
    <w:rsid w:val="30C36F47"/>
    <w:rsid w:val="31A15F24"/>
    <w:rsid w:val="324A1681"/>
    <w:rsid w:val="361B6EFE"/>
    <w:rsid w:val="367D6C5C"/>
    <w:rsid w:val="36C33662"/>
    <w:rsid w:val="36FB1DF0"/>
    <w:rsid w:val="395347B5"/>
    <w:rsid w:val="39A232A0"/>
    <w:rsid w:val="39E745AA"/>
    <w:rsid w:val="3B120E32"/>
    <w:rsid w:val="3B5A6BBB"/>
    <w:rsid w:val="3CCB1FE8"/>
    <w:rsid w:val="3D731917"/>
    <w:rsid w:val="3EDA13A6"/>
    <w:rsid w:val="417B75E9"/>
    <w:rsid w:val="42F058B7"/>
    <w:rsid w:val="436109F6"/>
    <w:rsid w:val="441A38D4"/>
    <w:rsid w:val="442A5AAE"/>
    <w:rsid w:val="44D23AE5"/>
    <w:rsid w:val="4504239D"/>
    <w:rsid w:val="461F284F"/>
    <w:rsid w:val="46271D1B"/>
    <w:rsid w:val="465A4714"/>
    <w:rsid w:val="49E7307C"/>
    <w:rsid w:val="4AC75EBD"/>
    <w:rsid w:val="4B027B23"/>
    <w:rsid w:val="4BB53E28"/>
    <w:rsid w:val="4BC77339"/>
    <w:rsid w:val="4C9236C5"/>
    <w:rsid w:val="4E250A85"/>
    <w:rsid w:val="4FFD4925"/>
    <w:rsid w:val="505C172E"/>
    <w:rsid w:val="506405EA"/>
    <w:rsid w:val="51F46A7D"/>
    <w:rsid w:val="52A77CC2"/>
    <w:rsid w:val="52F46F0B"/>
    <w:rsid w:val="532B6A10"/>
    <w:rsid w:val="53D8014D"/>
    <w:rsid w:val="55DC3589"/>
    <w:rsid w:val="55E064E0"/>
    <w:rsid w:val="572C6D10"/>
    <w:rsid w:val="57E93258"/>
    <w:rsid w:val="581B0D4D"/>
    <w:rsid w:val="58343CA4"/>
    <w:rsid w:val="5DC34279"/>
    <w:rsid w:val="5F724D7D"/>
    <w:rsid w:val="5FCD688E"/>
    <w:rsid w:val="5FF9BDAA"/>
    <w:rsid w:val="5FFE5333"/>
    <w:rsid w:val="608816D1"/>
    <w:rsid w:val="60EF4E7F"/>
    <w:rsid w:val="64107080"/>
    <w:rsid w:val="648B0A32"/>
    <w:rsid w:val="665233C1"/>
    <w:rsid w:val="68FB4E2B"/>
    <w:rsid w:val="69AA35B4"/>
    <w:rsid w:val="69AC0D42"/>
    <w:rsid w:val="6A5675B7"/>
    <w:rsid w:val="6AD9688B"/>
    <w:rsid w:val="6AE5205E"/>
    <w:rsid w:val="6D0E3F22"/>
    <w:rsid w:val="702434E5"/>
    <w:rsid w:val="72851D44"/>
    <w:rsid w:val="74104F99"/>
    <w:rsid w:val="744E4660"/>
    <w:rsid w:val="753355A2"/>
    <w:rsid w:val="759F1C61"/>
    <w:rsid w:val="769F2DE8"/>
    <w:rsid w:val="76FDEB7C"/>
    <w:rsid w:val="7704568A"/>
    <w:rsid w:val="79C65162"/>
    <w:rsid w:val="79FF7B1B"/>
    <w:rsid w:val="7B65640E"/>
    <w:rsid w:val="7BB46EBB"/>
    <w:rsid w:val="7C9011D9"/>
    <w:rsid w:val="7DC651C5"/>
    <w:rsid w:val="7DF350ED"/>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方正仿宋_GBK" w:cs="Times New Roman"/>
      <w:kern w:val="2"/>
      <w:sz w:val="32"/>
      <w:szCs w:val="18"/>
      <w:lang w:val="en-US" w:eastAsia="zh-CN" w:bidi="ar-SA"/>
    </w:rPr>
  </w:style>
  <w:style w:type="paragraph" w:styleId="2">
    <w:name w:val="heading 1"/>
    <w:basedOn w:val="1"/>
    <w:next w:val="1"/>
    <w:qFormat/>
    <w:uiPriority w:val="0"/>
    <w:pPr>
      <w:widowControl w:val="0"/>
      <w:spacing w:beforeAutospacing="1" w:afterAutospacing="1"/>
      <w:jc w:val="left"/>
      <w:outlineLvl w:val="0"/>
    </w:pPr>
    <w:rPr>
      <w:rFonts w:ascii="宋体" w:hAnsi="宋体" w:eastAsia="宋体" w:cs="Times New Roman"/>
      <w:b/>
      <w:kern w:val="44"/>
      <w:sz w:val="48"/>
      <w:szCs w:val="48"/>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0"/>
    <w:pPr>
      <w:widowControl w:val="0"/>
      <w:jc w:val="both"/>
    </w:pPr>
    <w:rPr>
      <w:rFonts w:ascii="宋体" w:eastAsia="宋体" w:cs="宋体"/>
      <w:kern w:val="2"/>
      <w:sz w:val="21"/>
      <w:szCs w:val="21"/>
      <w:lang w:val="zh-CN" w:eastAsia="zh-CN" w:bidi="zh-CN"/>
    </w:rPr>
  </w:style>
  <w:style w:type="paragraph" w:styleId="6">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basedOn w:val="10"/>
    <w:qFormat/>
    <w:uiPriority w:val="0"/>
    <w:rPr>
      <w:sz w:val="28"/>
      <w:szCs w:val="28"/>
    </w:rPr>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正文首行缩进1"/>
    <w:basedOn w:val="5"/>
    <w:next w:val="16"/>
    <w:qFormat/>
    <w:uiPriority w:val="0"/>
    <w:pPr>
      <w:adjustRightInd w:val="0"/>
      <w:spacing w:line="275" w:lineRule="atLeast"/>
      <w:ind w:firstLine="420"/>
      <w:textAlignment w:val="baseline"/>
    </w:pPr>
    <w:rPr>
      <w:rFonts w:hAnsi="宋体" w:eastAsia="楷体_GB2312"/>
      <w:sz w:val="24"/>
      <w:szCs w:val="20"/>
    </w:rPr>
  </w:style>
  <w:style w:type="paragraph" w:customStyle="1" w:styleId="16">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 w:type="character" w:customStyle="1" w:styleId="17">
    <w:name w:val="fontstyle01"/>
    <w:qFormat/>
    <w:uiPriority w:val="0"/>
    <w:rPr>
      <w:rFonts w:ascii="FZXBSK--GBK1-0" w:hAnsi="FZXBSK--GBK1-0" w:eastAsia="FZXBSK--GBK1-0" w:cs="FZXBSK--GBK1-0"/>
      <w:color w:val="000000"/>
      <w:sz w:val="44"/>
      <w:szCs w:val="44"/>
    </w:rPr>
  </w:style>
  <w:style w:type="character" w:customStyle="1" w:styleId="18">
    <w:name w:val="fontstyle11"/>
    <w:qFormat/>
    <w:uiPriority w:val="0"/>
    <w:rPr>
      <w:rFonts w:ascii="FZFSK--GBK1-0" w:hAnsi="FZFSK--GBK1-0" w:eastAsia="FZFSK--GBK1-0" w:cs="FZFSK--GBK1-0"/>
      <w:color w:val="000000"/>
      <w:sz w:val="32"/>
      <w:szCs w:val="32"/>
    </w:rPr>
  </w:style>
  <w:style w:type="paragraph" w:customStyle="1" w:styleId="19">
    <w:name w:val="正文-公1"/>
    <w:basedOn w:val="1"/>
    <w:qFormat/>
    <w:uiPriority w:val="0"/>
    <w:pPr>
      <w:widowControl w:val="0"/>
      <w:ind w:firstLine="200" w:firstLineChars="200"/>
      <w:jc w:val="left"/>
    </w:pPr>
    <w:rPr>
      <w:rFonts w:ascii="Calibri" w:hAnsi="Calibri" w:eastAsia="仿宋_GB2312" w:cs="Times New Roman"/>
      <w:sz w:val="21"/>
      <w:szCs w:val="24"/>
    </w:rPr>
  </w:style>
  <w:style w:type="paragraph" w:customStyle="1" w:styleId="20">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1">
    <w:name w:val="正文表标题"/>
    <w:next w:val="1"/>
    <w:qFormat/>
    <w:uiPriority w:val="0"/>
    <w:pPr>
      <w:numPr>
        <w:ilvl w:val="0"/>
        <w:numId w:val="1"/>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22">
    <w:name w:val="正文缩进1"/>
    <w:basedOn w:val="1"/>
    <w:qFormat/>
    <w:uiPriority w:val="0"/>
    <w:pPr>
      <w:widowControl w:val="0"/>
      <w:ind w:firstLine="420" w:firstLineChars="200"/>
    </w:pPr>
    <w:rPr>
      <w:rFonts w:ascii="Calibri" w:hAnsi="Calibri" w:eastAsia="宋体" w:cs="Times New Roman"/>
      <w:sz w:val="21"/>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4423</Words>
  <Characters>4482</Characters>
  <Lines>1</Lines>
  <Paragraphs>1</Paragraphs>
  <TotalTime>15</TotalTime>
  <ScaleCrop>false</ScaleCrop>
  <LinksUpToDate>false</LinksUpToDate>
  <CharactersWithSpaces>4495</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政府办综合科1</cp:lastModifiedBy>
  <cp:lastPrinted>2022-05-12T00:46:00Z</cp:lastPrinted>
  <dcterms:modified xsi:type="dcterms:W3CDTF">2023-05-25T09:09:45Z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0756C2608EE840B487E4661386CFEFEF</vt:lpwstr>
  </property>
</Properties>
</file>