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关于印发《秀山土家族苗族自治县扶贫济困</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医疗基金实施方案》的通知</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秀山府办发〔20</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各街道办事处、乡镇人民政府，县政府各部门，有关单位：</w:t>
      </w:r>
    </w:p>
    <w:p>
      <w:pPr>
        <w:keepNext w:val="0"/>
        <w:keepLines w:val="0"/>
        <w:pageBreakBefore w:val="0"/>
        <w:widowControl w:val="0"/>
        <w:kinsoku/>
        <w:overflowPunct/>
        <w:topLinePunct w:val="0"/>
        <w:autoSpaceDE/>
        <w:autoSpaceDN/>
        <w:bidi w:val="0"/>
        <w:adjustRightInd/>
        <w:snapToGrid w:val="0"/>
        <w:spacing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扶贫济困医疗基金实施方案》已经十七届县人民政府第3次常务会议审议通过，现印发给你们，请遵照执行。同时，《秀山自治县农村贫困户医疗救助暂行实施办法》（秀山府办发〔2016〕72号）停止执行。</w:t>
      </w:r>
    </w:p>
    <w:p>
      <w:pPr>
        <w:keepNext w:val="0"/>
        <w:keepLines w:val="0"/>
        <w:pageBreakBefore w:val="0"/>
        <w:widowControl w:val="0"/>
        <w:kinsoku/>
        <w:overflowPunct/>
        <w:topLinePunct w:val="0"/>
        <w:autoSpaceDE/>
        <w:autoSpaceDN/>
        <w:bidi w:val="0"/>
        <w:adjustRightInd/>
        <w:snapToGrid w:val="0"/>
        <w:spacing w:line="600" w:lineRule="exact"/>
        <w:ind w:left="0" w:leftChars="0" w:right="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val="0"/>
        <w:spacing w:line="600" w:lineRule="exact"/>
        <w:ind w:left="0" w:leftChars="0" w:right="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pacing w:line="600" w:lineRule="exact"/>
        <w:ind w:left="0" w:leftChars="0" w:right="0" w:firstLine="8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w:t>
      </w:r>
    </w:p>
    <w:p>
      <w:pPr>
        <w:keepNext w:val="0"/>
        <w:keepLines w:val="0"/>
        <w:pageBreakBefore w:val="0"/>
        <w:widowControl w:val="0"/>
        <w:kinsoku/>
        <w:overflowPunct/>
        <w:topLinePunct w:val="0"/>
        <w:autoSpaceDE/>
        <w:autoSpaceDN/>
        <w:bidi w:val="0"/>
        <w:adjustRightInd/>
        <w:spacing w:line="600" w:lineRule="exact"/>
        <w:ind w:right="0" w:firstLine="5440" w:firstLineChars="17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val="0"/>
        <w:spacing w:line="600"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扶贫济困医疗基金实施方案</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重庆市财政局、重庆市民政局、重庆市扶贫办关于印发〈关于建立区县扶贫济困医疗基金的指导意见〉的通知》（渝财社〔2016〕281号）精神，为进一步推进我县扶贫攻坚工作，建立健全更加公平更可持续的社会保障制度体系，减轻困难群众医疗费用负担，特制定本实施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一、</w:t>
      </w:r>
      <w:r>
        <w:rPr>
          <w:rFonts w:hint="eastAsia" w:ascii="方正黑体_GBK" w:hAnsi="方正黑体_GBK" w:eastAsia="方正黑体_GBK" w:cs="方正黑体_GBK"/>
          <w:sz w:val="32"/>
          <w:szCs w:val="32"/>
        </w:rPr>
        <w:t>救助对象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农村建档立卡贫困人口（不含纳入民政救助系统的因病致贫扶贫对象）。2015年以来脱贫人口在脱贫攻坚期内，继续享受政策。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纳入民政救助系统的低保、三无、五保、孤儿、在乡重点优抚对象、重度残疾人、民政部门建档的其他特殊困难人员、家庭经济困难的在校大学生、因病致贫家庭重病患者等9类城乡困难群众。</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二、救助政策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（一）救助范围。</w:t>
      </w:r>
      <w:r>
        <w:rPr>
          <w:rFonts w:hint="default" w:ascii="Times New Roman" w:hAnsi="Times New Roman" w:eastAsia="方正仿宋_GBK" w:cs="Times New Roman"/>
          <w:sz w:val="32"/>
          <w:szCs w:val="32"/>
        </w:rPr>
        <w:t>上述政策对象中，发生医保目录外的医疗费用（以下简称“自负费用”）占总费用不超过30%，对其医疗目录外自负费用予以救助（超过30%的，对自负费用30%以内的费用予以救助）。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（二）起付及封顶线。</w:t>
      </w:r>
      <w:r>
        <w:rPr>
          <w:rFonts w:hint="default" w:ascii="Times New Roman" w:hAnsi="Times New Roman" w:eastAsia="方正仿宋_GBK" w:cs="Times New Roman"/>
          <w:sz w:val="32"/>
          <w:szCs w:val="32"/>
        </w:rPr>
        <w:t>原则上符合条件的单次自负费用超过3000元以上的，可享受救助；每人每年最高救助额度不超过5万元。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（三）救助比例。</w:t>
      </w:r>
      <w:r>
        <w:rPr>
          <w:rFonts w:hint="default" w:ascii="Times New Roman" w:hAnsi="Times New Roman" w:eastAsia="方正仿宋_GBK" w:cs="Times New Roman"/>
          <w:sz w:val="32"/>
          <w:szCs w:val="32"/>
        </w:rPr>
        <w:t>实行分段救助政策。</w:t>
      </w:r>
    </w:p>
    <w:tbl>
      <w:tblPr>
        <w:tblStyle w:val="20"/>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3011"/>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16" w:type="dxa"/>
            <w:vAlign w:val="center"/>
          </w:tcPr>
          <w:p>
            <w:pPr>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分段</w:t>
            </w:r>
          </w:p>
        </w:tc>
        <w:tc>
          <w:tcPr>
            <w:tcW w:w="3011" w:type="dxa"/>
            <w:vAlign w:val="center"/>
          </w:tcPr>
          <w:p>
            <w:pPr>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重点救助对象</w:t>
            </w:r>
          </w:p>
        </w:tc>
        <w:tc>
          <w:tcPr>
            <w:tcW w:w="3011" w:type="dxa"/>
            <w:vAlign w:val="center"/>
          </w:tcPr>
          <w:p>
            <w:pPr>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其他救助对象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16"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3000-10000</w:t>
            </w:r>
          </w:p>
        </w:tc>
        <w:tc>
          <w:tcPr>
            <w:tcW w:w="3011"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25%</w:t>
            </w:r>
          </w:p>
        </w:tc>
        <w:tc>
          <w:tcPr>
            <w:tcW w:w="3011"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16"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10000-30000</w:t>
            </w:r>
          </w:p>
        </w:tc>
        <w:tc>
          <w:tcPr>
            <w:tcW w:w="3011"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30%</w:t>
            </w:r>
          </w:p>
        </w:tc>
        <w:tc>
          <w:tcPr>
            <w:tcW w:w="3011"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16"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30000-50000</w:t>
            </w:r>
          </w:p>
        </w:tc>
        <w:tc>
          <w:tcPr>
            <w:tcW w:w="3011"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35%</w:t>
            </w:r>
          </w:p>
        </w:tc>
        <w:tc>
          <w:tcPr>
            <w:tcW w:w="3011"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16"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50000及以上</w:t>
            </w:r>
          </w:p>
        </w:tc>
        <w:tc>
          <w:tcPr>
            <w:tcW w:w="3011"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40%</w:t>
            </w:r>
          </w:p>
        </w:tc>
        <w:tc>
          <w:tcPr>
            <w:tcW w:w="3011" w:type="dxa"/>
            <w:vAlign w:val="center"/>
          </w:tcPr>
          <w:p>
            <w:pPr>
              <w:snapToGrid w:val="0"/>
              <w:jc w:val="center"/>
              <w:rPr>
                <w:rFonts w:hint="default" w:ascii="Times New Roman" w:hAnsi="Times New Roman" w:cs="Times New Roman"/>
                <w:bCs/>
              </w:rPr>
            </w:pPr>
            <w:r>
              <w:rPr>
                <w:rFonts w:hint="default" w:ascii="Times New Roman" w:hAnsi="Times New Roman" w:cs="Times New Roman"/>
                <w:bCs/>
              </w:rPr>
              <w:t>35%</w:t>
            </w:r>
          </w:p>
        </w:tc>
      </w:tr>
    </w:tbl>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bCs/>
          <w:sz w:val="32"/>
          <w:szCs w:val="32"/>
        </w:rPr>
      </w:pPr>
      <w:r>
        <w:rPr>
          <w:rFonts w:hint="default" w:ascii="Times New Roman" w:hAnsi="Times New Roman" w:cs="Times New Roman"/>
          <w:bCs/>
        </w:rPr>
        <w:t xml:space="preserve">    </w:t>
      </w:r>
      <w:r>
        <w:rPr>
          <w:rFonts w:hint="default" w:ascii="Times New Roman" w:hAnsi="Times New Roman" w:eastAsia="方正仿宋_GBK" w:cs="Times New Roman"/>
          <w:bCs/>
          <w:sz w:val="32"/>
          <w:szCs w:val="32"/>
        </w:rPr>
        <w:t>注：重点救助对象包括城乡低保、农村五保、城市三无和孤儿。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上述救助政策，若遇重、特大疾病，目录外自负费用超过总费用30%的患者，可经相关部门审核认定后，结合实际情况作出适当调整。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三、资金筹集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县财政局整合1000万元作为农村贫困医疗救助基金。</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四、办理流程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（一）</w:t>
      </w:r>
      <w:r>
        <w:rPr>
          <w:rFonts w:hint="default" w:ascii="Times New Roman" w:hAnsi="Times New Roman" w:eastAsia="方正仿宋_GBK" w:cs="Times New Roman"/>
          <w:bCs/>
          <w:sz w:val="32"/>
          <w:szCs w:val="32"/>
        </w:rPr>
        <w:t>对建档立卡贫困户人口的确定由县扶贫办审核确定，将电子文档报县民政局，每季度更新一次，自然减员。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（二）</w:t>
      </w:r>
      <w:r>
        <w:rPr>
          <w:rFonts w:hint="default" w:ascii="Times New Roman" w:hAnsi="Times New Roman" w:eastAsia="方正仿宋_GBK" w:cs="Times New Roman"/>
          <w:bCs/>
          <w:sz w:val="32"/>
          <w:szCs w:val="32"/>
        </w:rPr>
        <w:t>民政救助对象的确定由乡镇（街道）按要求审定后报县民政局审核确定，每季度更新一次。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（三）</w:t>
      </w:r>
      <w:r>
        <w:rPr>
          <w:rFonts w:hint="default" w:ascii="Times New Roman" w:hAnsi="Times New Roman" w:eastAsia="方正仿宋_GBK" w:cs="Times New Roman"/>
          <w:bCs/>
          <w:sz w:val="32"/>
          <w:szCs w:val="32"/>
        </w:rPr>
        <w:t>县民政局将所有符合扶贫济困医疗基金救助对象个人信息录入大病医疗救助系统内，当救助人员住院符合救助条件，在出院时系统将自动减免个人应减免基金救助金额。即采用“一站式”结算，方便群众办理，减轻群众负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五、监督管理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（一）</w:t>
      </w:r>
      <w:r>
        <w:rPr>
          <w:rFonts w:hint="default" w:ascii="Times New Roman" w:hAnsi="Times New Roman" w:eastAsia="方正仿宋_GBK" w:cs="Times New Roman"/>
          <w:bCs/>
          <w:sz w:val="32"/>
          <w:szCs w:val="32"/>
        </w:rPr>
        <w:t>管理主体。由县民政局牵头，会同县财政局、县人力社保局、县扶贫办等部门进行管理。各部门要加强协作，确保服务群众、政策之间的良好衔接，共同推进工作。</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Cs/>
          <w:sz w:val="32"/>
          <w:szCs w:val="32"/>
          <w:lang w:val="en-US" w:eastAsia="zh-CN"/>
        </w:rPr>
      </w:pPr>
      <w:bookmarkStart w:id="0" w:name="_GoBack"/>
      <w:r>
        <w:rPr>
          <w:rFonts w:hint="eastAsia" w:ascii="方正楷体_GBK" w:hAnsi="方正楷体_GBK" w:eastAsia="方正楷体_GBK" w:cs="方正楷体_GBK"/>
          <w:bCs/>
          <w:sz w:val="32"/>
          <w:szCs w:val="32"/>
        </w:rPr>
        <w:t>（二）</w:t>
      </w:r>
      <w:bookmarkEnd w:id="0"/>
      <w:r>
        <w:rPr>
          <w:rFonts w:hint="default" w:ascii="Times New Roman" w:hAnsi="Times New Roman" w:eastAsia="方正仿宋_GBK" w:cs="Times New Roman"/>
          <w:bCs/>
          <w:sz w:val="32"/>
          <w:szCs w:val="32"/>
        </w:rPr>
        <w:t>基金监管。县财政局、县民政局、县扶贫办等部门要加强对基金使用情况的监督管理，严格把关，正确引导预期。既要让老百姓得实惠，切实减轻医疗费用负担，又要避免“福利化”倾向，特别是要坚决杜绝骗补、腐败等现象。</w:t>
      </w:r>
    </w:p>
    <w:p>
      <w:pPr>
        <w:keepNext w:val="0"/>
        <w:keepLines w:val="0"/>
        <w:pageBreakBefore w:val="0"/>
        <w:widowControl w:val="0"/>
        <w:kinsoku/>
        <w:overflowPunct/>
        <w:topLinePunct w:val="0"/>
        <w:autoSpaceDE/>
        <w:autoSpaceDN/>
        <w:bidi w:val="0"/>
        <w:adjustRightInd/>
        <w:snapToGrid/>
        <w:spacing w:line="600" w:lineRule="exact"/>
        <w:ind w:left="828" w:leftChars="0" w:right="0" w:hanging="828" w:hangingChars="259"/>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2E77FC0"/>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0FE0184B"/>
    <w:rsid w:val="14652761"/>
    <w:rsid w:val="152D2DCA"/>
    <w:rsid w:val="183B4B54"/>
    <w:rsid w:val="187168EA"/>
    <w:rsid w:val="196673CA"/>
    <w:rsid w:val="1B2F4AEE"/>
    <w:rsid w:val="1CF734C9"/>
    <w:rsid w:val="1DEC284C"/>
    <w:rsid w:val="1E6523AC"/>
    <w:rsid w:val="1EC9654B"/>
    <w:rsid w:val="1FDD043E"/>
    <w:rsid w:val="1FF36111"/>
    <w:rsid w:val="22440422"/>
    <w:rsid w:val="22BB4BBB"/>
    <w:rsid w:val="2A0730C3"/>
    <w:rsid w:val="2AEB3417"/>
    <w:rsid w:val="30C36F47"/>
    <w:rsid w:val="31A15F24"/>
    <w:rsid w:val="324A1681"/>
    <w:rsid w:val="33B31E72"/>
    <w:rsid w:val="361B6EFE"/>
    <w:rsid w:val="367D6C5C"/>
    <w:rsid w:val="36C33662"/>
    <w:rsid w:val="36FB1DF0"/>
    <w:rsid w:val="395347B5"/>
    <w:rsid w:val="39A232A0"/>
    <w:rsid w:val="39E745AA"/>
    <w:rsid w:val="39EA1C4B"/>
    <w:rsid w:val="3B120E32"/>
    <w:rsid w:val="3B5A6BBB"/>
    <w:rsid w:val="3CCB1FE8"/>
    <w:rsid w:val="3EDA13A6"/>
    <w:rsid w:val="417B75E9"/>
    <w:rsid w:val="42C72B91"/>
    <w:rsid w:val="42F058B7"/>
    <w:rsid w:val="436109F6"/>
    <w:rsid w:val="441A38D4"/>
    <w:rsid w:val="442A5AAE"/>
    <w:rsid w:val="44D23AE5"/>
    <w:rsid w:val="4504239D"/>
    <w:rsid w:val="465A4714"/>
    <w:rsid w:val="4AC75EBD"/>
    <w:rsid w:val="4BC77339"/>
    <w:rsid w:val="4BD824C7"/>
    <w:rsid w:val="4C9236C5"/>
    <w:rsid w:val="4E250A85"/>
    <w:rsid w:val="4E901F4B"/>
    <w:rsid w:val="4FFD4925"/>
    <w:rsid w:val="505C172E"/>
    <w:rsid w:val="506405EA"/>
    <w:rsid w:val="509676A9"/>
    <w:rsid w:val="51F46A7D"/>
    <w:rsid w:val="52A77CC2"/>
    <w:rsid w:val="52F46F0B"/>
    <w:rsid w:val="532B6A10"/>
    <w:rsid w:val="53D8014D"/>
    <w:rsid w:val="55E064E0"/>
    <w:rsid w:val="572C6D10"/>
    <w:rsid w:val="58076C69"/>
    <w:rsid w:val="581B0D4D"/>
    <w:rsid w:val="58D36372"/>
    <w:rsid w:val="5DC34279"/>
    <w:rsid w:val="5FCD688E"/>
    <w:rsid w:val="5FF9BDAA"/>
    <w:rsid w:val="5FFE5333"/>
    <w:rsid w:val="608816D1"/>
    <w:rsid w:val="60EF4E7F"/>
    <w:rsid w:val="648B0A32"/>
    <w:rsid w:val="665233C1"/>
    <w:rsid w:val="68FB4E2B"/>
    <w:rsid w:val="69AA35B4"/>
    <w:rsid w:val="69AC0D42"/>
    <w:rsid w:val="6A5675B7"/>
    <w:rsid w:val="6AD9688B"/>
    <w:rsid w:val="6AE5205E"/>
    <w:rsid w:val="6D0E3F22"/>
    <w:rsid w:val="72851D44"/>
    <w:rsid w:val="74104F99"/>
    <w:rsid w:val="744E4660"/>
    <w:rsid w:val="753355A2"/>
    <w:rsid w:val="759F1C61"/>
    <w:rsid w:val="769F2DE8"/>
    <w:rsid w:val="76FDEB7C"/>
    <w:rsid w:val="79C65162"/>
    <w:rsid w:val="7B860C46"/>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640" w:firstLineChars="200"/>
      <w:jc w:val="left"/>
      <w:outlineLvl w:val="0"/>
    </w:pPr>
    <w:rPr>
      <w:rFonts w:ascii="Calibri" w:hAnsi="Calibri" w:eastAsia="宋体"/>
      <w:b/>
      <w:kern w:val="44"/>
      <w:sz w:val="36"/>
      <w:szCs w:val="22"/>
    </w:rPr>
  </w:style>
  <w:style w:type="paragraph" w:styleId="3">
    <w:name w:val="heading 2"/>
    <w:basedOn w:val="1"/>
    <w:next w:val="1"/>
    <w:unhideWhenUsed/>
    <w:qFormat/>
    <w:uiPriority w:val="0"/>
    <w:pPr>
      <w:keepNext/>
      <w:keepLines/>
      <w:ind w:firstLine="723" w:firstLineChars="200"/>
      <w:outlineLvl w:val="1"/>
    </w:pPr>
    <w:rPr>
      <w:rFonts w:ascii="Arial" w:hAnsi="Arial" w:eastAsia="新宋体"/>
      <w:b/>
      <w:szCs w:val="22"/>
    </w:rPr>
  </w:style>
  <w:style w:type="paragraph" w:styleId="4">
    <w:name w:val="heading 3"/>
    <w:basedOn w:val="1"/>
    <w:next w:val="1"/>
    <w:unhideWhenUsed/>
    <w:qFormat/>
    <w:uiPriority w:val="0"/>
    <w:pPr>
      <w:keepNext/>
      <w:keepLines/>
      <w:ind w:firstLine="723" w:firstLineChars="200"/>
      <w:outlineLvl w:val="2"/>
    </w:pPr>
    <w:rPr>
      <w:rFonts w:ascii="Calibri" w:hAnsi="Calibri" w:eastAsia="楷体"/>
      <w:szCs w:val="2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widowControl w:val="0"/>
      <w:jc w:val="both"/>
    </w:pPr>
    <w:rPr>
      <w:rFonts w:ascii="宋体" w:eastAsia="宋体" w:cs="宋体"/>
      <w:kern w:val="2"/>
      <w:sz w:val="21"/>
      <w:szCs w:val="21"/>
      <w:lang w:val="zh-CN" w:eastAsia="zh-CN" w:bidi="zh-CN"/>
    </w:rPr>
  </w:style>
  <w:style w:type="paragraph" w:styleId="8">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9">
    <w:name w:val="toc 3"/>
    <w:basedOn w:val="1"/>
    <w:next w:val="1"/>
    <w:semiHidden/>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0"/>
    <w:rPr>
      <w:rFonts w:ascii="Calibri" w:hAnsi="Calibri" w:eastAsia="宋体"/>
      <w:sz w:val="21"/>
      <w:szCs w:val="22"/>
    </w:rPr>
  </w:style>
  <w:style w:type="paragraph" w:styleId="13">
    <w:name w:val="toc 2"/>
    <w:basedOn w:val="1"/>
    <w:next w:val="1"/>
    <w:semiHidden/>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bCs/>
    </w:rPr>
  </w:style>
  <w:style w:type="character" w:styleId="17">
    <w:name w:val="page number"/>
    <w:basedOn w:val="15"/>
    <w:qFormat/>
    <w:uiPriority w:val="0"/>
    <w:rPr>
      <w:sz w:val="28"/>
      <w:szCs w:val="28"/>
    </w:rPr>
  </w:style>
  <w:style w:type="character" w:styleId="18">
    <w:name w:val="Hyperlink"/>
    <w:basedOn w:val="15"/>
    <w:qFormat/>
    <w:uiPriority w:val="0"/>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p0"/>
    <w:basedOn w:val="1"/>
    <w:qFormat/>
    <w:uiPriority w:val="0"/>
    <w:pPr>
      <w:widowControl/>
    </w:pPr>
    <w:rPr>
      <w:rFonts w:ascii="Calibri" w:hAnsi="Calibri" w:eastAsia="宋体" w:cs="宋体"/>
      <w:kern w:val="0"/>
      <w:szCs w:val="32"/>
    </w:rPr>
  </w:style>
  <w:style w:type="paragraph" w:customStyle="1" w:styleId="22">
    <w:name w:val="正文首行缩进1"/>
    <w:basedOn w:val="7"/>
    <w:next w:val="23"/>
    <w:qFormat/>
    <w:uiPriority w:val="0"/>
    <w:pPr>
      <w:adjustRightInd w:val="0"/>
      <w:spacing w:line="275" w:lineRule="atLeast"/>
      <w:ind w:firstLine="420"/>
      <w:textAlignment w:val="baseline"/>
    </w:pPr>
    <w:rPr>
      <w:rFonts w:hAnsi="宋体" w:eastAsia="楷体_GB2312"/>
      <w:sz w:val="24"/>
      <w:szCs w:val="20"/>
    </w:rPr>
  </w:style>
  <w:style w:type="paragraph" w:customStyle="1" w:styleId="23">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24">
    <w:name w:val="fontstyle01"/>
    <w:qFormat/>
    <w:uiPriority w:val="0"/>
    <w:rPr>
      <w:rFonts w:ascii="FZXBSK--GBK1-0" w:hAnsi="FZXBSK--GBK1-0" w:eastAsia="FZXBSK--GBK1-0" w:cs="FZXBSK--GBK1-0"/>
      <w:color w:val="000000"/>
      <w:sz w:val="44"/>
      <w:szCs w:val="44"/>
    </w:rPr>
  </w:style>
  <w:style w:type="character" w:customStyle="1" w:styleId="25">
    <w:name w:val="fontstyle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902</Words>
  <Characters>953</Characters>
  <Lines>1</Lines>
  <Paragraphs>1</Paragraphs>
  <TotalTime>2</TotalTime>
  <ScaleCrop>false</ScaleCrop>
  <LinksUpToDate>false</LinksUpToDate>
  <CharactersWithSpaces>1015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