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600" w:lineRule="atLeast"/>
        <w:ind w:left="0" w:right="0"/>
      </w:pPr>
      <w:r>
        <w:rPr>
          <w:rFonts w:ascii="方正黑体_GBK" w:hAnsi="方正黑体_GBK" w:eastAsia="方正黑体_GBK" w:cs="方正黑体_GBK"/>
          <w:color w:val="333333"/>
          <w:sz w:val="32"/>
          <w:szCs w:val="32"/>
          <w:shd w:val="clear" w:fill="FFFFFF"/>
        </w:rPr>
        <w:t> </w:t>
      </w:r>
    </w:p>
    <w:p>
      <w:pPr>
        <w:pStyle w:val="3"/>
        <w:keepNext w:val="0"/>
        <w:keepLines w:val="0"/>
        <w:widowControl/>
        <w:suppressLineNumbers w:val="0"/>
        <w:shd w:val="clear" w:fill="FFFFFF"/>
        <w:spacing w:before="0" w:beforeAutospacing="0" w:after="0" w:afterAutospacing="0" w:line="600" w:lineRule="atLeast"/>
        <w:ind w:left="0" w:right="0"/>
        <w:jc w:val="center"/>
      </w:pPr>
      <w:r>
        <w:rPr>
          <w:rFonts w:ascii="方正小标宋_GBK" w:hAnsi="方正小标宋_GBK" w:eastAsia="方正小标宋_GBK" w:cs="方正小标宋_GBK"/>
          <w:color w:val="333333"/>
          <w:sz w:val="44"/>
          <w:szCs w:val="44"/>
          <w:shd w:val="clear" w:fill="FFFFFF"/>
        </w:rPr>
        <w:t>秀山土家族苗族自治县人民政府效能管理中心</w:t>
      </w:r>
    </w:p>
    <w:p>
      <w:pPr>
        <w:pStyle w:val="3"/>
        <w:keepNext w:val="0"/>
        <w:keepLines w:val="0"/>
        <w:widowControl/>
        <w:suppressLineNumbers w:val="0"/>
        <w:shd w:val="clear" w:fill="FFFFFF"/>
        <w:spacing w:before="0" w:beforeAutospacing="0" w:after="0" w:afterAutospacing="0" w:line="600" w:lineRule="atLeast"/>
        <w:ind w:left="0" w:right="0"/>
        <w:jc w:val="center"/>
      </w:pPr>
      <w:r>
        <w:rPr>
          <w:rFonts w:hint="eastAsia" w:ascii="方正小标宋_GBK" w:hAnsi="方正小标宋_GBK" w:eastAsia="方正小标宋_GBK" w:cs="方正小标宋_GBK"/>
          <w:color w:val="333333"/>
          <w:sz w:val="44"/>
          <w:szCs w:val="44"/>
          <w:shd w:val="clear" w:fill="FFFFFF"/>
        </w:rPr>
        <w:t>2025年单位预算情况说明</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 </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一、单位基本情况</w:t>
      </w:r>
    </w:p>
    <w:p>
      <w:pPr>
        <w:pStyle w:val="3"/>
        <w:keepNext w:val="0"/>
        <w:keepLines w:val="0"/>
        <w:widowControl/>
        <w:suppressLineNumbers w:val="0"/>
        <w:shd w:val="clear" w:fill="FFFFFF"/>
        <w:spacing w:before="0" w:beforeAutospacing="0" w:after="0" w:afterAutospacing="0" w:line="560" w:lineRule="atLeast"/>
        <w:ind w:left="0" w:right="0" w:firstLine="640"/>
      </w:pPr>
      <w:r>
        <w:rPr>
          <w:rFonts w:ascii="方正楷体_GBK" w:hAnsi="方正楷体_GBK" w:eastAsia="方正楷体_GBK" w:cs="方正楷体_GBK"/>
          <w:color w:val="333333"/>
          <w:sz w:val="32"/>
          <w:szCs w:val="32"/>
          <w:shd w:val="clear" w:fill="FFFFFF"/>
        </w:rPr>
        <w:t>（一）职能职责</w:t>
      </w:r>
    </w:p>
    <w:p>
      <w:pPr>
        <w:pStyle w:val="3"/>
        <w:keepNext w:val="0"/>
        <w:keepLines w:val="0"/>
        <w:widowControl/>
        <w:suppressLineNumbers w:val="0"/>
        <w:spacing w:before="0" w:beforeAutospacing="0" w:after="0" w:afterAutospacing="0" w:line="600" w:lineRule="atLeast"/>
        <w:ind w:left="0" w:right="0" w:firstLine="640"/>
      </w:pPr>
      <w:r>
        <w:rPr>
          <w:rFonts w:ascii="方正仿宋_GBK" w:hAnsi="方正仿宋_GBK" w:eastAsia="方正仿宋_GBK" w:cs="方正仿宋_GBK"/>
          <w:sz w:val="32"/>
          <w:szCs w:val="32"/>
        </w:rPr>
        <w:t>1.承担国民经济发展和社会事业方面的调查研究，提出政策建议；</w:t>
      </w:r>
    </w:p>
    <w:p>
      <w:pPr>
        <w:pStyle w:val="3"/>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sz w:val="32"/>
          <w:szCs w:val="32"/>
        </w:rPr>
        <w:t>2.监测、分析经济运行态势，提出政策建议；</w:t>
      </w:r>
    </w:p>
    <w:p>
      <w:pPr>
        <w:pStyle w:val="3"/>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sz w:val="32"/>
          <w:szCs w:val="32"/>
        </w:rPr>
        <w:t>3.组织协调解决经济运行中的重大问题，提出政策建议；</w:t>
      </w:r>
    </w:p>
    <w:p>
      <w:pPr>
        <w:pStyle w:val="3"/>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sz w:val="32"/>
          <w:szCs w:val="32"/>
        </w:rPr>
        <w:t>4.协助县政府处理经济运行方面的对外宣传工作；</w:t>
      </w:r>
    </w:p>
    <w:p>
      <w:pPr>
        <w:pStyle w:val="3"/>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sz w:val="32"/>
          <w:szCs w:val="32"/>
        </w:rPr>
        <w:t>5.承担中央、市、县重大决策部署及领导指示批示事项贯彻落实情况的调查研究和情况反馈，提出效能意见；</w:t>
      </w:r>
    </w:p>
    <w:p>
      <w:pPr>
        <w:pStyle w:val="3"/>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sz w:val="32"/>
          <w:szCs w:val="32"/>
        </w:rPr>
        <w:t>6.承担《县政府工作报告》重点工作目标任务及县政府中心工作贯彻落实情况的调查研究和情况反馈，提出效能意见；</w:t>
      </w:r>
    </w:p>
    <w:p>
      <w:pPr>
        <w:pStyle w:val="3"/>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sz w:val="32"/>
          <w:szCs w:val="32"/>
        </w:rPr>
        <w:t>7.承担县政府党组会议、县政府常务会议、县长办公会议、县政府领导专题会议议定事项贯彻落实情况的调查研究和情况反馈，提出效能意见；</w:t>
      </w:r>
    </w:p>
    <w:p>
      <w:pPr>
        <w:pStyle w:val="3"/>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sz w:val="32"/>
          <w:szCs w:val="32"/>
        </w:rPr>
        <w:t>8.承担县政府领导批示件和交办事项贯彻落实情况的调查研究和情况反馈，提出效能意见；</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仿宋_GBK" w:hAnsi="方正仿宋_GBK" w:eastAsia="方正仿宋_GBK" w:cs="方正仿宋_GBK"/>
          <w:sz w:val="32"/>
          <w:szCs w:val="32"/>
          <w:shd w:val="clear" w:fill="FFFFFF"/>
        </w:rPr>
        <w:t>9.负责县政府和县政府领导同志交办的其他工作。</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（二）单位构成</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仿宋_GBK" w:hAnsi="方正仿宋_GBK" w:eastAsia="方正仿宋_GBK" w:cs="方正仿宋_GBK"/>
          <w:sz w:val="32"/>
          <w:szCs w:val="32"/>
          <w:shd w:val="clear" w:fill="FFFFFF"/>
        </w:rPr>
        <w:t>秀山土家族苗族自治县人民政府效能管理中心设</w:t>
      </w:r>
      <w:r>
        <w:rPr>
          <w:rFonts w:hint="default" w:ascii="Times New Roman" w:hAnsi="Times New Roman" w:cs="Times New Roman"/>
          <w:sz w:val="32"/>
          <w:szCs w:val="32"/>
          <w:shd w:val="clear" w:fill="FFFFFF"/>
        </w:rPr>
        <w:t>3</w:t>
      </w:r>
      <w:r>
        <w:rPr>
          <w:rFonts w:hint="eastAsia" w:ascii="方正仿宋_GBK" w:hAnsi="方正仿宋_GBK" w:eastAsia="方正仿宋_GBK" w:cs="方正仿宋_GBK"/>
          <w:sz w:val="32"/>
          <w:szCs w:val="32"/>
          <w:shd w:val="clear" w:fill="FFFFFF"/>
        </w:rPr>
        <w:t>个内设机构</w:t>
      </w:r>
      <w:r>
        <w:rPr>
          <w:rFonts w:ascii="仿宋_GB2312" w:eastAsia="仿宋_GB2312" w:cs="仿宋_GB2312"/>
          <w:color w:val="333333"/>
          <w:sz w:val="32"/>
          <w:szCs w:val="32"/>
          <w:shd w:val="clear" w:fill="FFFFFF"/>
        </w:rPr>
        <w:t>。分别是：综合管理科、经济运行调度科、发展效能促进科。</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二、部门收支总体情况</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（一）收入预算</w:t>
      </w:r>
      <w:r>
        <w:rPr>
          <w:rFonts w:hint="default" w:ascii="仿宋_GB2312" w:eastAsia="仿宋_GB2312" w:cs="仿宋_GB2312"/>
          <w:color w:val="333333"/>
          <w:sz w:val="32"/>
          <w:szCs w:val="32"/>
          <w:shd w:val="clear" w:fill="FFFFFF"/>
        </w:rPr>
        <w:t>：</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年年初预算数</w:t>
      </w:r>
      <w:r>
        <w:rPr>
          <w:rFonts w:hint="default" w:ascii="Times New Roman" w:hAnsi="Times New Roman" w:cs="Times New Roman"/>
          <w:color w:val="333333"/>
          <w:sz w:val="32"/>
          <w:szCs w:val="32"/>
          <w:shd w:val="clear" w:fill="FFFFFF"/>
        </w:rPr>
        <w:t>92.31</w:t>
      </w:r>
      <w:r>
        <w:rPr>
          <w:rFonts w:hint="eastAsia" w:ascii="方正仿宋_GBK" w:hAnsi="方正仿宋_GBK" w:eastAsia="方正仿宋_GBK" w:cs="方正仿宋_GBK"/>
          <w:color w:val="333333"/>
          <w:sz w:val="32"/>
          <w:szCs w:val="32"/>
          <w:shd w:val="clear" w:fill="FFFFFF"/>
        </w:rPr>
        <w:t>万元，其中：一般公共预算拨款</w:t>
      </w:r>
      <w:r>
        <w:rPr>
          <w:rFonts w:hint="default" w:ascii="Times New Roman" w:hAnsi="Times New Roman" w:cs="Times New Roman"/>
          <w:color w:val="333333"/>
          <w:sz w:val="32"/>
          <w:szCs w:val="32"/>
          <w:shd w:val="clear" w:fill="FFFFFF"/>
        </w:rPr>
        <w:t>92.31</w:t>
      </w:r>
      <w:r>
        <w:rPr>
          <w:rFonts w:hint="eastAsia" w:ascii="方正仿宋_GBK" w:hAnsi="方正仿宋_GBK" w:eastAsia="方正仿宋_GBK" w:cs="方正仿宋_GBK"/>
          <w:color w:val="333333"/>
          <w:sz w:val="32"/>
          <w:szCs w:val="32"/>
          <w:shd w:val="clear" w:fill="FFFFFF"/>
        </w:rPr>
        <w:t>万元，政府性基金预算（效能管理中心）拨款</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万元，国有资本经营预算收入</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万元，事业收入</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万元，事业单位经营收入</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万元，其他收入</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万元，上年结转</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万元。收入较去年减少</w:t>
      </w:r>
      <w:r>
        <w:rPr>
          <w:rFonts w:hint="default" w:ascii="Times New Roman" w:hAnsi="Times New Roman" w:cs="Times New Roman"/>
          <w:color w:val="333333"/>
          <w:sz w:val="32"/>
          <w:szCs w:val="32"/>
          <w:shd w:val="clear" w:fill="FFFFFF"/>
        </w:rPr>
        <w:t>11.22</w:t>
      </w:r>
      <w:r>
        <w:rPr>
          <w:rFonts w:hint="eastAsia" w:ascii="方正仿宋_GBK" w:hAnsi="方正仿宋_GBK" w:eastAsia="方正仿宋_GBK" w:cs="方正仿宋_GBK"/>
          <w:color w:val="333333"/>
          <w:sz w:val="32"/>
          <w:szCs w:val="32"/>
          <w:shd w:val="clear" w:fill="FFFFFF"/>
        </w:rPr>
        <w:t>万元，主要原因是一般公共预算拨款减少。</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（二）支出预算</w:t>
      </w:r>
      <w:r>
        <w:rPr>
          <w:rFonts w:hint="default" w:ascii="仿宋_GB2312" w:eastAsia="仿宋_GB2312" w:cs="仿宋_GB2312"/>
          <w:color w:val="333333"/>
          <w:sz w:val="32"/>
          <w:szCs w:val="32"/>
          <w:shd w:val="clear" w:fill="FFFFFF"/>
        </w:rPr>
        <w:t>：</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年年初预算数</w:t>
      </w:r>
      <w:r>
        <w:rPr>
          <w:rFonts w:hint="default" w:ascii="Times New Roman" w:hAnsi="Times New Roman" w:cs="Times New Roman"/>
          <w:color w:val="333333"/>
          <w:sz w:val="32"/>
          <w:szCs w:val="32"/>
          <w:shd w:val="clear" w:fill="FFFFFF"/>
        </w:rPr>
        <w:t>92.31</w:t>
      </w:r>
      <w:r>
        <w:rPr>
          <w:rFonts w:hint="eastAsia" w:ascii="方正仿宋_GBK" w:hAnsi="方正仿宋_GBK" w:eastAsia="方正仿宋_GBK" w:cs="方正仿宋_GBK"/>
          <w:color w:val="333333"/>
          <w:sz w:val="32"/>
          <w:szCs w:val="32"/>
          <w:shd w:val="clear" w:fill="FFFFFF"/>
        </w:rPr>
        <w:t>万元，其中：一般公共服务支出</w:t>
      </w:r>
      <w:r>
        <w:rPr>
          <w:rFonts w:hint="default" w:ascii="Times New Roman" w:hAnsi="Times New Roman" w:cs="Times New Roman"/>
          <w:color w:val="333333"/>
          <w:sz w:val="32"/>
          <w:szCs w:val="32"/>
          <w:shd w:val="clear" w:fill="FFFFFF"/>
        </w:rPr>
        <w:t>73.42</w:t>
      </w:r>
      <w:r>
        <w:rPr>
          <w:rFonts w:hint="eastAsia" w:ascii="方正仿宋_GBK" w:hAnsi="方正仿宋_GBK" w:eastAsia="方正仿宋_GBK" w:cs="方正仿宋_GBK"/>
          <w:color w:val="333333"/>
          <w:sz w:val="32"/>
          <w:szCs w:val="32"/>
          <w:shd w:val="clear" w:fill="FFFFFF"/>
        </w:rPr>
        <w:t>万元，教育支出</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万元，社会保障和就业支出</w:t>
      </w:r>
      <w:r>
        <w:rPr>
          <w:rFonts w:hint="default" w:ascii="Times New Roman" w:hAnsi="Times New Roman" w:cs="Times New Roman"/>
          <w:color w:val="333333"/>
          <w:sz w:val="32"/>
          <w:szCs w:val="32"/>
          <w:shd w:val="clear" w:fill="FFFFFF"/>
        </w:rPr>
        <w:t>11.04</w:t>
      </w:r>
      <w:r>
        <w:rPr>
          <w:rFonts w:hint="eastAsia" w:ascii="方正仿宋_GBK" w:hAnsi="方正仿宋_GBK" w:eastAsia="方正仿宋_GBK" w:cs="方正仿宋_GBK"/>
          <w:color w:val="333333"/>
          <w:sz w:val="32"/>
          <w:szCs w:val="32"/>
          <w:shd w:val="clear" w:fill="FFFFFF"/>
        </w:rPr>
        <w:t>万元，卫生健康支出</w:t>
      </w:r>
      <w:r>
        <w:rPr>
          <w:rFonts w:hint="default" w:ascii="Times New Roman" w:hAnsi="Times New Roman" w:cs="Times New Roman"/>
          <w:color w:val="333333"/>
          <w:sz w:val="32"/>
          <w:szCs w:val="32"/>
          <w:shd w:val="clear" w:fill="FFFFFF"/>
        </w:rPr>
        <w:t>4.09</w:t>
      </w:r>
      <w:r>
        <w:rPr>
          <w:rFonts w:hint="eastAsia" w:ascii="方正仿宋_GBK" w:hAnsi="方正仿宋_GBK" w:eastAsia="方正仿宋_GBK" w:cs="方正仿宋_GBK"/>
          <w:color w:val="333333"/>
          <w:sz w:val="32"/>
          <w:szCs w:val="32"/>
          <w:shd w:val="clear" w:fill="FFFFFF"/>
        </w:rPr>
        <w:t>万元，住房保障支出</w:t>
      </w:r>
      <w:r>
        <w:rPr>
          <w:rFonts w:hint="default" w:ascii="Times New Roman" w:hAnsi="Times New Roman" w:cs="Times New Roman"/>
          <w:color w:val="333333"/>
          <w:sz w:val="32"/>
          <w:szCs w:val="32"/>
          <w:shd w:val="clear" w:fill="FFFFFF"/>
        </w:rPr>
        <w:t>3.76</w:t>
      </w:r>
      <w:r>
        <w:rPr>
          <w:rFonts w:hint="eastAsia" w:ascii="方正仿宋_GBK" w:hAnsi="方正仿宋_GBK" w:eastAsia="方正仿宋_GBK" w:cs="方正仿宋_GBK"/>
          <w:color w:val="333333"/>
          <w:sz w:val="32"/>
          <w:szCs w:val="32"/>
          <w:shd w:val="clear" w:fill="FFFFFF"/>
        </w:rPr>
        <w:t>万元，结转下年</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万元。支出较去年减少</w:t>
      </w:r>
      <w:r>
        <w:rPr>
          <w:rFonts w:hint="default" w:ascii="Times New Roman" w:hAnsi="Times New Roman" w:cs="Times New Roman"/>
          <w:color w:val="333333"/>
          <w:sz w:val="32"/>
          <w:szCs w:val="32"/>
          <w:shd w:val="clear" w:fill="FFFFFF"/>
        </w:rPr>
        <w:t>11.22</w:t>
      </w:r>
      <w:r>
        <w:rPr>
          <w:rFonts w:hint="eastAsia" w:ascii="方正仿宋_GBK" w:hAnsi="方正仿宋_GBK" w:eastAsia="方正仿宋_GBK" w:cs="方正仿宋_GBK"/>
          <w:color w:val="333333"/>
          <w:sz w:val="32"/>
          <w:szCs w:val="32"/>
          <w:shd w:val="clear" w:fill="FFFFFF"/>
        </w:rPr>
        <w:t>万元，主要原因是基本支出减少</w:t>
      </w:r>
      <w:r>
        <w:rPr>
          <w:rFonts w:hint="default" w:ascii="Times New Roman" w:hAnsi="Times New Roman" w:cs="Times New Roman"/>
          <w:color w:val="333333"/>
          <w:sz w:val="32"/>
          <w:szCs w:val="32"/>
          <w:shd w:val="clear" w:fill="FFFFFF"/>
        </w:rPr>
        <w:t>11.22</w:t>
      </w:r>
      <w:r>
        <w:rPr>
          <w:rFonts w:hint="eastAsia" w:ascii="方正仿宋_GBK" w:hAnsi="方正仿宋_GBK" w:eastAsia="方正仿宋_GBK" w:cs="方正仿宋_GBK"/>
          <w:color w:val="333333"/>
          <w:sz w:val="32"/>
          <w:szCs w:val="32"/>
          <w:shd w:val="clear" w:fill="FFFFFF"/>
        </w:rPr>
        <w:t>万元。</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三、部门预算情况说明</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年一般公共预算财政拨款收入</w:t>
      </w:r>
      <w:r>
        <w:rPr>
          <w:rFonts w:hint="default" w:ascii="Times New Roman" w:hAnsi="Times New Roman" w:cs="Times New Roman"/>
          <w:color w:val="333333"/>
          <w:sz w:val="32"/>
          <w:szCs w:val="32"/>
          <w:shd w:val="clear" w:fill="FFFFFF"/>
        </w:rPr>
        <w:t>92.31</w:t>
      </w:r>
      <w:r>
        <w:rPr>
          <w:rFonts w:hint="eastAsia" w:ascii="方正仿宋_GBK" w:hAnsi="方正仿宋_GBK" w:eastAsia="方正仿宋_GBK" w:cs="方正仿宋_GBK"/>
          <w:color w:val="333333"/>
          <w:sz w:val="32"/>
          <w:szCs w:val="32"/>
          <w:shd w:val="clear" w:fill="FFFFFF"/>
        </w:rPr>
        <w:t>万元，一般公共预算财政拨款支出</w:t>
      </w:r>
      <w:r>
        <w:rPr>
          <w:rFonts w:hint="default" w:ascii="Times New Roman" w:hAnsi="Times New Roman" w:cs="Times New Roman"/>
          <w:color w:val="333333"/>
          <w:sz w:val="32"/>
          <w:szCs w:val="32"/>
          <w:shd w:val="clear" w:fill="FFFFFF"/>
        </w:rPr>
        <w:t>92.31</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年减少</w:t>
      </w:r>
      <w:r>
        <w:rPr>
          <w:rFonts w:hint="default" w:ascii="Times New Roman" w:hAnsi="Times New Roman" w:cs="Times New Roman"/>
          <w:color w:val="333333"/>
          <w:sz w:val="32"/>
          <w:szCs w:val="32"/>
          <w:shd w:val="clear" w:fill="FFFFFF"/>
        </w:rPr>
        <w:t>11.22</w:t>
      </w:r>
      <w:r>
        <w:rPr>
          <w:rFonts w:hint="eastAsia" w:ascii="方正仿宋_GBK" w:hAnsi="方正仿宋_GBK" w:eastAsia="方正仿宋_GBK" w:cs="方正仿宋_GBK"/>
          <w:color w:val="333333"/>
          <w:sz w:val="32"/>
          <w:szCs w:val="32"/>
          <w:shd w:val="clear" w:fill="FFFFFF"/>
        </w:rPr>
        <w:t>万元。其中：基本支出</w:t>
      </w:r>
      <w:r>
        <w:rPr>
          <w:rFonts w:hint="default" w:ascii="Times New Roman" w:hAnsi="Times New Roman" w:cs="Times New Roman"/>
          <w:color w:val="333333"/>
          <w:sz w:val="32"/>
          <w:szCs w:val="32"/>
          <w:shd w:val="clear" w:fill="FFFFFF"/>
        </w:rPr>
        <w:t>92.31</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年减少</w:t>
      </w:r>
      <w:r>
        <w:rPr>
          <w:rFonts w:hint="default" w:ascii="Times New Roman" w:hAnsi="Times New Roman" w:cs="Times New Roman"/>
          <w:color w:val="333333"/>
          <w:sz w:val="32"/>
          <w:szCs w:val="32"/>
          <w:shd w:val="clear" w:fill="FFFFFF"/>
        </w:rPr>
        <w:t>11.22</w:t>
      </w:r>
      <w:r>
        <w:rPr>
          <w:rFonts w:hint="eastAsia" w:ascii="方正仿宋_GBK" w:hAnsi="方正仿宋_GBK" w:eastAsia="方正仿宋_GBK" w:cs="方正仿宋_GBK"/>
          <w:color w:val="333333"/>
          <w:sz w:val="32"/>
          <w:szCs w:val="32"/>
          <w:shd w:val="clear" w:fill="FFFFFF"/>
        </w:rPr>
        <w:t>万元，主要原因是一般公共服务支出减少，主要用于保障在职人员工资福利及社会保险缴费等，保障部门正常运转的各项商品服务支出；项目支出</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万元，同</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年持平。</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仿宋_GBK" w:hAnsi="方正仿宋_GBK" w:eastAsia="方正仿宋_GBK" w:cs="方正仿宋_GBK"/>
          <w:color w:val="333333"/>
          <w:sz w:val="32"/>
          <w:szCs w:val="32"/>
          <w:shd w:val="clear" w:fill="FFFFFF"/>
        </w:rPr>
        <w:t>秀山土家族苗族自治县人民政府效能管理中心</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年未使用政府性基金预算拨款安排的支出。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四、“三公”经费情况说明</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w:t>
      </w:r>
      <w:r>
        <w:rPr>
          <w:rFonts w:hint="default" w:ascii="Times New Roman" w:hAnsi="Times New Roman" w:cs="Times New Roman"/>
          <w:color w:val="333333"/>
          <w:sz w:val="32"/>
          <w:szCs w:val="32"/>
          <w:shd w:val="clear" w:fill="FFFFFF"/>
        </w:rPr>
        <w:t>“</w:t>
      </w:r>
      <w:r>
        <w:rPr>
          <w:rFonts w:hint="eastAsia" w:ascii="方正仿宋_GBK" w:hAnsi="方正仿宋_GBK" w:eastAsia="方正仿宋_GBK" w:cs="方正仿宋_GBK"/>
          <w:color w:val="333333"/>
          <w:sz w:val="32"/>
          <w:szCs w:val="32"/>
          <w:shd w:val="clear" w:fill="FFFFFF"/>
        </w:rPr>
        <w:t>三公</w:t>
      </w:r>
      <w:r>
        <w:rPr>
          <w:rFonts w:hint="default" w:ascii="Times New Roman" w:hAnsi="Times New Roman" w:cs="Times New Roman"/>
          <w:color w:val="333333"/>
          <w:sz w:val="32"/>
          <w:szCs w:val="32"/>
          <w:shd w:val="clear" w:fill="FFFFFF"/>
        </w:rPr>
        <w:t>”</w:t>
      </w:r>
      <w:r>
        <w:rPr>
          <w:rFonts w:hint="eastAsia" w:ascii="方正仿宋_GBK" w:hAnsi="方正仿宋_GBK" w:eastAsia="方正仿宋_GBK" w:cs="方正仿宋_GBK"/>
          <w:color w:val="333333"/>
          <w:sz w:val="32"/>
          <w:szCs w:val="32"/>
          <w:shd w:val="clear" w:fill="FFFFFF"/>
        </w:rPr>
        <w:t>经费预算</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万元，较上年无变化。其中：因公出国（境）费用</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万元，较上年无变化；公务接待费</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万元，较上年无变化；公务用车运行维护费</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万元，较上年无变化；公务用车购置费</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万元，较上年无变化。</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五、其他重要事项的情况说明</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（一）机关运行经费</w:t>
      </w:r>
      <w:r>
        <w:rPr>
          <w:rFonts w:hint="eastAsia" w:ascii="方正仿宋_GBK" w:hAnsi="方正仿宋_GBK" w:eastAsia="方正仿宋_GBK" w:cs="方正仿宋_GBK"/>
          <w:color w:val="333333"/>
          <w:sz w:val="32"/>
          <w:szCs w:val="32"/>
          <w:shd w:val="clear" w:fill="FFFFFF"/>
        </w:rPr>
        <w:t>。秀山土家族苗族自治县人民政府效能管理中心</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年一般公共预算财政拨款机关运行经费</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万元，主要原因是我单位为事业单位，不在机关运行经费统计范围之内。</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（二）绩效目标设置情况</w:t>
      </w:r>
      <w:r>
        <w:rPr>
          <w:rFonts w:hint="eastAsia" w:ascii="方正仿宋_GBK" w:hAnsi="方正仿宋_GBK" w:eastAsia="方正仿宋_GBK" w:cs="方正仿宋_GBK"/>
          <w:color w:val="333333"/>
          <w:sz w:val="32"/>
          <w:szCs w:val="32"/>
          <w:shd w:val="clear" w:fill="FFFFFF"/>
        </w:rPr>
        <w:t>。秀山土家族苗族自治县人民政府效能管理中心</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年无项目支出。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（三）政府采购情况</w:t>
      </w:r>
      <w:r>
        <w:rPr>
          <w:rFonts w:hint="eastAsia" w:ascii="方正仿宋_GBK" w:hAnsi="方正仿宋_GBK" w:eastAsia="方正仿宋_GBK" w:cs="方正仿宋_GBK"/>
          <w:color w:val="333333"/>
          <w:sz w:val="32"/>
          <w:szCs w:val="32"/>
          <w:shd w:val="clear" w:fill="FFFFFF"/>
        </w:rPr>
        <w:t>。所属各预算单位政府采购预算总额</w:t>
      </w:r>
      <w:r>
        <w:rPr>
          <w:rFonts w:hint="default" w:ascii="Times New Roman" w:hAnsi="Times New Roman" w:cs="Times New Roman"/>
          <w:color w:val="333333"/>
          <w:sz w:val="32"/>
          <w:szCs w:val="32"/>
          <w:shd w:val="clear" w:fill="FFFFFF"/>
        </w:rPr>
        <w:t>0 </w:t>
      </w:r>
      <w:r>
        <w:rPr>
          <w:rFonts w:hint="eastAsia" w:ascii="方正仿宋_GBK" w:hAnsi="方正仿宋_GBK" w:eastAsia="方正仿宋_GBK" w:cs="方正仿宋_GBK"/>
          <w:color w:val="333333"/>
          <w:sz w:val="32"/>
          <w:szCs w:val="32"/>
          <w:shd w:val="clear" w:fill="FFFFFF"/>
        </w:rPr>
        <w:t>万元：政府采购货物预算</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万元、政府采购工程预算</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万元、政府采购服务预算</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万元；其中一般公共预算拨款政府采购</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万元：政府采购货物预算</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万元、政府采购工程预算</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万元、政府采购服务预算</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（四）国有资产占有使用情况</w:t>
      </w:r>
      <w:r>
        <w:rPr>
          <w:rFonts w:hint="eastAsia" w:ascii="方正仿宋_GBK" w:hAnsi="方正仿宋_GBK" w:eastAsia="方正仿宋_GBK" w:cs="方正仿宋_GBK"/>
          <w:color w:val="333333"/>
          <w:sz w:val="32"/>
          <w:szCs w:val="32"/>
          <w:shd w:val="clear" w:fill="FFFFFF"/>
        </w:rPr>
        <w:t>。截至</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w:t>
      </w:r>
      <w:r>
        <w:rPr>
          <w:rFonts w:hint="default" w:ascii="Times New Roman" w:hAnsi="Times New Roman" w:cs="Times New Roman"/>
          <w:color w:val="333333"/>
          <w:sz w:val="32"/>
          <w:szCs w:val="32"/>
          <w:shd w:val="clear" w:fill="FFFFFF"/>
        </w:rPr>
        <w:t>12</w:t>
      </w:r>
      <w:r>
        <w:rPr>
          <w:rFonts w:hint="eastAsia" w:ascii="方正仿宋_GBK" w:hAnsi="方正仿宋_GBK" w:eastAsia="方正仿宋_GBK" w:cs="方正仿宋_GBK"/>
          <w:color w:val="333333"/>
          <w:sz w:val="32"/>
          <w:szCs w:val="32"/>
          <w:shd w:val="clear" w:fill="FFFFFF"/>
        </w:rPr>
        <w:t>月，所属各预算单位共有车辆</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辆，其中一般公务用车</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辆、执勤执法用车</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辆。</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年一般公共预算安排购置车辆</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辆，其中一般公务用车</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辆、执勤执法用车</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辆。</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六、专业名词解释</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（一）财政拨款收入</w:t>
      </w:r>
      <w:r>
        <w:rPr>
          <w:rFonts w:hint="eastAsia" w:ascii="方正仿宋_GBK" w:hAnsi="方正仿宋_GBK" w:eastAsia="方正仿宋_GBK" w:cs="方正仿宋_GBK"/>
          <w:color w:val="333333"/>
          <w:sz w:val="32"/>
          <w:szCs w:val="32"/>
          <w:shd w:val="clear" w:fill="FFFFFF"/>
        </w:rPr>
        <w:t>：指单位从同级财政部门取得的各类财政拨款，包括一般公共预算拨款、政府性基金预算拨款、国有资本经营预算拨款。</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（二）其他收入：</w:t>
      </w:r>
      <w:r>
        <w:rPr>
          <w:rFonts w:hint="eastAsia" w:ascii="方正仿宋_GBK" w:hAnsi="方正仿宋_GBK" w:eastAsia="方正仿宋_GBK" w:cs="方正仿宋_GBK"/>
          <w:color w:val="333333"/>
          <w:sz w:val="32"/>
          <w:szCs w:val="32"/>
          <w:shd w:val="clear" w:fill="FFFFFF"/>
        </w:rPr>
        <w:t>主要包括债务收入（不含政府债券、政府向外国组织贷款和国际组织贷款）、投资收益、接受捐赠等收入。</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（三）基本支出：</w:t>
      </w:r>
      <w:r>
        <w:rPr>
          <w:rFonts w:hint="eastAsia" w:ascii="方正仿宋_GBK" w:hAnsi="方正仿宋_GBK" w:eastAsia="方正仿宋_GBK" w:cs="方正仿宋_GBK"/>
          <w:color w:val="333333"/>
          <w:sz w:val="32"/>
          <w:szCs w:val="32"/>
          <w:shd w:val="clear" w:fill="FFFFFF"/>
        </w:rPr>
        <w:t>指各部门、各单位为保障其机构正常运转、完成日常工作任务所发生的支出，包括人员经费和公用经费。</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（四）项目支出：</w:t>
      </w:r>
      <w:r>
        <w:rPr>
          <w:rFonts w:hint="eastAsia" w:ascii="方正仿宋_GBK" w:hAnsi="方正仿宋_GBK" w:eastAsia="方正仿宋_GBK" w:cs="方正仿宋_GBK"/>
          <w:color w:val="333333"/>
          <w:sz w:val="32"/>
          <w:szCs w:val="32"/>
          <w:shd w:val="clear" w:fill="FFFFFF"/>
        </w:rPr>
        <w:t>指各部门、各单位为完成其特定的工作任务和事业发展目标所发生的支出。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（五）经营支出：</w:t>
      </w:r>
      <w:r>
        <w:rPr>
          <w:rFonts w:hint="eastAsia" w:ascii="方正仿宋_GBK" w:hAnsi="方正仿宋_GBK" w:eastAsia="方正仿宋_GBK" w:cs="方正仿宋_GBK"/>
          <w:color w:val="333333"/>
          <w:sz w:val="32"/>
          <w:szCs w:val="32"/>
          <w:shd w:val="clear" w:fill="FFFFFF"/>
        </w:rPr>
        <w:t>指事业单位在专业业务活动及其辅助活动之外开展非独立核算经营活动发生的支出。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（六）“三公”经费：</w:t>
      </w:r>
      <w:r>
        <w:rPr>
          <w:rFonts w:hint="eastAsia" w:ascii="方正仿宋_GBK" w:hAnsi="方正仿宋_GBK" w:eastAsia="方正仿宋_GBK" w:cs="方正仿宋_GBK"/>
          <w:color w:val="333333"/>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（七）机关运行经费：</w:t>
      </w:r>
      <w:r>
        <w:rPr>
          <w:rFonts w:hint="eastAsia" w:ascii="方正仿宋_GBK" w:hAnsi="方正仿宋_GBK" w:eastAsia="方正仿宋_GBK" w:cs="方正仿宋_GBK"/>
          <w:color w:val="333333"/>
          <w:sz w:val="32"/>
          <w:szCs w:val="32"/>
          <w:shd w:val="clear" w:fill="FFFFFF"/>
        </w:rPr>
        <w:t>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（八）工资福利支出（支出经济分类科目类级）：</w:t>
      </w:r>
      <w:r>
        <w:rPr>
          <w:rFonts w:hint="eastAsia" w:ascii="方正仿宋_GBK" w:hAnsi="方正仿宋_GBK" w:eastAsia="方正仿宋_GBK" w:cs="方正仿宋_GBK"/>
          <w:color w:val="333333"/>
          <w:sz w:val="32"/>
          <w:szCs w:val="32"/>
          <w:shd w:val="clear" w:fill="FFFFFF"/>
        </w:rPr>
        <w:t>反映单位开支的在职职工和编制外长期聘用人员的各类劳动报酬，以及为上述人员交纳的各项社会保险费等。</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（九）商品和服务支出（支出经济分类科目类级）：</w:t>
      </w:r>
      <w:r>
        <w:rPr>
          <w:rFonts w:hint="eastAsia" w:ascii="方正仿宋_GBK" w:hAnsi="方正仿宋_GBK" w:eastAsia="方正仿宋_GBK" w:cs="方正仿宋_GBK"/>
          <w:color w:val="333333"/>
          <w:sz w:val="32"/>
          <w:szCs w:val="32"/>
          <w:shd w:val="clear" w:fill="FFFFFF"/>
        </w:rPr>
        <w:t>反映单位购买商品和服务的支出（不包括用于购置固定资产的支出、战略性和应急储备支出）。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（十）对个人和家庭的补助（支出经济分类科目类级）：</w:t>
      </w:r>
      <w:r>
        <w:rPr>
          <w:rFonts w:hint="eastAsia" w:ascii="方正仿宋_GBK" w:hAnsi="方正仿宋_GBK" w:eastAsia="方正仿宋_GBK" w:cs="方正仿宋_GBK"/>
          <w:color w:val="333333"/>
          <w:sz w:val="32"/>
          <w:szCs w:val="32"/>
          <w:shd w:val="clear" w:fill="FFFFFF"/>
        </w:rPr>
        <w:t>反映用于对个人和家庭的补助支出。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（十一）其他资本性支出（支出经济分类科目类级）：</w:t>
      </w:r>
      <w:r>
        <w:rPr>
          <w:rFonts w:hint="eastAsia" w:ascii="方正仿宋_GBK" w:hAnsi="方正仿宋_GBK" w:eastAsia="方正仿宋_GBK" w:cs="方正仿宋_GBK"/>
          <w:color w:val="333333"/>
          <w:sz w:val="32"/>
          <w:szCs w:val="32"/>
          <w:shd w:val="clear" w:fill="FFFFFF"/>
        </w:rPr>
        <w:t>反映非发展改革部门安排的用于建筑物购建、设备购置、基础设施建设、无形资产购置、大型修缮等资本性支出以外的其他资本性支出。</w:t>
      </w:r>
    </w:p>
    <w:p>
      <w:pPr>
        <w:pStyle w:val="3"/>
        <w:keepNext w:val="0"/>
        <w:keepLines w:val="0"/>
        <w:widowControl/>
        <w:suppressLineNumbers w:val="0"/>
        <w:spacing w:before="0" w:beforeAutospacing="0" w:after="160" w:afterAutospacing="0" w:line="560" w:lineRule="atLeast"/>
        <w:ind w:left="0" w:right="0" w:firstLine="640"/>
      </w:pPr>
      <w:r>
        <w:rPr>
          <w:rFonts w:hint="eastAsia" w:ascii="方正仿宋_GBK" w:hAnsi="方正仿宋_GBK" w:eastAsia="方正仿宋_GBK" w:cs="方正仿宋_GBK"/>
          <w:sz w:val="32"/>
          <w:szCs w:val="32"/>
        </w:rPr>
        <w:t>联系人：张晓          联系方式：023-</w:t>
      </w:r>
      <w:r>
        <w:rPr>
          <w:rFonts w:hint="default" w:ascii="Times New Roman" w:hAnsi="Times New Roman" w:cs="Times New Roman"/>
          <w:sz w:val="32"/>
          <w:szCs w:val="32"/>
        </w:rPr>
        <w:t>76671060</w:t>
      </w:r>
    </w:p>
    <w:p>
      <w:pPr>
        <w:pStyle w:val="3"/>
        <w:keepNext w:val="0"/>
        <w:keepLines w:val="0"/>
        <w:widowControl/>
        <w:suppressLineNumbers w:val="0"/>
        <w:spacing w:before="0" w:beforeAutospacing="0" w:after="0" w:afterAutospacing="0" w:line="315" w:lineRule="atLeast"/>
        <w:ind w:left="0" w:right="0"/>
      </w:pPr>
    </w:p>
    <w:p>
      <w:pPr>
        <w:rPr>
          <w:rFonts w:hint="eastAsia"/>
          <w:lang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0000000000000000000"/>
    <w:charset w:val="00"/>
    <w:family w:val="auto"/>
    <w:pitch w:val="default"/>
    <w:sig w:usb0="00000000" w:usb1="00000000" w:usb2="00000000" w:usb3="00000000" w:csb0="00000000" w:csb1="00000000"/>
  </w:font>
  <w:font w:name="sans-serif">
    <w:altName w:val="URW Bookman"/>
    <w:panose1 w:val="00000000000000000000"/>
    <w:charset w:val="00"/>
    <w:family w:val="auto"/>
    <w:pitch w:val="default"/>
    <w:sig w:usb0="00000000" w:usb1="00000000" w:usb2="00000000" w:usb3="00000000" w:csb0="00000000" w:csb1="00000000"/>
  </w:font>
  <w:font w:name="C059">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E108A6"/>
    <w:rsid w:val="04B444C7"/>
    <w:rsid w:val="05B4202B"/>
    <w:rsid w:val="07295976"/>
    <w:rsid w:val="07AA6545"/>
    <w:rsid w:val="0C0D480A"/>
    <w:rsid w:val="0D47753A"/>
    <w:rsid w:val="10EA445F"/>
    <w:rsid w:val="14D1325F"/>
    <w:rsid w:val="14E11CFF"/>
    <w:rsid w:val="19393E1F"/>
    <w:rsid w:val="198F6E75"/>
    <w:rsid w:val="1B1625F6"/>
    <w:rsid w:val="1C365209"/>
    <w:rsid w:val="1D87091B"/>
    <w:rsid w:val="207D0775"/>
    <w:rsid w:val="208E49FF"/>
    <w:rsid w:val="22DF6799"/>
    <w:rsid w:val="2340333C"/>
    <w:rsid w:val="24662263"/>
    <w:rsid w:val="24BF0A1E"/>
    <w:rsid w:val="2639264C"/>
    <w:rsid w:val="26B95BFC"/>
    <w:rsid w:val="27A75E5E"/>
    <w:rsid w:val="27B23C7E"/>
    <w:rsid w:val="3059345B"/>
    <w:rsid w:val="365365ED"/>
    <w:rsid w:val="3A0854E6"/>
    <w:rsid w:val="3D77205A"/>
    <w:rsid w:val="41150A6D"/>
    <w:rsid w:val="44AC4783"/>
    <w:rsid w:val="47B02348"/>
    <w:rsid w:val="47E12F43"/>
    <w:rsid w:val="48B21A00"/>
    <w:rsid w:val="490E5B0E"/>
    <w:rsid w:val="496E00A0"/>
    <w:rsid w:val="4B404861"/>
    <w:rsid w:val="4E0D644A"/>
    <w:rsid w:val="4EF7214A"/>
    <w:rsid w:val="581544CB"/>
    <w:rsid w:val="587E685F"/>
    <w:rsid w:val="5BB170CB"/>
    <w:rsid w:val="5F424B60"/>
    <w:rsid w:val="61627C5D"/>
    <w:rsid w:val="640A4469"/>
    <w:rsid w:val="67C47E6E"/>
    <w:rsid w:val="68480129"/>
    <w:rsid w:val="710C264C"/>
    <w:rsid w:val="710F3952"/>
    <w:rsid w:val="71774FB6"/>
    <w:rsid w:val="723837E8"/>
    <w:rsid w:val="731D5B8B"/>
    <w:rsid w:val="7BAF3E73"/>
    <w:rsid w:val="7F7B055E"/>
    <w:rsid w:val="7F9E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2023-02-25T17:46:00Z</dcterms:created>
  <dc:creator>pc-711</dc:creator>
  <cp:lastModifiedBy>greatwall</cp:lastModifiedBy>
  <dcterms:modified xsi:type="dcterms:W3CDTF">2025-01-24T09:58:09Z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F44D2AF8A2C742C2BD20A5082B04F5CC</vt:lpwstr>
  </property>
</Properties>
</file>