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_GBK" w:cs="Times New Roman"/>
          <w:i w:val="0"/>
          <w:iCs w:val="0"/>
          <w:caps w:val="0"/>
          <w:color w:val="333333"/>
          <w:spacing w:val="0"/>
          <w:sz w:val="44"/>
          <w:szCs w:val="44"/>
          <w:shd w:val="clear" w:fill="FFFFFF"/>
          <w:lang w:val="en-US" w:eastAsia="zh-CN"/>
        </w:rPr>
      </w:pPr>
      <w:r>
        <w:rPr>
          <w:rFonts w:hint="default" w:ascii="Times New Roman" w:hAnsi="Times New Roman" w:eastAsia="方正小标宋_GBK" w:cs="Times New Roman"/>
          <w:i w:val="0"/>
          <w:iCs w:val="0"/>
          <w:caps w:val="0"/>
          <w:color w:val="333333"/>
          <w:spacing w:val="0"/>
          <w:sz w:val="44"/>
          <w:szCs w:val="44"/>
          <w:shd w:val="clear" w:fill="FFFFFF"/>
        </w:rPr>
        <w:t>秀山土家族苗族自治县</w:t>
      </w:r>
      <w:r>
        <w:rPr>
          <w:rFonts w:hint="default" w:ascii="Times New Roman" w:hAnsi="Times New Roman" w:eastAsia="方正小标宋_GBK" w:cs="Times New Roman"/>
          <w:i w:val="0"/>
          <w:iCs w:val="0"/>
          <w:caps w:val="0"/>
          <w:color w:val="333333"/>
          <w:spacing w:val="0"/>
          <w:sz w:val="44"/>
          <w:szCs w:val="44"/>
          <w:shd w:val="clear" w:fill="FFFFFF"/>
          <w:lang w:val="en-US" w:eastAsia="zh-CN"/>
        </w:rPr>
        <w:t>人民政府办公室(本级）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_GBK" w:cs="Times New Roman"/>
          <w:i w:val="0"/>
          <w:iCs w:val="0"/>
          <w:caps w:val="0"/>
          <w:color w:val="333333"/>
          <w:spacing w:val="0"/>
          <w:sz w:val="44"/>
          <w:szCs w:val="44"/>
          <w:shd w:val="clear" w:fill="FFFFFF"/>
        </w:rPr>
      </w:pPr>
      <w:r>
        <w:rPr>
          <w:rFonts w:hint="default" w:ascii="Times New Roman" w:hAnsi="Times New Roman" w:eastAsia="方正小标宋_GBK" w:cs="Times New Roman"/>
          <w:i w:val="0"/>
          <w:iCs w:val="0"/>
          <w:caps w:val="0"/>
          <w:color w:val="333333"/>
          <w:spacing w:val="0"/>
          <w:sz w:val="44"/>
          <w:szCs w:val="44"/>
          <w:shd w:val="clear" w:fill="FFFFFF"/>
        </w:rPr>
        <w:t>202</w:t>
      </w:r>
      <w:r>
        <w:rPr>
          <w:rFonts w:hint="default" w:ascii="Times New Roman" w:hAnsi="Times New Roman" w:eastAsia="方正小标宋_GBK" w:cs="Times New Roman"/>
          <w:i w:val="0"/>
          <w:iCs w:val="0"/>
          <w:caps w:val="0"/>
          <w:color w:val="333333"/>
          <w:spacing w:val="0"/>
          <w:sz w:val="44"/>
          <w:szCs w:val="44"/>
          <w:shd w:val="clear" w:fill="FFFFFF"/>
          <w:lang w:val="en-US" w:eastAsia="zh-CN"/>
        </w:rPr>
        <w:t>4</w:t>
      </w:r>
      <w:r>
        <w:rPr>
          <w:rFonts w:hint="default" w:ascii="Times New Roman" w:hAnsi="Times New Roman" w:eastAsia="方正小标宋_GBK" w:cs="Times New Roman"/>
          <w:i w:val="0"/>
          <w:iCs w:val="0"/>
          <w:caps w:val="0"/>
          <w:color w:val="333333"/>
          <w:spacing w:val="0"/>
          <w:sz w:val="44"/>
          <w:szCs w:val="44"/>
          <w:shd w:val="clear" w:fill="FFFFFF"/>
        </w:rPr>
        <w:t>年</w:t>
      </w:r>
      <w:r>
        <w:rPr>
          <w:rFonts w:hint="default" w:ascii="Times New Roman" w:hAnsi="Times New Roman" w:eastAsia="方正小标宋_GBK" w:cs="Times New Roman"/>
          <w:i w:val="0"/>
          <w:iCs w:val="0"/>
          <w:caps w:val="0"/>
          <w:color w:val="333333"/>
          <w:spacing w:val="0"/>
          <w:sz w:val="44"/>
          <w:szCs w:val="44"/>
          <w:shd w:val="clear" w:fill="FFFFFF"/>
          <w:lang w:eastAsia="zh-CN"/>
        </w:rPr>
        <w:t>单位</w:t>
      </w:r>
      <w:r>
        <w:rPr>
          <w:rFonts w:hint="default" w:ascii="Times New Roman" w:hAnsi="Times New Roman" w:eastAsia="方正小标宋_GBK" w:cs="Times New Roman"/>
          <w:i w:val="0"/>
          <w:iCs w:val="0"/>
          <w:caps w:val="0"/>
          <w:color w:val="333333"/>
          <w:spacing w:val="0"/>
          <w:sz w:val="44"/>
          <w:szCs w:val="44"/>
          <w:shd w:val="clear" w:fill="FFFFFF"/>
        </w:rPr>
        <w:t>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center"/>
        <w:textAlignment w:val="auto"/>
        <w:outlineLvl w:val="9"/>
        <w:rPr>
          <w:rFonts w:hint="default" w:ascii="Times New Roman" w:hAnsi="Times New Roman" w:eastAsia="华文中宋" w:cs="Times New Roman"/>
          <w:i w:val="0"/>
          <w:iCs w:val="0"/>
          <w:caps w:val="0"/>
          <w:color w:val="333333"/>
          <w:spacing w:val="0"/>
          <w:sz w:val="43"/>
          <w:szCs w:val="43"/>
          <w:shd w:val="clear" w:fill="FFFFFF"/>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（一）</w:t>
      </w:r>
      <w:r>
        <w:rPr>
          <w:rFonts w:hint="default" w:ascii="Times New Roman" w:hAnsi="Times New Roman" w:eastAsia="方正楷体_GBK" w:cs="Times New Roman"/>
          <w:b w:val="0"/>
          <w:bCs w:val="0"/>
          <w:sz w:val="32"/>
          <w:szCs w:val="32"/>
        </w:rPr>
        <w:t>职能职责。</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负责县政府会议和县政府领导同志重要活动的组织安排，协助县政府领导同志组织实施会议决定事项。</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负责党和国家领导人、国家机关各部门、市委市政府领导、市级部门、县外领导以及重要外宾来我县政务活动组织安排。</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协助县政府领导同志组织起草和审核以县政府、县政府办公室名义发布的公文，指导全县行政机关公文处理工作</w:t>
      </w:r>
      <w:r>
        <w:rPr>
          <w:rFonts w:hint="default" w:ascii="Times New Roman" w:hAnsi="Times New Roman" w:eastAsia="方正仿宋_GBK" w:cs="Times New Roman"/>
          <w:sz w:val="32"/>
          <w:szCs w:val="32"/>
          <w:lang w:eastAsia="zh-CN"/>
        </w:rPr>
        <w:t>。</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负责研究县政府各部门、有关单位和各乡镇（街道）请示县政府的事项，提出处理意见，报县政府领导同志审批，办理市政府和市级部门及各方面的来文来电。</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负责向县政府领导同志提供反映政府工作以及全县经济社会发展中的重要情况，为县政府领导同志把握全局、科学决策、民主决策提供及时、准确、全面的服务。</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负责督促检查县政府各部门、有关单位、各乡镇（街道）对市政府和县政府决定事项及县政府领导同志批示的执行情况，及时向县政府领导同志报告。</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负责组织、协调县政府举办的全县性大型活动。</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负责组织协调、指导督促县政府系统承办的市和县人大代表建议、政协委员提案办理工作。</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负责全县政务信息搜集、整理、报送工作，指导政府系统信息工作。</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积极推进政府职能转变，负责行政审批制度改革等政府职能转变工作，负责电子政务建设、政务服务平台管理工作。推进“互联网+政务服务”工作。</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负责宣传和贯彻执行有关外事、港澳工作法律、法规和方针政策；负责我县外事、港澳工作的统筹、规划、协调和管理，处理涉外、港澳事务；承担我县外事、港澳工作。</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完成县委县政府交办的其他任务。</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（二）单位构成</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是县政府工作部门，为正科级。加挂秀山土家族苗族自治县人民政府外事办公室、秀山土家族苗族自治县政务服务管理办公室牌子。中共秀山土家族苗族自治县委外事工作委员会为县委议事协调机构，中共秀山土家族苗族自治县委外事工作委员会办公室设在县政府办公室。秀山土家族苗族自治县人民政府办公室设下列</w:t>
      </w:r>
      <w:r>
        <w:rPr>
          <w:rFonts w:hint="default" w:ascii="Times New Roman" w:hAnsi="Times New Roman" w:eastAsia="方正仿宋_GBK" w:cs="Times New Roman"/>
          <w:sz w:val="32"/>
          <w:szCs w:val="32"/>
          <w:lang w:val="en-US" w:eastAsia="zh-CN"/>
        </w:rPr>
        <w:t>11个</w:t>
      </w:r>
      <w:r>
        <w:rPr>
          <w:rFonts w:hint="default" w:ascii="Times New Roman" w:hAnsi="Times New Roman" w:eastAsia="方正仿宋_GBK" w:cs="Times New Roman"/>
          <w:sz w:val="32"/>
          <w:szCs w:val="32"/>
        </w:rPr>
        <w:t>内设机构：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sz w:val="32"/>
          <w:szCs w:val="32"/>
          <w:lang w:eastAsia="zh-CN"/>
        </w:rPr>
        <w:t>分别是：</w:t>
      </w:r>
      <w:r>
        <w:rPr>
          <w:rFonts w:hint="default" w:ascii="Times New Roman" w:hAnsi="Times New Roman" w:eastAsia="方正仿宋_GBK" w:cs="Times New Roman"/>
          <w:sz w:val="32"/>
          <w:szCs w:val="32"/>
        </w:rPr>
        <w:t>督查科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综合科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第一秘书科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秘书科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秘书科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秘书科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信息调研科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审改科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行政科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外事科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人事科</w:t>
      </w:r>
      <w:r>
        <w:rPr>
          <w:rFonts w:hint="default" w:ascii="Times New Roman" w:hAnsi="Times New Roman" w:eastAsia="方正仿宋_GBK" w:cs="Times New Roman"/>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rPr>
        <w:t>（一）收入预算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1432.03</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1428.82</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上年结转3.2</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万元。收入较去年增加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36.9</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是一般公共预算拨</w:t>
      </w:r>
      <w:r>
        <w:rPr>
          <w:rFonts w:hint="default" w:ascii="Times New Roman" w:hAnsi="Times New Roman" w:eastAsia="方正仿宋_GBK" w:cs="Times New Roman"/>
          <w:i w:val="0"/>
          <w:iCs w:val="0"/>
          <w:caps w:val="0"/>
          <w:color w:val="333333"/>
          <w:spacing w:val="0"/>
          <w:sz w:val="32"/>
          <w:szCs w:val="32"/>
          <w:u w:val="none"/>
          <w:shd w:val="clear" w:fill="FFFFFF"/>
          <w:lang w:eastAsia="zh-CN"/>
        </w:rPr>
        <w:t>款增加</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rPr>
        <w:t>（二）支出预算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1432.03</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支出1146.9</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支出161.39</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57.61</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支出66.12</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万元。支出较去年增加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36.9</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65.71</w:t>
      </w:r>
      <w:r>
        <w:rPr>
          <w:rFonts w:hint="default" w:ascii="Times New Roman" w:hAnsi="Times New Roman" w:eastAsia="方正仿宋_GBK" w:cs="Times New Roman"/>
          <w:i w:val="0"/>
          <w:iCs w:val="0"/>
          <w:caps w:val="0"/>
          <w:color w:val="333333"/>
          <w:spacing w:val="0"/>
          <w:sz w:val="32"/>
          <w:szCs w:val="32"/>
          <w:u w:val="none"/>
          <w:shd w:val="clear" w:fill="FFFFFF"/>
        </w:rPr>
        <w:t>万元，项目支出增加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99.4</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，上年结转资金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3.2万元</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1432.03</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其中：上年结转3.2</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1432.03</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36.9</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1128.82</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65.71</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是一般公共服务支出减少</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保障在职人员工资福利及社会保险缴费，离休人员离休费，退休人员补助等，保障部门正常运转的各项商品服务支出；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303.2</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102.6</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一般行政管理事务增加</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秀山土家族苗族自治县人民政府办公室</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default"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四、</w:t>
      </w:r>
      <w:r>
        <w:rPr>
          <w:rFonts w:hint="default" w:ascii="Times New Roman" w:hAnsi="Times New Roman" w:eastAsia="方正黑体_GBK" w:cs="Times New Roman"/>
          <w:i w:val="0"/>
          <w:iCs w:val="0"/>
          <w:caps w:val="0"/>
          <w:color w:val="333333"/>
          <w:spacing w:val="0"/>
          <w:sz w:val="32"/>
          <w:szCs w:val="32"/>
          <w:u w:val="none"/>
          <w:shd w:val="clear" w:fill="FFFFFF"/>
          <w:lang w:eastAsia="zh-CN"/>
        </w:rPr>
        <w:t>“</w:t>
      </w:r>
      <w:r>
        <w:rPr>
          <w:rFonts w:hint="default" w:ascii="Times New Roman" w:hAnsi="Times New Roman" w:eastAsia="方正黑体_GBK" w:cs="Times New Roman"/>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91</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，较上年持平</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8</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65</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较上年持平</w:t>
      </w:r>
      <w:r>
        <w:rPr>
          <w:rFonts w:hint="default" w:ascii="Times New Roman" w:hAnsi="Times New Roman" w:eastAsia="方正仿宋_GBK" w:cs="Times New Roman"/>
          <w:i w:val="0"/>
          <w:iCs w:val="0"/>
          <w:caps w:val="0"/>
          <w:color w:val="333333"/>
          <w:spacing w:val="0"/>
          <w:sz w:val="32"/>
          <w:szCs w:val="32"/>
          <w:u w:val="none"/>
          <w:shd w:val="clear" w:fill="FFFFFF"/>
        </w:rPr>
        <w:t>；公务用车购置费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较上年持平。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276.21</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22.65</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default" w:ascii="Times New Roman" w:hAnsi="Times New Roman" w:eastAsia="方正仿宋_GBK" w:cs="Times New Roman"/>
          <w:i w:val="0"/>
          <w:iCs w:val="0"/>
          <w:caps w:val="0"/>
          <w:color w:val="333333"/>
          <w:spacing w:val="0"/>
          <w:sz w:val="32"/>
          <w:szCs w:val="32"/>
          <w:u w:val="none"/>
          <w:shd w:val="clear" w:fill="FFFFFF"/>
          <w:lang w:eastAsia="zh-CN"/>
        </w:rPr>
        <w:t>商品和服务支出预算减少</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303.2</w:t>
      </w:r>
      <w:bookmarkStart w:id="0" w:name="_GoBack"/>
      <w:bookmarkEnd w:id="0"/>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三</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4.15</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4.15</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4.15</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4.15</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四</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（一）财政拨款收入</w:t>
      </w:r>
      <w:r>
        <w:rPr>
          <w:rFonts w:hint="default" w:ascii="Times New Roman" w:hAnsi="Times New Roman" w:eastAsia="方正仿宋_GBK" w:cs="Times New Roman"/>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（二）其他收入：</w:t>
      </w:r>
      <w:r>
        <w:rPr>
          <w:rFonts w:hint="default" w:ascii="Times New Roman" w:hAnsi="Times New Roman" w:eastAsia="方正仿宋_GBK" w:cs="Times New Roman"/>
          <w:i w:val="0"/>
          <w:iCs w:val="0"/>
          <w:caps w:val="0"/>
          <w:color w:val="333333"/>
          <w:spacing w:val="0"/>
          <w:sz w:val="32"/>
          <w:szCs w:val="32"/>
          <w:shd w:val="clear" w:fill="FFFFFF"/>
        </w:rPr>
        <w:t>指单位取得的除</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财政拨款收入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事业收入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经营收入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（三）基本支出：</w:t>
      </w:r>
      <w:r>
        <w:rPr>
          <w:rFonts w:hint="default" w:ascii="Times New Roman" w:hAnsi="Times New Roman" w:eastAsia="方正仿宋_GBK" w:cs="Times New Roman"/>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工资福利支出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和</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对个人和家庭的补助</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；公用经费指政府收支分类经济科目中除</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工资福利支出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和</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对个人和家庭的补助</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（四）项目支出：</w:t>
      </w:r>
      <w:r>
        <w:rPr>
          <w:rFonts w:hint="default" w:ascii="Times New Roman" w:hAnsi="Times New Roman" w:eastAsia="方正仿宋_GBK" w:cs="Times New Roman"/>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（五）经营支出：</w:t>
      </w:r>
      <w:r>
        <w:rPr>
          <w:rFonts w:hint="default" w:ascii="Times New Roman" w:hAnsi="Times New Roman" w:eastAsia="方正仿宋_GBK" w:cs="Times New Roman"/>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（六）“三公”经费：</w:t>
      </w:r>
      <w:r>
        <w:rPr>
          <w:rFonts w:hint="default"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（七）机关运行经费：</w:t>
      </w:r>
      <w:r>
        <w:rPr>
          <w:rFonts w:hint="default" w:ascii="Times New Roman" w:hAnsi="Times New Roman" w:eastAsia="方正仿宋_GBK" w:cs="Times New Roman"/>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（八）工资福利支出（支出经济分类科目类级）：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（九）商品和服务支出（支出经济分类科目类级）：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（十）对个人和家庭的补助（支出经济分类科目类级）：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（十一）其他资本性支出（支出经济分类科目类级）：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联系人：王一锦</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联系方式：</w:t>
      </w:r>
      <w:r>
        <w:rPr>
          <w:rFonts w:hint="default" w:ascii="Times New Roman" w:hAnsi="Times New Roman" w:eastAsia="方正仿宋_GBK" w:cs="Times New Roman"/>
          <w:sz w:val="32"/>
          <w:szCs w:val="32"/>
          <w:lang w:val="en-US" w:eastAsia="zh-CN"/>
        </w:rPr>
        <w:t>76671060</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55E2"/>
    <w:multiLevelType w:val="singleLevel"/>
    <w:tmpl w:val="02E355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0F84B7B"/>
    <w:rsid w:val="02C95D36"/>
    <w:rsid w:val="03635CA3"/>
    <w:rsid w:val="05B4202B"/>
    <w:rsid w:val="07295976"/>
    <w:rsid w:val="0AD055B1"/>
    <w:rsid w:val="0B3145C1"/>
    <w:rsid w:val="0D052258"/>
    <w:rsid w:val="0D47753A"/>
    <w:rsid w:val="0E4726A9"/>
    <w:rsid w:val="0F08165B"/>
    <w:rsid w:val="10A77E98"/>
    <w:rsid w:val="10EA445F"/>
    <w:rsid w:val="14D1325F"/>
    <w:rsid w:val="14D265A1"/>
    <w:rsid w:val="161E56CF"/>
    <w:rsid w:val="16B26721"/>
    <w:rsid w:val="1937514F"/>
    <w:rsid w:val="198F6E75"/>
    <w:rsid w:val="1AF326F1"/>
    <w:rsid w:val="1B1625F6"/>
    <w:rsid w:val="1C365209"/>
    <w:rsid w:val="1D87091B"/>
    <w:rsid w:val="1DAC211A"/>
    <w:rsid w:val="1E18040D"/>
    <w:rsid w:val="215A658C"/>
    <w:rsid w:val="2340333C"/>
    <w:rsid w:val="264A433F"/>
    <w:rsid w:val="2A621847"/>
    <w:rsid w:val="2E24661C"/>
    <w:rsid w:val="36801578"/>
    <w:rsid w:val="398C68D0"/>
    <w:rsid w:val="3FF55B59"/>
    <w:rsid w:val="3FFD298A"/>
    <w:rsid w:val="40AD5E32"/>
    <w:rsid w:val="44AC4783"/>
    <w:rsid w:val="45D95520"/>
    <w:rsid w:val="46D827EF"/>
    <w:rsid w:val="47865131"/>
    <w:rsid w:val="47E12F43"/>
    <w:rsid w:val="48AB0755"/>
    <w:rsid w:val="490E5B0E"/>
    <w:rsid w:val="4E0D644A"/>
    <w:rsid w:val="4FF74902"/>
    <w:rsid w:val="501A2356"/>
    <w:rsid w:val="52884F8D"/>
    <w:rsid w:val="530835CE"/>
    <w:rsid w:val="56D60A72"/>
    <w:rsid w:val="58A12CD5"/>
    <w:rsid w:val="59572A5F"/>
    <w:rsid w:val="5BB170CB"/>
    <w:rsid w:val="5E5C22C5"/>
    <w:rsid w:val="5F424B60"/>
    <w:rsid w:val="640F2C4F"/>
    <w:rsid w:val="6556539A"/>
    <w:rsid w:val="6646592F"/>
    <w:rsid w:val="67C47E6E"/>
    <w:rsid w:val="68480129"/>
    <w:rsid w:val="6B501875"/>
    <w:rsid w:val="6D1F55D3"/>
    <w:rsid w:val="6E877B90"/>
    <w:rsid w:val="6FD55D6E"/>
    <w:rsid w:val="70A74E40"/>
    <w:rsid w:val="710F3952"/>
    <w:rsid w:val="713D2292"/>
    <w:rsid w:val="71774FB6"/>
    <w:rsid w:val="733C28F1"/>
    <w:rsid w:val="74F957EF"/>
    <w:rsid w:val="75336960"/>
    <w:rsid w:val="76B203A7"/>
    <w:rsid w:val="795302BE"/>
    <w:rsid w:val="7BAF3E73"/>
    <w:rsid w:val="7C1156DE"/>
    <w:rsid w:val="7D362B08"/>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王一锦</cp:lastModifiedBy>
  <dcterms:modified xsi:type="dcterms:W3CDTF">2024-02-05T07:49:43Z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F44D2AF8A2C742C2BD20A5082B04F5CC</vt:lpwstr>
  </property>
</Properties>
</file>