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66ABC">
      <w:pPr>
        <w:pStyle w:val="3"/>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秀山土家族苗族自治县人民政府电子政务管理中心</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51138720">
      <w:pPr>
        <w:pStyle w:val="4"/>
        <w:rPr>
          <w:rFonts w:hint="default"/>
        </w:rPr>
      </w:pPr>
    </w:p>
    <w:p w14:paraId="3A63E1BE">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rPr>
      </w:pPr>
      <w:r>
        <w:rPr>
          <w:rStyle w:val="11"/>
          <w:rFonts w:ascii="方正黑体_GBK" w:hAnsi="方正黑体_GBK" w:eastAsia="方正黑体_GBK" w:cs="方正黑体_GBK"/>
          <w:b w:val="0"/>
          <w:bCs/>
          <w:sz w:val="32"/>
          <w:szCs w:val="32"/>
          <w:shd w:val="clear" w:color="auto" w:fill="FFFFFF"/>
        </w:rPr>
        <w:t>一、单位基本情况</w:t>
      </w:r>
    </w:p>
    <w:p w14:paraId="6755CFAC">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11"/>
          <w:rFonts w:ascii="方正楷体_GBK" w:hAnsi="方正楷体_GBK" w:eastAsia="方正楷体_GBK" w:cs="方正楷体_GBK"/>
          <w:b w:val="0"/>
          <w:bCs/>
          <w:sz w:val="32"/>
          <w:szCs w:val="32"/>
          <w:shd w:val="clear" w:color="auto" w:fill="FFFFFF"/>
        </w:rPr>
        <w:t>（一）职能职责</w:t>
      </w:r>
    </w:p>
    <w:p w14:paraId="23E034E7">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hint="default" w:ascii="Times New Roman" w:hAnsi="Times New Roman" w:eastAsia="方正仿宋_GBK"/>
          <w:sz w:val="32"/>
          <w:szCs w:val="32"/>
        </w:rPr>
        <w:t>负责县政务（政府信息）公开领导小组办公室日常工作，指导、监督全县政务（政府信息）公开工作</w:t>
      </w:r>
      <w:r>
        <w:rPr>
          <w:rFonts w:hint="default" w:ascii="Times New Roman" w:hAnsi="Times New Roman" w:eastAsia="方正仿宋_GBK"/>
          <w:sz w:val="32"/>
          <w:szCs w:val="32"/>
          <w:shd w:val="clear" w:color="auto" w:fill="FFFFFF"/>
        </w:rPr>
        <w:t>。</w:t>
      </w:r>
    </w:p>
    <w:p w14:paraId="3220C7DD">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会同相关部门拟定全县电子政务发展规划、战略；负责电子政务外网建设、政务服务平台管理等工作</w:t>
      </w:r>
      <w:r>
        <w:rPr>
          <w:rFonts w:hint="default" w:ascii="Times New Roman" w:hAnsi="Times New Roman" w:eastAsia="方正仿宋_GBK"/>
          <w:sz w:val="32"/>
          <w:szCs w:val="32"/>
          <w:shd w:val="clear" w:color="auto" w:fill="FFFFFF"/>
        </w:rPr>
        <w:t>。</w:t>
      </w:r>
    </w:p>
    <w:p w14:paraId="28AE6E5F">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负责全县政府网站和政务新媒体的管理，负责县人民政府门户网站日常管理及政务门户平台的建设与管理</w:t>
      </w:r>
      <w:r>
        <w:rPr>
          <w:rFonts w:hint="default" w:ascii="Times New Roman" w:hAnsi="Times New Roman" w:eastAsia="方正仿宋_GBK"/>
          <w:sz w:val="32"/>
          <w:szCs w:val="32"/>
          <w:shd w:val="clear" w:color="auto" w:fill="FFFFFF"/>
        </w:rPr>
        <w:t>。</w:t>
      </w:r>
    </w:p>
    <w:p w14:paraId="371CD0C5">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负责县政府网站及其政务门户平台的信息审核与发布工作，会同相关部门做好政府网络舆情防控及处置</w:t>
      </w:r>
      <w:r>
        <w:rPr>
          <w:rFonts w:hint="default" w:ascii="Times New Roman" w:hAnsi="Times New Roman" w:eastAsia="方正仿宋_GBK"/>
          <w:sz w:val="32"/>
          <w:szCs w:val="32"/>
          <w:shd w:val="clear" w:color="auto" w:fill="FFFFFF"/>
        </w:rPr>
        <w:t>。</w:t>
      </w:r>
    </w:p>
    <w:p w14:paraId="532FC16E">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配合县政府审改办推进“互联网+政务服务”工作</w:t>
      </w:r>
      <w:r>
        <w:rPr>
          <w:rFonts w:hint="default" w:ascii="Times New Roman" w:hAnsi="Times New Roman" w:eastAsia="方正仿宋_GBK"/>
          <w:sz w:val="32"/>
          <w:szCs w:val="32"/>
          <w:shd w:val="clear" w:color="auto" w:fill="FFFFFF"/>
        </w:rPr>
        <w:t>。</w:t>
      </w:r>
    </w:p>
    <w:p w14:paraId="0B138F44">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w:t>
      </w:r>
      <w:r>
        <w:rPr>
          <w:rFonts w:hint="default" w:ascii="Times New Roman" w:hAnsi="Times New Roman" w:eastAsia="方正仿宋_GBK"/>
          <w:sz w:val="32"/>
          <w:szCs w:val="32"/>
        </w:rPr>
        <w:t>负责县政府和县政府领导同志交办的其他工作</w:t>
      </w:r>
      <w:r>
        <w:rPr>
          <w:rFonts w:hint="default" w:ascii="Times New Roman" w:hAnsi="Times New Roman" w:eastAsia="方正仿宋_GBK"/>
          <w:sz w:val="32"/>
          <w:szCs w:val="32"/>
          <w:shd w:val="clear" w:color="auto" w:fill="FFFFFF"/>
        </w:rPr>
        <w:t>。</w:t>
      </w:r>
    </w:p>
    <w:p w14:paraId="333940D5">
      <w:pPr>
        <w:pStyle w:val="3"/>
        <w:shd w:val="clear" w:color="auto" w:fill="FFFFFF"/>
        <w:spacing w:before="0" w:beforeAutospacing="0" w:after="0" w:afterAutospacing="0" w:line="560" w:lineRule="exact"/>
        <w:ind w:firstLine="640" w:firstLineChars="200"/>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（二）机构设置</w:t>
      </w:r>
    </w:p>
    <w:p w14:paraId="7AEC73ED">
      <w:pPr>
        <w:pStyle w:val="3"/>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秀山土家族苗族自治县人民政府电子政务管理中心为秀山土家族苗族自治县人民政府办公室下属事业单位。</w:t>
      </w:r>
    </w:p>
    <w:p w14:paraId="6C733A85">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二、单位决算情况说明</w:t>
      </w:r>
    </w:p>
    <w:p w14:paraId="11D61957">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7AF1EE71">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收、支与2023年度相比，增加41.32万元，增长18.5%</w:t>
      </w:r>
      <w:r>
        <w:rPr>
          <w:rFonts w:ascii="方正仿宋_GBK" w:hAnsi="方正仿宋_GBK" w:eastAsia="方正仿宋_GBK" w:cs="方正仿宋_GBK"/>
          <w:sz w:val="32"/>
          <w:szCs w:val="32"/>
          <w:shd w:val="clear" w:color="auto" w:fill="FFFFFF"/>
        </w:rPr>
        <w:t>，主要原因是增加项目支出和人员增加。</w:t>
      </w:r>
    </w:p>
    <w:p w14:paraId="3721370F">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与2023年度相比，增加23.98万元，增长10.7%</w:t>
      </w:r>
      <w:r>
        <w:rPr>
          <w:rFonts w:ascii="方正仿宋_GBK" w:hAnsi="方正仿宋_GBK" w:eastAsia="方正仿宋_GBK" w:cs="方正仿宋_GBK"/>
          <w:sz w:val="32"/>
          <w:szCs w:val="32"/>
          <w:shd w:val="clear" w:color="auto" w:fill="FFFFFF"/>
        </w:rPr>
        <w:t>，主要原因是增加项目支出和人员增加。其中：财政拨款收入</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17.34</w:t>
      </w:r>
      <w:r>
        <w:rPr>
          <w:rFonts w:ascii="方正仿宋_GBK" w:hAnsi="方正仿宋_GBK" w:eastAsia="方正仿宋_GBK" w:cs="方正仿宋_GBK"/>
          <w:sz w:val="32"/>
          <w:szCs w:val="32"/>
          <w:shd w:val="clear" w:color="auto" w:fill="FFFFFF"/>
        </w:rPr>
        <w:t>万元。</w:t>
      </w:r>
    </w:p>
    <w:p w14:paraId="336336D8">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与2023年度相比，增加58.66万元，增长28.4%</w:t>
      </w:r>
      <w:r>
        <w:rPr>
          <w:rFonts w:ascii="方正仿宋_GBK" w:hAnsi="方正仿宋_GBK" w:eastAsia="方正仿宋_GBK" w:cs="方正仿宋_GBK"/>
          <w:sz w:val="32"/>
          <w:szCs w:val="32"/>
          <w:shd w:val="clear" w:color="auto" w:fill="FFFFFF"/>
        </w:rPr>
        <w:t>，主要原因是增加项目支出和人员增加。其中：基本支出</w:t>
      </w:r>
      <w:r>
        <w:rPr>
          <w:rFonts w:hint="default" w:ascii="Times New Roman" w:hAnsi="Times New Roman" w:eastAsia="方正仿宋_GBK"/>
          <w:sz w:val="32"/>
          <w:szCs w:val="32"/>
          <w:shd w:val="clear" w:color="auto" w:fill="FFFFFF"/>
        </w:rPr>
        <w:t>91.30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173.71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67D8B7D">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4</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与2023年度相比，减少17.34万元，下降100.0%</w:t>
      </w:r>
      <w:r>
        <w:rPr>
          <w:rFonts w:ascii="方正仿宋_GBK" w:hAnsi="方正仿宋_GBK" w:eastAsia="方正仿宋_GBK" w:cs="方正仿宋_GBK"/>
          <w:sz w:val="32"/>
          <w:szCs w:val="32"/>
          <w:shd w:val="clear" w:color="auto" w:fill="FFFFFF"/>
        </w:rPr>
        <w:t>，主要原因是使用结转结余资金。</w:t>
      </w:r>
    </w:p>
    <w:p w14:paraId="71ACFD83">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3C559B6D">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财政拨款收、支总计各增加41.32万元，增长18.5%</w:t>
      </w:r>
      <w:r>
        <w:rPr>
          <w:rFonts w:ascii="方正仿宋_GBK" w:hAnsi="方正仿宋_GBK" w:eastAsia="方正仿宋_GBK" w:cs="方正仿宋_GBK"/>
          <w:sz w:val="32"/>
          <w:szCs w:val="32"/>
          <w:shd w:val="clear" w:color="auto" w:fill="FFFFFF"/>
        </w:rPr>
        <w:t>。主要原因是增加项目支出和人员增加。</w:t>
      </w:r>
    </w:p>
    <w:p w14:paraId="7C27C3BB">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3555712B">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与2023年度相比，增加23.98万元，增长10.7%</w:t>
      </w:r>
      <w:r>
        <w:rPr>
          <w:rFonts w:ascii="方正仿宋_GBK" w:hAnsi="方正仿宋_GBK" w:eastAsia="方正仿宋_GBK" w:cs="方正仿宋_GBK"/>
          <w:sz w:val="32"/>
          <w:szCs w:val="32"/>
          <w:shd w:val="clear" w:color="auto" w:fill="FFFFFF"/>
        </w:rPr>
        <w:t>。主要原因是增加项目支出和人员增加。</w:t>
      </w:r>
      <w:r>
        <w:rPr>
          <w:rFonts w:hint="default" w:ascii="Times New Roman" w:hAnsi="Times New Roman" w:eastAsia="方正仿宋_GBK"/>
          <w:sz w:val="32"/>
          <w:szCs w:val="32"/>
          <w:shd w:val="clear" w:color="auto" w:fill="FFFFFF"/>
        </w:rPr>
        <w:t>较年初预算数增加31.31万元，增长14.5%</w:t>
      </w:r>
      <w:r>
        <w:rPr>
          <w:rFonts w:ascii="方正仿宋_GBK" w:hAnsi="方正仿宋_GBK" w:eastAsia="方正仿宋_GBK" w:cs="方正仿宋_GBK"/>
          <w:sz w:val="32"/>
          <w:szCs w:val="32"/>
          <w:shd w:val="clear" w:color="auto" w:fill="FFFFFF"/>
        </w:rPr>
        <w:t>。主要原因是增加项目支出和人员增加。此外，年初财政拨款结转和结余</w:t>
      </w:r>
      <w:r>
        <w:rPr>
          <w:rFonts w:hint="default" w:ascii="Times New Roman" w:hAnsi="Times New Roman" w:eastAsia="方正仿宋_GBK"/>
          <w:sz w:val="32"/>
          <w:szCs w:val="32"/>
          <w:shd w:val="clear" w:color="auto" w:fill="FFFFFF"/>
        </w:rPr>
        <w:t>17.34</w:t>
      </w:r>
      <w:r>
        <w:rPr>
          <w:rFonts w:ascii="方正仿宋_GBK" w:hAnsi="方正仿宋_GBK" w:eastAsia="方正仿宋_GBK" w:cs="方正仿宋_GBK"/>
          <w:sz w:val="32"/>
          <w:szCs w:val="32"/>
          <w:shd w:val="clear" w:color="auto" w:fill="FFFFFF"/>
        </w:rPr>
        <w:t>万元。</w:t>
      </w:r>
    </w:p>
    <w:p w14:paraId="1C541B9D">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与2023年度相比，增加58.66万元，增长28.4%</w:t>
      </w:r>
      <w:r>
        <w:rPr>
          <w:rFonts w:ascii="方正仿宋_GBK" w:hAnsi="方正仿宋_GBK" w:eastAsia="方正仿宋_GBK" w:cs="方正仿宋_GBK"/>
          <w:sz w:val="32"/>
          <w:szCs w:val="32"/>
          <w:shd w:val="clear" w:color="auto" w:fill="FFFFFF"/>
        </w:rPr>
        <w:t>。主要原因是增加项目支出和人员增加。</w:t>
      </w:r>
      <w:r>
        <w:rPr>
          <w:rFonts w:hint="default" w:ascii="Times New Roman" w:hAnsi="Times New Roman" w:eastAsia="方正仿宋_GBK"/>
          <w:sz w:val="32"/>
          <w:szCs w:val="32"/>
          <w:shd w:val="clear" w:color="auto" w:fill="FFFFFF"/>
        </w:rPr>
        <w:t>较年初预算数增加48.65万元，增长22.5%</w:t>
      </w:r>
      <w:r>
        <w:rPr>
          <w:rFonts w:ascii="方正仿宋_GBK" w:hAnsi="方正仿宋_GBK" w:eastAsia="方正仿宋_GBK" w:cs="方正仿宋_GBK"/>
          <w:sz w:val="32"/>
          <w:szCs w:val="32"/>
          <w:shd w:val="clear" w:color="auto" w:fill="FFFFFF"/>
        </w:rPr>
        <w:t>。主要原因是增加项目支出和人员增加。</w:t>
      </w:r>
    </w:p>
    <w:p w14:paraId="55F408E7">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622D5B1">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238.47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较年初预算数增加32.30万元，增长15.7%</w:t>
      </w:r>
      <w:r>
        <w:rPr>
          <w:rFonts w:ascii="方正仿宋_GBK" w:hAnsi="方正仿宋_GBK" w:eastAsia="方正仿宋_GBK" w:cs="方正仿宋_GBK"/>
          <w:sz w:val="32"/>
          <w:szCs w:val="32"/>
          <w:shd w:val="clear" w:color="auto" w:fill="FFFFFF"/>
        </w:rPr>
        <w:t>，主要原因是增加项目支出和人员增加。</w:t>
      </w:r>
    </w:p>
    <w:p w14:paraId="60E2AD2A">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较年初预算数增加16.37万元，增长330.7%</w:t>
      </w:r>
      <w:r>
        <w:rPr>
          <w:rFonts w:ascii="方正仿宋_GBK" w:hAnsi="方正仿宋_GBK" w:eastAsia="方正仿宋_GBK" w:cs="方正仿宋_GBK"/>
          <w:sz w:val="32"/>
          <w:szCs w:val="32"/>
          <w:shd w:val="clear" w:color="auto" w:fill="FFFFFF"/>
        </w:rPr>
        <w:t>，主要原因是人员变动。</w:t>
      </w:r>
    </w:p>
    <w:p w14:paraId="13D260A6">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较年初预算数减少0.04万元，下降1.4%</w:t>
      </w:r>
      <w:r>
        <w:rPr>
          <w:rFonts w:ascii="方正仿宋_GBK" w:hAnsi="方正仿宋_GBK" w:eastAsia="方正仿宋_GBK" w:cs="方正仿宋_GBK"/>
          <w:sz w:val="32"/>
          <w:szCs w:val="32"/>
          <w:shd w:val="clear" w:color="auto" w:fill="FFFFFF"/>
        </w:rPr>
        <w:t>，主要原因是人员变动。</w:t>
      </w:r>
    </w:p>
    <w:p w14:paraId="61A93DC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，主要原因是收支持平。</w:t>
      </w:r>
    </w:p>
    <w:p w14:paraId="50920A24">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与2023年度相比，减少17.34万元，下降100.0%</w:t>
      </w:r>
      <w:r>
        <w:rPr>
          <w:rFonts w:ascii="方正仿宋_GBK" w:hAnsi="方正仿宋_GBK" w:eastAsia="方正仿宋_GBK" w:cs="方正仿宋_GBK"/>
          <w:sz w:val="32"/>
          <w:szCs w:val="32"/>
          <w:shd w:val="clear" w:color="auto" w:fill="FFFFFF"/>
        </w:rPr>
        <w:t>，主要原因是使用结转结余资金。</w:t>
      </w:r>
    </w:p>
    <w:p w14:paraId="35AA462E">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127AB2CD">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91.30</w:t>
      </w:r>
      <w:r>
        <w:rPr>
          <w:rFonts w:ascii="方正仿宋_GBK" w:hAnsi="方正仿宋_GBK" w:eastAsia="方正仿宋_GBK" w:cs="方正仿宋_GBK"/>
          <w:sz w:val="32"/>
          <w:szCs w:val="32"/>
          <w:shd w:val="clear" w:color="auto" w:fill="FFFFFF"/>
        </w:rPr>
        <w:t>万元。</w:t>
      </w:r>
    </w:p>
    <w:p w14:paraId="6849B4FA">
      <w:pPr>
        <w:pStyle w:val="3"/>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C7E9FCA">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与2023年度相比，增加37.30万元，增长95.6%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基本工资、津贴补贴、奖金、社会保障缴费等。</w:t>
      </w:r>
    </w:p>
    <w:p w14:paraId="2A701866">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与2023年度相比，增加6.10万元，增长68.5%</w:t>
      </w:r>
      <w:r>
        <w:rPr>
          <w:rFonts w:ascii="方正仿宋_GBK" w:hAnsi="方正仿宋_GBK" w:eastAsia="方正仿宋_GBK" w:cs="方正仿宋_GBK"/>
          <w:sz w:val="32"/>
          <w:szCs w:val="32"/>
          <w:shd w:val="clear" w:color="auto" w:fill="FFFFFF"/>
        </w:rPr>
        <w:t>，主要原因是</w:t>
      </w:r>
      <w:bookmarkStart w:id="0" w:name="_GoBack"/>
      <w:bookmarkEnd w:id="0"/>
      <w:r>
        <w:rPr>
          <w:rFonts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14:paraId="2C0F0ABB">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7F2CB240">
      <w:pPr>
        <w:pStyle w:val="3"/>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78F2A927">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73BCC96E">
      <w:pPr>
        <w:pStyle w:val="3"/>
        <w:shd w:val="clear" w:color="auto" w:fill="FFFFFF"/>
        <w:spacing w:before="0" w:beforeAutospacing="0" w:after="0" w:afterAutospacing="0" w:line="596" w:lineRule="exact"/>
        <w:ind w:firstLine="640" w:firstLineChars="200"/>
        <w:rPr>
          <w:rStyle w:val="11"/>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r>
        <w:rPr>
          <w:rStyle w:val="11"/>
          <w:rFonts w:ascii="方正黑体_GBK" w:hAnsi="方正黑体_GBK" w:eastAsia="方正黑体_GBK" w:cs="方正黑体_GBK"/>
          <w:b w:val="0"/>
          <w:bCs/>
          <w:sz w:val="32"/>
          <w:szCs w:val="32"/>
          <w:shd w:val="clear" w:color="auto" w:fill="FFFFFF"/>
        </w:rPr>
        <w:t>三、财政拨款“三公”经费情况说明</w:t>
      </w:r>
    </w:p>
    <w:p w14:paraId="205BD405">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14:paraId="7C47B5E8">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万元，较年初预算数无增减，主要原因是中心无公务接待。较上年支出数无增减，主要原因是中心无公务接待。</w:t>
      </w:r>
    </w:p>
    <w:p w14:paraId="23EBC092">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（二）“三公”经费分项支出情况</w:t>
      </w:r>
    </w:p>
    <w:p w14:paraId="7EDCCE21">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万元，主要是用于未产生因公出国（境）费用。支出较年初预算数无增减，主要原因是未产生因公出国（境）费用。较上年支出数无增减，主要原因是未产生因公出国（境）费用。</w:t>
      </w:r>
    </w:p>
    <w:p w14:paraId="2A2C1FD7">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14:paraId="29AFC60D">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14:paraId="2C623B2C">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万元。费用支出较年初预算数无增减，主要原因是中心无公务接待。较上年支出数无增减，主要原因是中心无公务接待。</w:t>
      </w:r>
    </w:p>
    <w:p w14:paraId="169F88AC">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（三）“三公”经费实物量情况</w:t>
      </w:r>
    </w:p>
    <w:p w14:paraId="3884D80A">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6E3FE9B5">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四、其他需要说明的事项</w:t>
      </w:r>
    </w:p>
    <w:p w14:paraId="7C2D620C">
      <w:pPr>
        <w:pStyle w:val="3"/>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14:paraId="34F1CEEB">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w:t>
      </w:r>
      <w:r>
        <w:rPr>
          <w:rFonts w:ascii="Times New Roman" w:hAnsi="Times New Roman" w:eastAsia="方正仿宋_GBK"/>
          <w:sz w:val="32"/>
          <w:szCs w:val="32"/>
          <w:shd w:val="clear" w:color="auto" w:fill="FFFFFF"/>
        </w:rPr>
        <w:t>差旅</w:t>
      </w:r>
      <w:r>
        <w:rPr>
          <w:rFonts w:hint="default" w:ascii="Times New Roman" w:hAnsi="Times New Roman" w:eastAsia="方正仿宋_GBK"/>
          <w:sz w:val="32"/>
          <w:szCs w:val="32"/>
          <w:shd w:val="clear" w:color="auto" w:fill="FFFFFF"/>
        </w:rPr>
        <w:t>支出。</w:t>
      </w:r>
    </w:p>
    <w:p w14:paraId="1CFECCB4">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6A8A5061">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机关运行经费较上年支出数无增减，主要原因是中心为县政府办公室下属事业中心，无相应开支。</w:t>
      </w:r>
      <w:r>
        <w:rPr>
          <w:rFonts w:hint="default" w:ascii="Times New Roman" w:hAnsi="Times New Roman" w:eastAsia="方正仿宋_GBK"/>
          <w:sz w:val="32"/>
          <w:szCs w:val="32"/>
        </w:rPr>
        <w:t>按照部门决算列报口径，我单位不在机关运行经费统计范围之内。</w:t>
      </w:r>
    </w:p>
    <w:p w14:paraId="1B25112E">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p>
    <w:p w14:paraId="7351BB3D">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79B4ED15">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C7F3E79">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687E351D">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14:paraId="00E238D1">
      <w:pPr>
        <w:pStyle w:val="3"/>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五、预算绩效管理情况说明</w:t>
      </w:r>
    </w:p>
    <w:p w14:paraId="3EEBF4DA">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4A4194C6">
      <w:pPr>
        <w:pStyle w:val="13"/>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根据预算绩效管理要求，我办对部门整体和1个二级项目开展了绩效自评，涉及财政拨款项目支出资金1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p>
    <w:tbl>
      <w:tblPr>
        <w:tblStyle w:val="8"/>
        <w:tblpPr w:leftFromText="180" w:rightFromText="180" w:vertAnchor="text" w:horzAnchor="page" w:tblpX="1814" w:tblpY="848"/>
        <w:tblOverlap w:val="never"/>
        <w:tblW w:w="8400" w:type="dxa"/>
        <w:tblInd w:w="0" w:type="dxa"/>
        <w:tblLayout w:type="fixed"/>
        <w:tblCellMar>
          <w:top w:w="15" w:type="dxa"/>
          <w:left w:w="15" w:type="dxa"/>
          <w:bottom w:w="15" w:type="dxa"/>
          <w:right w:w="15" w:type="dxa"/>
        </w:tblCellMar>
      </w:tblPr>
      <w:tblGrid>
        <w:gridCol w:w="505"/>
        <w:gridCol w:w="611"/>
        <w:gridCol w:w="2112"/>
        <w:gridCol w:w="629"/>
        <w:gridCol w:w="554"/>
        <w:gridCol w:w="629"/>
        <w:gridCol w:w="630"/>
        <w:gridCol w:w="760"/>
        <w:gridCol w:w="631"/>
        <w:gridCol w:w="629"/>
        <w:gridCol w:w="710"/>
      </w:tblGrid>
      <w:tr w14:paraId="22ADAC86">
        <w:tblPrEx>
          <w:tblCellMar>
            <w:top w:w="15" w:type="dxa"/>
            <w:left w:w="15" w:type="dxa"/>
            <w:bottom w:w="15" w:type="dxa"/>
            <w:right w:w="15" w:type="dxa"/>
          </w:tblCellMar>
        </w:tblPrEx>
        <w:trPr>
          <w:trHeight w:val="1490" w:hRule="atLeast"/>
        </w:trPr>
        <w:tc>
          <w:tcPr>
            <w:tcW w:w="8400" w:type="dxa"/>
            <w:gridSpan w:val="11"/>
            <w:shd w:val="clear" w:color="auto" w:fill="auto"/>
            <w:vAlign w:val="center"/>
          </w:tcPr>
          <w:p w14:paraId="5E37221D">
            <w:pPr>
              <w:pStyle w:val="4"/>
              <w:jc w:val="both"/>
              <w:rPr>
                <w:rFonts w:hint="default" w:cs="宋体"/>
                <w:b/>
                <w:sz w:val="32"/>
                <w:szCs w:val="32"/>
                <w:lang w:bidi="ar"/>
              </w:rPr>
            </w:pPr>
          </w:p>
          <w:p w14:paraId="31DF0CEF">
            <w:pPr>
              <w:jc w:val="center"/>
              <w:textAlignment w:val="center"/>
              <w:rPr>
                <w:rFonts w:hint="default" w:cs="宋体"/>
                <w:b/>
                <w:sz w:val="32"/>
                <w:szCs w:val="32"/>
              </w:rPr>
            </w:pPr>
            <w:r>
              <w:rPr>
                <w:rFonts w:cs="宋体"/>
                <w:b/>
                <w:sz w:val="32"/>
                <w:szCs w:val="32"/>
                <w:lang w:bidi="ar"/>
              </w:rPr>
              <w:t>秀山县电子政务管理中心2024年度项目支出</w:t>
            </w:r>
            <w:r>
              <w:rPr>
                <w:rFonts w:cs="宋体"/>
                <w:b/>
                <w:sz w:val="32"/>
                <w:szCs w:val="32"/>
                <w:lang w:bidi="ar"/>
              </w:rPr>
              <w:br w:type="textWrapping"/>
            </w:r>
            <w:r>
              <w:rPr>
                <w:rFonts w:cs="宋体"/>
                <w:b/>
                <w:sz w:val="32"/>
                <w:szCs w:val="32"/>
                <w:lang w:bidi="ar"/>
              </w:rPr>
              <w:t>绩效自评情况表（二级项目）</w:t>
            </w:r>
          </w:p>
        </w:tc>
      </w:tr>
      <w:tr w14:paraId="081BF44F">
        <w:tblPrEx>
          <w:tblCellMar>
            <w:top w:w="15" w:type="dxa"/>
            <w:left w:w="15" w:type="dxa"/>
            <w:bottom w:w="15" w:type="dxa"/>
            <w:right w:w="15" w:type="dxa"/>
          </w:tblCellMar>
        </w:tblPrEx>
        <w:trPr>
          <w:trHeight w:val="104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6C1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5E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项目名称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C50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E8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47A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C4F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FB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0C8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95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A1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971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自评得分</w:t>
            </w:r>
          </w:p>
        </w:tc>
      </w:tr>
      <w:tr w14:paraId="66C260EE">
        <w:tblPrEx>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14:paraId="7E81F4EC">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11" w:type="dxa"/>
            <w:vMerge w:val="restart"/>
            <w:tcBorders>
              <w:top w:val="single" w:color="000000" w:sz="4" w:space="0"/>
              <w:left w:val="single" w:color="000000" w:sz="4" w:space="0"/>
              <w:right w:val="single" w:color="000000" w:sz="4" w:space="0"/>
            </w:tcBorders>
            <w:shd w:val="clear" w:color="auto" w:fill="auto"/>
            <w:vAlign w:val="center"/>
          </w:tcPr>
          <w:p w14:paraId="0EC38A5A">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电子政务外网运行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9B3">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0D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E7A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45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9B1">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127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4C9">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A01">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E56">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14:paraId="4DBA9310">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1102DB05">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3372D977">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D26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三级等保测评率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382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30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6F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E5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35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3D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4CC9">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358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14:paraId="2FA9ED01">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145104B9">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60D720DA">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0B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网络线路故障率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D0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B46">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E75">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DB1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9B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EA5">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B76D">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8C2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14:paraId="27748999">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076C69B2">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646B465E">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29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满足承载所有在网业务及视频会议</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572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886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9C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FE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FA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9D1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B88">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F441">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r>
      <w:tr w14:paraId="4C2E5316">
        <w:tblPrEx>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14:paraId="441B1B2E">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14:paraId="0DF892E8">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F9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全年网络建设经费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D29">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103">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425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6C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95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03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425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214">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3C2">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4E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bl>
    <w:p w14:paraId="41F76CC7">
      <w:pPr>
        <w:rPr>
          <w:rFonts w:hint="default"/>
        </w:rPr>
      </w:pPr>
    </w:p>
    <w:p w14:paraId="7F068488">
      <w:pPr>
        <w:pStyle w:val="13"/>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p>
    <w:p w14:paraId="4815D5FA">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（二）单位绩效评价情况</w:t>
      </w:r>
    </w:p>
    <w:p w14:paraId="7F238821">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我单位对对电子政务外网运行开展了绩效评价，涉及财政拨款项目资金1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万元，评价得分100分，评价等次为优。</w:t>
      </w:r>
    </w:p>
    <w:p w14:paraId="41AAF204">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2392382C">
      <w:pPr>
        <w:pStyle w:val="3"/>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县财政局未委托第三方对我单位开展绩效评价。</w:t>
      </w:r>
    </w:p>
    <w:p w14:paraId="5B83D58D">
      <w:pPr>
        <w:pStyle w:val="4"/>
        <w:rPr>
          <w:rFonts w:hint="default" w:ascii="Times New Roman" w:hAnsi="Times New Roman" w:eastAsia="方正仿宋_GBK"/>
          <w:sz w:val="32"/>
          <w:szCs w:val="32"/>
          <w:shd w:val="clear" w:color="auto" w:fill="FFFFFF"/>
        </w:rPr>
      </w:pPr>
    </w:p>
    <w:p w14:paraId="4610E2D4">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六、专业名词解释</w:t>
      </w:r>
    </w:p>
    <w:p w14:paraId="3191BB24">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23BA6E14">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52041B98">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7D1B920E">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F33DE3E">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1A9B4C">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31CE73C9">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06C89FF">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16F6543E">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2D1905">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6740A095">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360A4954">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45691A">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0C675F">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6C11FE6B">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2B0B1737">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14:paraId="70E624CD">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4F64EC8">
      <w:pPr>
        <w:pStyle w:val="3"/>
        <w:shd w:val="clear" w:color="auto" w:fill="FFFFFF"/>
        <w:spacing w:before="0" w:beforeAutospacing="0" w:after="0" w:afterAutospacing="0" w:line="560"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七、决算公开联系方式及信息反馈渠道</w:t>
      </w:r>
    </w:p>
    <w:p w14:paraId="0115800B">
      <w:pPr>
        <w:pStyle w:val="12"/>
        <w:autoSpaceDE w:val="0"/>
        <w:spacing w:line="560" w:lineRule="exact"/>
        <w:ind w:firstLine="0" w:firstLineChars="0"/>
        <w:rPr>
          <w:rStyle w:val="11"/>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张晓023-76671060</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ABA947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65B560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4DE50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DFC70C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5F6561F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C93FD6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2AFE8F3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F3D88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F9184ED">
            <w:pPr>
              <w:spacing w:line="200" w:lineRule="exact"/>
              <w:rPr>
                <w:rFonts w:hint="default" w:ascii="Arial" w:hAnsi="Arial" w:cs="Arial"/>
                <w:color w:val="000000"/>
                <w:sz w:val="22"/>
                <w:szCs w:val="22"/>
              </w:rPr>
            </w:pPr>
            <w:r>
              <w:rPr>
                <w:rFonts w:cs="宋体"/>
                <w:sz w:val="20"/>
                <w:szCs w:val="20"/>
              </w:rPr>
              <w:t>部门：</w:t>
            </w:r>
            <w:r>
              <w:rPr>
                <w:sz w:val="20"/>
              </w:rPr>
              <w:t>秀山土家族苗族自治县政府效能管理中心</w:t>
            </w:r>
          </w:p>
        </w:tc>
        <w:tc>
          <w:tcPr>
            <w:tcW w:w="4044" w:type="dxa"/>
            <w:tcBorders>
              <w:top w:val="nil"/>
              <w:left w:val="nil"/>
              <w:bottom w:val="nil"/>
              <w:right w:val="nil"/>
            </w:tcBorders>
            <w:shd w:val="clear" w:color="auto" w:fill="auto"/>
            <w:tcMar>
              <w:top w:w="15" w:type="dxa"/>
              <w:left w:w="15" w:type="dxa"/>
              <w:right w:w="15" w:type="dxa"/>
            </w:tcMar>
            <w:vAlign w:val="bottom"/>
          </w:tcPr>
          <w:p w14:paraId="3349B6EC">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35BD4F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E81FE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A20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03DA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971DF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995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738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C7BA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88DF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CB4E6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E613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57B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4D27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D5C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r>
      <w:tr w14:paraId="599D5E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219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CCD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E337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5F0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CB3C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E72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8EA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B505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10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B63F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338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E63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05DE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2B8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D465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A0E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A8F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D25D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684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CFF2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8E1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BA2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A54D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FA0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A912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BB7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8B3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2705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976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8390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B68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678FD9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ADAB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89F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r>
      <w:tr w14:paraId="6346A0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50D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BCF8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24F9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BFC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r>
      <w:tr w14:paraId="5A4E31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E6E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9B43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F5A3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A93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424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6BF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414C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4013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90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99A2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8C6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B850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ADCB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D56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6638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D13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418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9C15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AFE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1FDF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2F4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AF9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AF35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D04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ED04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F5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F2F5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F096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9A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F2E5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3F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9D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4151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3F1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4E26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77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E7A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143F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50D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F42F9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899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498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278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0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0280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A96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25C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9BCC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2B8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2BB345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53C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276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AA1D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A1C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D787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704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C4B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9E79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FDA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D0F6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E5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485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0813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5C9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E6FF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5E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785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EE6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9C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D577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EA5B">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38A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273F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176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B5B0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5A9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BCA2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B805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DF5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5CFE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5D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023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1026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E56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2A4A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AEE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8D8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929E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90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r w14:paraId="3486FF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7CE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212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7C8C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64F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1CCE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6C8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6B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8C0D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49D4D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E1896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70D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20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D86613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163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bl>
    <w:p w14:paraId="12C506ED">
      <w:pPr>
        <w:rPr>
          <w:rFonts w:hint="default" w:cs="宋体"/>
          <w:sz w:val="21"/>
          <w:szCs w:val="21"/>
        </w:rPr>
      </w:pPr>
    </w:p>
    <w:p w14:paraId="6A2B552C">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415BD4D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601E7E56">
            <w:pPr>
              <w:jc w:val="center"/>
              <w:textAlignment w:val="bottom"/>
              <w:rPr>
                <w:rFonts w:hint="default" w:cs="宋体"/>
                <w:b/>
                <w:color w:val="000000"/>
                <w:sz w:val="32"/>
                <w:szCs w:val="32"/>
              </w:rPr>
            </w:pPr>
            <w:r>
              <w:rPr>
                <w:rFonts w:cs="宋体"/>
                <w:b/>
                <w:color w:val="000000"/>
                <w:sz w:val="32"/>
                <w:szCs w:val="32"/>
              </w:rPr>
              <w:t>收入决算表</w:t>
            </w:r>
          </w:p>
        </w:tc>
      </w:tr>
      <w:tr w14:paraId="11887CB4">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40AF7216">
            <w:pPr>
              <w:rPr>
                <w:rFonts w:hint="default" w:cs="宋体"/>
                <w:color w:val="000000"/>
                <w:sz w:val="20"/>
                <w:szCs w:val="20"/>
              </w:rPr>
            </w:pPr>
            <w:r>
              <w:rPr>
                <w:rFonts w:cs="宋体"/>
                <w:sz w:val="20"/>
                <w:szCs w:val="20"/>
              </w:rPr>
              <w:t>部门：</w:t>
            </w:r>
            <w:r>
              <w:rPr>
                <w:sz w:val="20"/>
              </w:rPr>
              <w:t>秀山土家族苗族自治县政府效能管理中心</w:t>
            </w:r>
          </w:p>
        </w:tc>
        <w:tc>
          <w:tcPr>
            <w:tcW w:w="1408" w:type="dxa"/>
            <w:tcBorders>
              <w:top w:val="nil"/>
              <w:left w:val="nil"/>
              <w:bottom w:val="nil"/>
              <w:right w:val="nil"/>
            </w:tcBorders>
            <w:shd w:val="clear" w:color="auto" w:fill="auto"/>
            <w:tcMar>
              <w:top w:w="15" w:type="dxa"/>
              <w:left w:w="15" w:type="dxa"/>
              <w:right w:w="15" w:type="dxa"/>
            </w:tcMar>
            <w:vAlign w:val="bottom"/>
          </w:tcPr>
          <w:p w14:paraId="33D30E30">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EBBD958">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3F9BF544">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3827B2C5">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3FA42815">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19347C82">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1B6DEF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AA0378C">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21CA8F31">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29A570E5">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2DCB0F2">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E102AC1">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2D647A98">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7DEDA3FF">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1A80E815">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129D5B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8E1E42">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F586253">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601C">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E6E9">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76163">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4718BE">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D85E">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CC22">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20DBC">
            <w:pPr>
              <w:jc w:val="center"/>
              <w:textAlignment w:val="center"/>
              <w:rPr>
                <w:rFonts w:hint="default" w:cs="宋体"/>
                <w:b/>
                <w:color w:val="000000"/>
                <w:sz w:val="20"/>
                <w:szCs w:val="20"/>
              </w:rPr>
            </w:pPr>
            <w:r>
              <w:rPr>
                <w:rFonts w:cs="宋体"/>
                <w:b/>
                <w:color w:val="000000"/>
                <w:sz w:val="20"/>
                <w:szCs w:val="20"/>
              </w:rPr>
              <w:t>其他收入</w:t>
            </w:r>
          </w:p>
        </w:tc>
      </w:tr>
      <w:tr w14:paraId="7241B3EE">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AF86">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4E0652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164D">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8E6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FEA4">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DA64">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A9CC">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84E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D7E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3186">
            <w:pPr>
              <w:jc w:val="center"/>
              <w:rPr>
                <w:rFonts w:hint="default" w:cs="宋体"/>
                <w:b/>
                <w:color w:val="000000"/>
                <w:sz w:val="20"/>
                <w:szCs w:val="20"/>
              </w:rPr>
            </w:pPr>
          </w:p>
        </w:tc>
      </w:tr>
      <w:tr w14:paraId="05E4C246">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3746">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3D8A00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49B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505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CAD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BE06">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BF74">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F1FD">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BAC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E798">
            <w:pPr>
              <w:jc w:val="center"/>
              <w:rPr>
                <w:rFonts w:hint="default" w:cs="宋体"/>
                <w:b/>
                <w:color w:val="000000"/>
                <w:sz w:val="20"/>
                <w:szCs w:val="20"/>
              </w:rPr>
            </w:pPr>
          </w:p>
        </w:tc>
      </w:tr>
      <w:tr w14:paraId="72824E7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934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1D0C59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3C9B">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546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C74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DA47">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4318">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716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48DC">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A25A">
            <w:pPr>
              <w:jc w:val="center"/>
              <w:rPr>
                <w:rFonts w:hint="default" w:cs="宋体"/>
                <w:b/>
                <w:color w:val="000000"/>
                <w:sz w:val="20"/>
                <w:szCs w:val="20"/>
              </w:rPr>
            </w:pPr>
          </w:p>
        </w:tc>
      </w:tr>
      <w:tr w14:paraId="0EC7DB1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8CEF">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C18912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6154">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0A1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DB9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899B">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C9EE">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E5FD">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3BF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CD95">
            <w:pPr>
              <w:jc w:val="center"/>
              <w:rPr>
                <w:rFonts w:hint="default" w:cs="宋体"/>
                <w:b/>
                <w:color w:val="000000"/>
                <w:sz w:val="20"/>
                <w:szCs w:val="20"/>
              </w:rPr>
            </w:pPr>
          </w:p>
        </w:tc>
      </w:tr>
      <w:tr w14:paraId="397AA8F7">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150D">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24F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D4A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9F6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36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0A2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AB6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DFF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3A8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243E5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17DB">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7877E">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4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E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B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E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1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F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8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3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57753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21FA">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A8CED">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0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B0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C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E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1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9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B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4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8E2E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C8BC">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A4446">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E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5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9D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B4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1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C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A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1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6D8B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A5CF">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C891F">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2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7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2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7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C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2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1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8691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C7FF">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CEA38">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8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B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8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E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C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A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9218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0453">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E8D6E">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96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4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7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5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A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2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9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A98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4758">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85790">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9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B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5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D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4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B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D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F462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3267">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2A4B0">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F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6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6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2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E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C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E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B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D258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2549">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A0FAA">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2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6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E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0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4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E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F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0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40C1B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15A3">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57F63">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E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8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6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7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F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D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A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F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F2FCF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B8D1">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09655">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4E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5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3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E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6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56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D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2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7A66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EF8A">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D26CE">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F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0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4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D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C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E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E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7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7AC7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5115">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CC035">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6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C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0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A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2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4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5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8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0CE5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2B32">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987E0">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7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3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D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1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1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2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8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1D974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496A8A0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0FF9E49C">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446C7D8C">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4818646D">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秀山土家族苗族自治县政府效能管理中心 </w:t>
            </w:r>
          </w:p>
        </w:tc>
        <w:tc>
          <w:tcPr>
            <w:tcW w:w="1716" w:type="dxa"/>
            <w:tcBorders>
              <w:top w:val="nil"/>
              <w:left w:val="nil"/>
              <w:bottom w:val="nil"/>
              <w:right w:val="nil"/>
            </w:tcBorders>
            <w:shd w:val="clear" w:color="auto" w:fill="auto"/>
            <w:tcMar>
              <w:top w:w="15" w:type="dxa"/>
              <w:left w:w="15" w:type="dxa"/>
              <w:right w:w="15" w:type="dxa"/>
            </w:tcMar>
            <w:vAlign w:val="bottom"/>
          </w:tcPr>
          <w:p w14:paraId="5738234B">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3D3527E8">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437A5DE6">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0D88B437">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09BD3A3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32C3421">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1804059F">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40F6279">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5688BF13">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28874006">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74BF5FA7">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515E862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90DDDD">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EFE0E">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9A76">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FB3D">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06E">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311C">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B624">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5C93">
            <w:pPr>
              <w:jc w:val="center"/>
              <w:textAlignment w:val="center"/>
              <w:rPr>
                <w:rFonts w:hint="default" w:cs="宋体"/>
                <w:b/>
                <w:color w:val="000000"/>
                <w:sz w:val="20"/>
                <w:szCs w:val="20"/>
              </w:rPr>
            </w:pPr>
            <w:r>
              <w:rPr>
                <w:rFonts w:cs="宋体"/>
                <w:b/>
                <w:color w:val="000000"/>
                <w:sz w:val="20"/>
                <w:szCs w:val="20"/>
              </w:rPr>
              <w:t>对附属单位补助支出</w:t>
            </w:r>
          </w:p>
        </w:tc>
      </w:tr>
      <w:tr w14:paraId="7E2BE9BB">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5F3B">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F3CF93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522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4EFA">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263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52A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FA18">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D8A0">
            <w:pPr>
              <w:jc w:val="center"/>
              <w:rPr>
                <w:rFonts w:hint="default" w:cs="宋体"/>
                <w:b/>
                <w:color w:val="000000"/>
                <w:sz w:val="20"/>
                <w:szCs w:val="20"/>
              </w:rPr>
            </w:pPr>
          </w:p>
        </w:tc>
      </w:tr>
      <w:tr w14:paraId="55582DA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5781">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24C27D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08E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274E">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AC7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96E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EF98">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F2B9">
            <w:pPr>
              <w:jc w:val="center"/>
              <w:rPr>
                <w:rFonts w:hint="default" w:cs="宋体"/>
                <w:b/>
                <w:color w:val="000000"/>
                <w:sz w:val="20"/>
                <w:szCs w:val="20"/>
              </w:rPr>
            </w:pPr>
          </w:p>
        </w:tc>
      </w:tr>
      <w:tr w14:paraId="1B7CC14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D75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895BA76">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6B3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13D3">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CB2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DFB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D0D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8D0D">
            <w:pPr>
              <w:jc w:val="center"/>
              <w:rPr>
                <w:rFonts w:hint="default" w:cs="宋体"/>
                <w:b/>
                <w:color w:val="000000"/>
                <w:sz w:val="20"/>
                <w:szCs w:val="20"/>
              </w:rPr>
            </w:pPr>
          </w:p>
        </w:tc>
      </w:tr>
      <w:tr w14:paraId="7CBEA39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48F5">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C27BA3">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0A9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630B">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D2E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A00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23F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C1AA">
            <w:pPr>
              <w:jc w:val="center"/>
              <w:rPr>
                <w:rFonts w:hint="default" w:cs="宋体"/>
                <w:b/>
                <w:color w:val="000000"/>
                <w:sz w:val="20"/>
                <w:szCs w:val="20"/>
              </w:rPr>
            </w:pPr>
          </w:p>
        </w:tc>
      </w:tr>
      <w:tr w14:paraId="5C35FADF">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B9C8">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E2C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783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8E5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B63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34F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8A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0AE891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5B09">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4ECDC">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C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A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7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2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A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4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9F954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39CB">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3A159">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A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D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9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B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A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7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3B8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DCF5">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63ECB">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E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4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B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D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9C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B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319C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7D4F">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65318">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1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4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D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C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8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B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3C6E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3116">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A22AD">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E5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A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F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D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C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1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DD62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7DEB">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0F2C7">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A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9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7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6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5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6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B4B0F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922">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B5119">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3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2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0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4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6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4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C653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9EB4">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D1203">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A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0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B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6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F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4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DFD3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9C9F">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112A3">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3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9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2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1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8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E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ECBA0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953E">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21B10">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B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A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E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A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B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FE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4C37E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412E">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EC4BE">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98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E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5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9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2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7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252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0D64">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E790C">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3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5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0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8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A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0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F0170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662A">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BEF2C">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E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9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9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E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E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A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91E6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4D1E">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B4922">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F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67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2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9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7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C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76126B">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881CE5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747F2097">
            <w:pPr>
              <w:spacing w:line="400" w:lineRule="exact"/>
              <w:jc w:val="center"/>
              <w:textAlignment w:val="bottom"/>
              <w:rPr>
                <w:rFonts w:hint="default" w:cs="宋体"/>
                <w:b/>
                <w:color w:val="000000"/>
                <w:sz w:val="32"/>
                <w:szCs w:val="32"/>
              </w:rPr>
            </w:pPr>
            <w:r>
              <w:rPr>
                <w:rFonts w:cs="宋体"/>
                <w:sz w:val="21"/>
                <w:szCs w:val="21"/>
              </w:rPr>
              <w:br w:type="page"/>
            </w:r>
            <w:r>
              <w:rPr>
                <w:rFonts w:cs="宋体"/>
                <w:b/>
                <w:color w:val="000000"/>
                <w:sz w:val="32"/>
                <w:szCs w:val="32"/>
              </w:rPr>
              <w:t>财政拨款收入支出决算总表</w:t>
            </w:r>
          </w:p>
        </w:tc>
      </w:tr>
      <w:tr w14:paraId="087A642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670E2AF">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94" w:type="dxa"/>
            <w:tcBorders>
              <w:top w:val="nil"/>
              <w:left w:val="nil"/>
              <w:bottom w:val="nil"/>
              <w:right w:val="nil"/>
            </w:tcBorders>
            <w:shd w:val="clear" w:color="auto" w:fill="auto"/>
            <w:tcMar>
              <w:top w:w="15" w:type="dxa"/>
              <w:left w:w="15" w:type="dxa"/>
              <w:right w:w="15" w:type="dxa"/>
            </w:tcMar>
            <w:vAlign w:val="bottom"/>
          </w:tcPr>
          <w:p w14:paraId="61EFDB1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5CDBDD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12C949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9D99E90">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BF243B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690028C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9DAA2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58D512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CFC4088">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BC869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5E030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3AD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292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B64C42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E1C4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758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429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83BB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EA98F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8597">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08E4">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A30F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2FC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92C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05F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CEA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94DBD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301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E0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16D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15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A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4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2620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220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4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DFD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4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B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F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5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B33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218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D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1A1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3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0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3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F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927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A7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BA967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B02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A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6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2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4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B4CE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A7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C5FA4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00C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7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4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C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E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CBAA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BB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BDF97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6A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1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E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7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E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9441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64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E6218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139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5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C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1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E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FF20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14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6400C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DD2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D1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01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6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0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ACC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12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FEA84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8CA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60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FD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0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D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30BC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D3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90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F12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D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4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C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8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C2C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EA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9D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4D5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B6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D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C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F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561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AD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56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067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A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E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2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3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ED46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E3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DB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96F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0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E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5A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D7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4ED0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77B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D0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4D0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8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A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1E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3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36FB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B7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F4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8D7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C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7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C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6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CA6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2E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920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3C0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5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1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3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5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AAF0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0F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E5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D8A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9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6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C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0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56AB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A4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1F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E97A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E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B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A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C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5CAB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3AE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5E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74C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27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90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7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5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A0C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D8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DF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5DE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B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3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16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B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503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7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65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B3B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9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D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E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B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2A8D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CB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C9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3AB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7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9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4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8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BAB0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05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36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22E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B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D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5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2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B3E8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A07B3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13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5F2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5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E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E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2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9A25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127C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90A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DB2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6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8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C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A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92C8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B869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89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ADF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5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8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5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2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C637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999D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53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5CC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C8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59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4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87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82F5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233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E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44C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B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2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2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C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905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8BA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4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E7B85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FEEA4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19E13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67E329">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3B91F8">
            <w:pPr>
              <w:spacing w:line="200" w:lineRule="exact"/>
              <w:rPr>
                <w:rFonts w:hint="default" w:ascii="Times New Roman" w:hAnsi="Times New Roman"/>
                <w:color w:val="000000"/>
                <w:sz w:val="18"/>
                <w:szCs w:val="18"/>
              </w:rPr>
            </w:pPr>
          </w:p>
        </w:tc>
      </w:tr>
      <w:tr w14:paraId="242516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A8C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4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0AB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281B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A02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0C2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7446">
            <w:pPr>
              <w:spacing w:line="200" w:lineRule="exact"/>
              <w:jc w:val="right"/>
              <w:rPr>
                <w:rFonts w:hint="default" w:ascii="Times New Roman" w:hAnsi="Times New Roman"/>
                <w:color w:val="000000"/>
                <w:sz w:val="18"/>
                <w:szCs w:val="18"/>
              </w:rPr>
            </w:pPr>
          </w:p>
        </w:tc>
      </w:tr>
      <w:tr w14:paraId="01356E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31C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E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F22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91E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AB8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5F0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DC66">
            <w:pPr>
              <w:spacing w:line="200" w:lineRule="exact"/>
              <w:jc w:val="right"/>
              <w:rPr>
                <w:rFonts w:hint="default" w:ascii="Times New Roman" w:hAnsi="Times New Roman"/>
                <w:color w:val="000000"/>
                <w:sz w:val="18"/>
                <w:szCs w:val="18"/>
              </w:rPr>
            </w:pPr>
          </w:p>
        </w:tc>
      </w:tr>
      <w:tr w14:paraId="65B1F3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CC5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22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3877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FA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3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2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3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EEC48EC">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4FC9D6F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7C9987A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3032F81">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3E208DF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300" w:type="dxa"/>
            <w:tcBorders>
              <w:top w:val="nil"/>
              <w:left w:val="nil"/>
              <w:bottom w:val="nil"/>
              <w:right w:val="nil"/>
            </w:tcBorders>
            <w:shd w:val="clear" w:color="auto" w:fill="auto"/>
            <w:tcMar>
              <w:top w:w="15" w:type="dxa"/>
              <w:left w:w="15" w:type="dxa"/>
              <w:right w:w="15" w:type="dxa"/>
            </w:tcMar>
            <w:vAlign w:val="bottom"/>
          </w:tcPr>
          <w:p w14:paraId="45A5916B">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3D05D3B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7696D46">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566C3026">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22ED55AE">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75A5381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E15D01">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55FD">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D369D">
            <w:pPr>
              <w:jc w:val="center"/>
              <w:textAlignment w:val="center"/>
              <w:rPr>
                <w:rFonts w:hint="default" w:cs="宋体"/>
                <w:b/>
                <w:color w:val="000000"/>
                <w:sz w:val="20"/>
                <w:szCs w:val="20"/>
              </w:rPr>
            </w:pPr>
            <w:r>
              <w:rPr>
                <w:rFonts w:cs="宋体"/>
                <w:b/>
                <w:color w:val="000000"/>
                <w:sz w:val="20"/>
                <w:szCs w:val="20"/>
              </w:rPr>
              <w:t>本年支出</w:t>
            </w:r>
          </w:p>
        </w:tc>
      </w:tr>
      <w:tr w14:paraId="5BF4229A">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1C70">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E5F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32FF">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62FC4">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D8C9A">
            <w:pPr>
              <w:jc w:val="center"/>
              <w:textAlignment w:val="center"/>
              <w:rPr>
                <w:rFonts w:hint="default" w:cs="宋体"/>
                <w:b/>
                <w:color w:val="000000"/>
                <w:sz w:val="20"/>
                <w:szCs w:val="20"/>
              </w:rPr>
            </w:pPr>
            <w:r>
              <w:rPr>
                <w:rFonts w:cs="宋体"/>
                <w:b/>
                <w:color w:val="000000"/>
                <w:sz w:val="20"/>
                <w:szCs w:val="20"/>
              </w:rPr>
              <w:t>项目支出</w:t>
            </w:r>
          </w:p>
        </w:tc>
      </w:tr>
      <w:tr w14:paraId="5292D087">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20A2">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6E3B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DB0CF">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82E9">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B418">
            <w:pPr>
              <w:jc w:val="center"/>
              <w:rPr>
                <w:rFonts w:hint="default" w:cs="宋体"/>
                <w:b/>
                <w:color w:val="000000"/>
                <w:sz w:val="20"/>
                <w:szCs w:val="20"/>
              </w:rPr>
            </w:pPr>
          </w:p>
        </w:tc>
      </w:tr>
      <w:tr w14:paraId="7AB3500E">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9150">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4580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11342">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F6D58">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A57F6">
            <w:pPr>
              <w:jc w:val="center"/>
              <w:rPr>
                <w:rFonts w:hint="default" w:cs="宋体"/>
                <w:b/>
                <w:color w:val="000000"/>
                <w:sz w:val="20"/>
                <w:szCs w:val="20"/>
              </w:rPr>
            </w:pPr>
          </w:p>
        </w:tc>
      </w:tr>
      <w:tr w14:paraId="6BA16B1F">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8170">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F61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D68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D3A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B7FD77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9469">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8DCF2">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8AD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E8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BB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9EB1D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0064">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EEBE8">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216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B39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642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6824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B9D5">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E39C3">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36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039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814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A5E0C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981A">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5611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72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5F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65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1CD22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51B6">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7E129">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31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B5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03D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70576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3428">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489A">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F1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A5C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8C9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4771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34E4A">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35B2F">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54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12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FE1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D17D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881D">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780F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11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3F2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11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67C38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42BE">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50EDE">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E27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18C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FA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037C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7A09">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0CAF2">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71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3B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8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566B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B27C">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0CFE3">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38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05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0D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9621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BF1F">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EE613">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5BF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9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E81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A47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1E63">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AD19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CAC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C75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E4D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4640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C6BC">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F548A">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025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C1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56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DBCF8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BF289E">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9CB24B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63E75FB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AFCB3F">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0FA47E87">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50" w:type="dxa"/>
            <w:tcBorders>
              <w:top w:val="nil"/>
              <w:left w:val="nil"/>
              <w:bottom w:val="nil"/>
              <w:right w:val="nil"/>
            </w:tcBorders>
            <w:shd w:val="clear" w:color="auto" w:fill="auto"/>
            <w:tcMar>
              <w:top w:w="15" w:type="dxa"/>
              <w:left w:w="15" w:type="dxa"/>
              <w:right w:w="15" w:type="dxa"/>
            </w:tcMar>
            <w:vAlign w:val="bottom"/>
          </w:tcPr>
          <w:p w14:paraId="6F55116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0038CEFA">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433AF124">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6273F8B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59F20A9">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7C6F5C34">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359F915C">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4356AC1E">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5D1E30C5">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C1314F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036A83">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40D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0969D7">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186D0AE">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6DD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380B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8ED8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A46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6A1E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66BA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CAB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18C5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0EEC4">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A0ADAB9">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25C3">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F6AE2">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7F937">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7E5D">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46ED">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58E5E">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C805">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7F697">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B4352">
            <w:pPr>
              <w:spacing w:line="200" w:lineRule="exact"/>
              <w:jc w:val="center"/>
              <w:rPr>
                <w:rFonts w:hint="default" w:cs="宋体"/>
                <w:b/>
                <w:color w:val="000000"/>
                <w:sz w:val="18"/>
                <w:szCs w:val="18"/>
              </w:rPr>
            </w:pPr>
          </w:p>
        </w:tc>
      </w:tr>
      <w:tr w14:paraId="5CA52C4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E1D6">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A95C">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95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B7A6">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6F5E">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15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A19A">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0DC0">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6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FCA1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5871">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2ED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33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741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4DA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D4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218B">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E74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6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8FB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E858">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C69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A9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2DAB">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8922">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E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4301">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F15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6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0F8B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FF28">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4A3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70F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5A70">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D402">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8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D21D">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447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1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791B8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DDFE">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220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D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97F3">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3482F">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B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46CC">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5D4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3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9C1E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B106">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1B1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1F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2171">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36EC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F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C69C">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2AD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9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F3570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4965">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60AB">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9D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1359">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FCD7">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F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09E1">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8A4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9BE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ABD7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A564">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0B9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C9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693D">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230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03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7F96">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B2E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2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A3A05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8621">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BE5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4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6DC7">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EA2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9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B13D">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5B89">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7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52D1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7163">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FFC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1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C06D">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ECE3">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E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7F7B">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9ADC">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B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F965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4C69">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3D9E">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9D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0E79">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CF3F">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A0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E439">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336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ED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5222E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6B58">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DAF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B2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F1E6">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1A452">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292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9030">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C81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E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BEA6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4D7D">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DEC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75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FE1B8">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BBF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8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6D69">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1C702">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C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B636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7795">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E939">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F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4665">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F56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B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B8C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F28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9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3921A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798F">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0E3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4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C28D">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C285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7C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B44DB">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EA2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2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1BB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2F28">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9489">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8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BF784">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7333">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BC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272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0E5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3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BBBD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F9DC">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3306">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7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34F5">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6F34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0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6127">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059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2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C5A03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AE02">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7D3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1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86C3">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129D">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1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DC4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493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2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4E60B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5D05">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CDD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3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7D0B">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F055">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6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1701">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E7D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6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6D3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4E4C">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163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1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431D">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35BA">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C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8121">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029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F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1A843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3E3C">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A18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C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67B4">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AF88">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62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0CA2">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638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E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B033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AD98">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695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57EE">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98B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ED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6BD9">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B20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9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EB25F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F06D">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AC6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E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E8DD">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DCC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F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055A">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D4DD">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A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59767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1246">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7BE7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B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0797">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381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1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E296">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11B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6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7D8D6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1749">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84C1">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C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C8D3">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186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7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C9EB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2214">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1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D2651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B63C">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C7B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9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6BFA">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4EA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B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1ED9">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D91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A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7310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3EB6">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982F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3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77AC">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4BA0">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5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9350C">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DF15">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1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34FDD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EB8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03E7">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040AC3">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3DF0">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2301">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8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C8DF">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DB2A">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AC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2ADA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287E">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6CD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CFAAD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DBCF">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F15B">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E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2958">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001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E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8CA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A8D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B3E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E2031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074C">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964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83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A486">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A1B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3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4C28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198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AD6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61BA58">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D91C">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2A96">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1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FB2B">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DC71">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08F6">
            <w:pPr>
              <w:spacing w:line="200" w:lineRule="exact"/>
              <w:jc w:val="right"/>
              <w:rPr>
                <w:rFonts w:hint="default" w:ascii="Times New Roman" w:hAnsi="Times New Roman"/>
                <w:color w:val="000000"/>
                <w:sz w:val="18"/>
                <w:szCs w:val="18"/>
              </w:rPr>
            </w:pPr>
          </w:p>
        </w:tc>
      </w:tr>
      <w:tr w14:paraId="023B4FA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E8E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9202">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03C6B6">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71BF">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23C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1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E18A">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A277">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143E">
            <w:pPr>
              <w:spacing w:line="200" w:lineRule="exact"/>
              <w:jc w:val="right"/>
              <w:rPr>
                <w:rFonts w:hint="default" w:ascii="Times New Roman" w:hAnsi="Times New Roman"/>
                <w:color w:val="000000"/>
                <w:sz w:val="18"/>
                <w:szCs w:val="18"/>
              </w:rPr>
            </w:pPr>
          </w:p>
        </w:tc>
      </w:tr>
      <w:tr w14:paraId="46640FA8">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D39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CD2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5DA72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1B4F">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731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E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59CC">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7712">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4038">
            <w:pPr>
              <w:spacing w:line="200" w:lineRule="exact"/>
              <w:jc w:val="right"/>
              <w:rPr>
                <w:rFonts w:hint="default" w:ascii="Times New Roman" w:hAnsi="Times New Roman"/>
                <w:color w:val="000000"/>
                <w:sz w:val="18"/>
                <w:szCs w:val="18"/>
              </w:rPr>
            </w:pPr>
          </w:p>
        </w:tc>
      </w:tr>
      <w:tr w14:paraId="7D7388DB">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1FA6">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530572">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94BE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AF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r>
    </w:tbl>
    <w:p w14:paraId="495DED6A">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AFAEDD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F3F6D0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3BD3A9D">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11A0920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701" w:type="dxa"/>
            <w:tcBorders>
              <w:top w:val="nil"/>
              <w:left w:val="nil"/>
              <w:bottom w:val="nil"/>
              <w:right w:val="nil"/>
            </w:tcBorders>
            <w:shd w:val="clear" w:color="auto" w:fill="auto"/>
            <w:tcMar>
              <w:top w:w="15" w:type="dxa"/>
              <w:left w:w="15" w:type="dxa"/>
              <w:right w:w="15" w:type="dxa"/>
            </w:tcMar>
            <w:vAlign w:val="bottom"/>
          </w:tcPr>
          <w:p w14:paraId="21707E3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0028A7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CEB1F45">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506DE12">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14E9CC8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961A84D">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664FF410">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133F43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3D1EEB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F77AA8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1DD25F9">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7F0ED9F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CFB97A">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5BE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9F1C8D">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8FF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F8ECC3">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104B">
            <w:pPr>
              <w:jc w:val="center"/>
              <w:textAlignment w:val="center"/>
              <w:rPr>
                <w:rFonts w:hint="default" w:cs="宋体"/>
                <w:b/>
                <w:color w:val="000000"/>
                <w:sz w:val="20"/>
                <w:szCs w:val="20"/>
              </w:rPr>
            </w:pPr>
            <w:r>
              <w:rPr>
                <w:rFonts w:cs="宋体"/>
                <w:b/>
                <w:color w:val="000000"/>
                <w:sz w:val="20"/>
                <w:szCs w:val="20"/>
              </w:rPr>
              <w:t>年末结转和结余</w:t>
            </w:r>
          </w:p>
        </w:tc>
      </w:tr>
      <w:tr w14:paraId="2BF503F6">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41B6">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A3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D8138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E58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7D09">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C8454">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0BE52">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A734">
            <w:pPr>
              <w:jc w:val="center"/>
              <w:rPr>
                <w:rFonts w:hint="default" w:cs="宋体"/>
                <w:b/>
                <w:color w:val="000000"/>
                <w:sz w:val="20"/>
                <w:szCs w:val="20"/>
              </w:rPr>
            </w:pPr>
          </w:p>
        </w:tc>
      </w:tr>
      <w:tr w14:paraId="3629BAB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763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77E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8C897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9D3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F1A1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9C480">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FF782">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4C14">
            <w:pPr>
              <w:jc w:val="center"/>
              <w:rPr>
                <w:rFonts w:hint="default" w:cs="宋体"/>
                <w:b/>
                <w:color w:val="000000"/>
                <w:sz w:val="20"/>
                <w:szCs w:val="20"/>
              </w:rPr>
            </w:pPr>
          </w:p>
        </w:tc>
      </w:tr>
      <w:tr w14:paraId="1FA0464F">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978D">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FAA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8C2C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0AE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C3FE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D0CE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3E74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431E">
            <w:pPr>
              <w:jc w:val="center"/>
              <w:rPr>
                <w:rFonts w:hint="default" w:cs="宋体"/>
                <w:b/>
                <w:color w:val="000000"/>
                <w:sz w:val="20"/>
                <w:szCs w:val="20"/>
              </w:rPr>
            </w:pPr>
          </w:p>
        </w:tc>
      </w:tr>
      <w:tr w14:paraId="2246D182">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F39C">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650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22A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83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B35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A9F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6F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255692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3596">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8654D">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E1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09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8B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3A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1E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A4A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798DF40">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600630CE">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5958C35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1C34FBE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27FBF5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7808BC9B">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100B0F4">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C47D7F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712EDA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C4731DA">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01B662C">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152BEE4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479401">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65CC71">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60C2B4">
            <w:pPr>
              <w:jc w:val="center"/>
              <w:textAlignment w:val="bottom"/>
              <w:rPr>
                <w:rFonts w:hint="default" w:cs="宋体"/>
                <w:b/>
                <w:color w:val="000000"/>
                <w:sz w:val="20"/>
                <w:szCs w:val="20"/>
              </w:rPr>
            </w:pPr>
            <w:r>
              <w:rPr>
                <w:rFonts w:cs="宋体"/>
                <w:b/>
                <w:color w:val="000000"/>
                <w:sz w:val="20"/>
                <w:szCs w:val="20"/>
              </w:rPr>
              <w:t>本年支出</w:t>
            </w:r>
          </w:p>
        </w:tc>
      </w:tr>
      <w:tr w14:paraId="58E04228">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7971">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CA97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0317">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A4BF3">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55E8A">
            <w:pPr>
              <w:jc w:val="center"/>
              <w:textAlignment w:val="center"/>
              <w:rPr>
                <w:rFonts w:hint="default" w:cs="宋体"/>
                <w:b/>
                <w:color w:val="000000"/>
                <w:sz w:val="20"/>
                <w:szCs w:val="20"/>
              </w:rPr>
            </w:pPr>
            <w:r>
              <w:rPr>
                <w:rFonts w:cs="宋体"/>
                <w:b/>
                <w:color w:val="000000"/>
                <w:sz w:val="20"/>
                <w:szCs w:val="20"/>
              </w:rPr>
              <w:t>项目支出</w:t>
            </w:r>
          </w:p>
        </w:tc>
      </w:tr>
      <w:tr w14:paraId="2E2E2FBD">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C41E">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7A1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EC0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21B5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930A7">
            <w:pPr>
              <w:jc w:val="center"/>
              <w:rPr>
                <w:rFonts w:hint="default" w:cs="宋体"/>
                <w:b/>
                <w:color w:val="000000"/>
                <w:sz w:val="20"/>
                <w:szCs w:val="20"/>
              </w:rPr>
            </w:pPr>
          </w:p>
        </w:tc>
      </w:tr>
      <w:tr w14:paraId="5A79024D">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CEF4">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A2B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0E7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700E0">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28367">
            <w:pPr>
              <w:jc w:val="center"/>
              <w:rPr>
                <w:rFonts w:hint="default" w:cs="宋体"/>
                <w:b/>
                <w:color w:val="000000"/>
                <w:sz w:val="20"/>
                <w:szCs w:val="20"/>
              </w:rPr>
            </w:pPr>
          </w:p>
        </w:tc>
      </w:tr>
      <w:tr w14:paraId="0F901031">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E506">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4D50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A6F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F8094">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ED0A1">
            <w:pPr>
              <w:jc w:val="center"/>
              <w:rPr>
                <w:rFonts w:hint="default" w:cs="宋体"/>
                <w:b/>
                <w:color w:val="000000"/>
                <w:sz w:val="20"/>
                <w:szCs w:val="20"/>
              </w:rPr>
            </w:pPr>
          </w:p>
        </w:tc>
      </w:tr>
      <w:tr w14:paraId="12DF0530">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B74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AEA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8631C">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54E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75713C">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A5AF">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C1365">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DA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F8FAE">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9ED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883FAFB">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D654BD5">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E3A42AE">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1BB4640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2C4E1DB">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1B56AF15">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09FB26E3">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7E3F1227">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002BDC69">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2ECC858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9F99E6E">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1C08C9B7">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秀山土家族苗族自治县政府效能管理中心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A991C9A">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684999A0">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3155C25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498815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ABA8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8A83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8705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9DE4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4761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47D0F7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FE13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783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5F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E7AE">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DD694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CC77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73F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50FF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712B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5C7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04CE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466E4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F7C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ADA1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E3E2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DBF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9C41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792DF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C6B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0502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5F59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586B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42A6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57F32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FE0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958B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4D49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9B5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D65B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77EB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B54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E5EB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DB76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22E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F86F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E9FD4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399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0685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7FFC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616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9BE4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BAA09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7EE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FB7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F5C6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3F6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F3F1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BAD5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351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557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704B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47D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C86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C15E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7FC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E5E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E565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0B5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F05D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A69F3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7D3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7F2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07B6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AB9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7D2A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75056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8E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C54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B657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447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C4F0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477C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135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986B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1F6B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667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43D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6BAA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A48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5E2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D8A6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42B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B4A25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1F20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C80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2DA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EA9F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980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83F7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F729C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E92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8C7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4F0D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5A8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A399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1642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0D8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1BA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CCD8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DA8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91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0A8E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13D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7B6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CB9F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5B6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0207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28F4C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1CD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94E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4DE9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3EA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B202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C8BE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EE8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10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0A1C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B1C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4728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2CB7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052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514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DF8F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E92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9AFE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8D9D8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753A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2E3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FE1C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4D7D1">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4D84EC">
            <w:pPr>
              <w:spacing w:line="280" w:lineRule="exact"/>
              <w:jc w:val="right"/>
              <w:rPr>
                <w:rFonts w:hint="default" w:cs="宋体"/>
                <w:color w:val="000000"/>
                <w:kern w:val="2"/>
                <w:sz w:val="16"/>
                <w:szCs w:val="16"/>
              </w:rPr>
            </w:pPr>
          </w:p>
        </w:tc>
      </w:tr>
      <w:tr w14:paraId="1F1A77F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FF1D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4E2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44604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9DD0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381280">
            <w:pPr>
              <w:spacing w:line="280" w:lineRule="exact"/>
              <w:jc w:val="right"/>
              <w:rPr>
                <w:rFonts w:hint="default" w:cs="宋体"/>
                <w:color w:val="000000"/>
                <w:kern w:val="2"/>
                <w:sz w:val="16"/>
                <w:szCs w:val="16"/>
              </w:rPr>
            </w:pPr>
          </w:p>
        </w:tc>
      </w:tr>
      <w:tr w14:paraId="3729F54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60F2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8625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71CA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2AA24">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4615A7">
            <w:pPr>
              <w:spacing w:line="280" w:lineRule="exact"/>
              <w:jc w:val="right"/>
              <w:rPr>
                <w:rFonts w:hint="default" w:cs="宋体"/>
                <w:color w:val="000000"/>
                <w:sz w:val="16"/>
                <w:szCs w:val="16"/>
              </w:rPr>
            </w:pPr>
          </w:p>
        </w:tc>
      </w:tr>
    </w:tbl>
    <w:p w14:paraId="4C8AD7FA">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F308F">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491ED8">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491ED8">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7D26">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03148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203148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D6F4F3A">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D6F4F3A">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119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A78CD"/>
    <w:rsid w:val="000C01CC"/>
    <w:rsid w:val="000D7702"/>
    <w:rsid w:val="000F6721"/>
    <w:rsid w:val="001632EC"/>
    <w:rsid w:val="00261065"/>
    <w:rsid w:val="002D0E5A"/>
    <w:rsid w:val="002D71F4"/>
    <w:rsid w:val="002E5443"/>
    <w:rsid w:val="0032196C"/>
    <w:rsid w:val="004852DA"/>
    <w:rsid w:val="004C12FF"/>
    <w:rsid w:val="004D0390"/>
    <w:rsid w:val="00536BA1"/>
    <w:rsid w:val="00550ABE"/>
    <w:rsid w:val="005B023C"/>
    <w:rsid w:val="005D7B44"/>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D05B7D"/>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AC7CD2"/>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B245E5"/>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6B43FC"/>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ED3192"/>
    <w:rsid w:val="5842572D"/>
    <w:rsid w:val="58E130E8"/>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next w:val="4"/>
    <w:unhideWhenUsed/>
    <w:qFormat/>
    <w:uiPriority w:val="0"/>
    <w:pPr>
      <w:spacing w:before="100" w:beforeAutospacing="1" w:after="100" w:afterAutospacing="1"/>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5"/>
    <w:qFormat/>
    <w:uiPriority w:val="0"/>
    <w:rPr>
      <w:rFonts w:ascii="宋体" w:hAnsi="宋体"/>
      <w:sz w:val="18"/>
      <w:szCs w:val="18"/>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6911</Words>
  <Characters>8647</Characters>
  <Lines>93</Lines>
  <Paragraphs>26</Paragraphs>
  <TotalTime>17</TotalTime>
  <ScaleCrop>false</ScaleCrop>
  <LinksUpToDate>false</LinksUpToDate>
  <CharactersWithSpaces>9231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~~稔语草熙</cp:lastModifiedBy>
  <dcterms:modified xsi:type="dcterms:W3CDTF">2025-10-23T02:03:18Z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eyJoZGlkIjoiZTNiMmJjMGUyMDNhMGI0MjllZTc4OTE3ODRjOTBjMWQiLCJ1c2VySWQiOiIyOTYxNzA4NjQifQ==</vt:lpwstr>
  </property>
</Properties>
</file>