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秀山土家族苗族自治县人民政府值班中心</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4"/>
      </w:pPr>
      <w:bookmarkStart w:id="0" w:name="_GoBack"/>
      <w:bookmarkEnd w:id="0"/>
    </w:p>
    <w:p>
      <w:pPr>
        <w:pStyle w:val="4"/>
        <w:rPr>
          <w:rFonts w:hint="default"/>
        </w:rPr>
      </w:pP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一、单位基本情况</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楷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（一）职能职责</w:t>
      </w:r>
    </w:p>
    <w:p>
      <w:pPr>
        <w:pStyle w:val="6"/>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1.负责县政府政务值班，指导全县政务值班标准化工作，统筹“12345一号通”全县政务服务热线优化整合和运维管理，联系社会服务联合行动和非紧急求助警情分流工作。</w:t>
      </w:r>
    </w:p>
    <w:p>
      <w:pPr>
        <w:pStyle w:val="6"/>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2.负责县政府领导同志处置各类重特大突发事件的信息收集与反馈、督促检查、服务保障等工作。</w:t>
      </w:r>
    </w:p>
    <w:p>
      <w:pPr>
        <w:pStyle w:val="6"/>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3.负责政府值班系统视频调度及管理。</w:t>
      </w:r>
    </w:p>
    <w:p>
      <w:pPr>
        <w:pStyle w:val="6"/>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4.负责市长公开信箱、县长公开信箱、公开电话三级联办工作，负责值班信息的处理与传输，负责传达各级领导的指令。</w:t>
      </w:r>
    </w:p>
    <w:p>
      <w:pPr>
        <w:pStyle w:val="6"/>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5.办理县政府和县政府领导同志交办的其他事项。</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楷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秀山土家族苗族自治县人民政府值班中心为秀山土家族苗族自治县人民政府办公室下属事业单位。</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二、单位决算情况说明</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楷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收、支与2023年度相比，减少13.58万元，下降15.0%</w:t>
      </w:r>
      <w:r>
        <w:rPr>
          <w:rFonts w:ascii="方正仿宋_GBK" w:hAnsi="方正仿宋_GBK" w:eastAsia="方正仿宋_GBK" w:cs="方正仿宋_GBK"/>
          <w:sz w:val="32"/>
          <w:szCs w:val="32"/>
          <w:shd w:val="clear" w:color="auto" w:fill="FFFFFF"/>
        </w:rPr>
        <w:t>，主要原因是人员变动。</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与2023年度相比，减少13.58万元，下降15.0%</w:t>
      </w:r>
      <w:r>
        <w:rPr>
          <w:rFonts w:ascii="方正仿宋_GBK" w:hAnsi="方正仿宋_GBK" w:eastAsia="方正仿宋_GBK" w:cs="方正仿宋_GBK"/>
          <w:sz w:val="32"/>
          <w:szCs w:val="32"/>
          <w:shd w:val="clear" w:color="auto" w:fill="FFFFFF"/>
        </w:rPr>
        <w:t>，主要原因是人员变动。其中：财政拨款收入</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与2023年度相比，减少13.58万元，下降15.0%</w:t>
      </w:r>
      <w:r>
        <w:rPr>
          <w:rFonts w:ascii="方正仿宋_GBK" w:hAnsi="方正仿宋_GBK" w:eastAsia="方正仿宋_GBK" w:cs="方正仿宋_GBK"/>
          <w:sz w:val="32"/>
          <w:szCs w:val="32"/>
          <w:shd w:val="clear" w:color="auto" w:fill="FFFFFF"/>
        </w:rPr>
        <w:t>，主要原因是人员变动。其中：基本支出</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5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4</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本中心无结转</w:t>
      </w:r>
      <w:r>
        <w:rPr>
          <w:rFonts w:ascii="Times New Roman" w:hAnsi="Times New Roman" w:eastAsia="方正仿宋_GBK"/>
          <w:sz w:val="32"/>
          <w:szCs w:val="32"/>
          <w:shd w:val="clear" w:color="auto" w:fill="FFFFFF"/>
        </w:rPr>
        <w:t>和</w:t>
      </w:r>
      <w:r>
        <w:rPr>
          <w:rFonts w:hint="default" w:ascii="Times New Roman" w:hAnsi="Times New Roman" w:eastAsia="方正仿宋_GBK"/>
          <w:sz w:val="32"/>
          <w:szCs w:val="32"/>
          <w:shd w:val="clear" w:color="auto" w:fill="FFFFFF"/>
        </w:rPr>
        <w:t>结余资金。</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（二）财政拨款收入支出决算总体情况说明</w:t>
      </w:r>
    </w:p>
    <w:p>
      <w:pPr>
        <w:pStyle w:val="6"/>
        <w:snapToGrid w:val="0"/>
        <w:spacing w:before="0" w:beforeAutospacing="0" w:after="0" w:afterAutospacing="0" w:line="55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财政拨款收、支总计各减少13.58万元，下降15.0%</w:t>
      </w:r>
      <w:r>
        <w:rPr>
          <w:rFonts w:ascii="方正仿宋_GBK" w:hAnsi="方正仿宋_GBK" w:eastAsia="方正仿宋_GBK" w:cs="方正仿宋_GBK"/>
          <w:sz w:val="32"/>
          <w:szCs w:val="32"/>
          <w:shd w:val="clear" w:color="auto" w:fill="FFFFFF"/>
        </w:rPr>
        <w:t>。主要原因是人员变动。</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与2023年度相比，减少13.58万元，下降15.0%</w:t>
      </w:r>
      <w:r>
        <w:rPr>
          <w:rFonts w:ascii="方正仿宋_GBK" w:hAnsi="方正仿宋_GBK" w:eastAsia="方正仿宋_GBK" w:cs="方正仿宋_GBK"/>
          <w:sz w:val="32"/>
          <w:szCs w:val="32"/>
          <w:shd w:val="clear" w:color="auto" w:fill="FFFFFF"/>
        </w:rPr>
        <w:t>。主要原因是人员变动。</w:t>
      </w:r>
      <w:r>
        <w:rPr>
          <w:rFonts w:hint="default" w:ascii="Times New Roman" w:hAnsi="Times New Roman" w:eastAsia="方正仿宋_GBK"/>
          <w:sz w:val="32"/>
          <w:szCs w:val="32"/>
          <w:shd w:val="clear" w:color="auto" w:fill="FFFFFF"/>
        </w:rPr>
        <w:t>较年初预算数减少30.55万元，下降28.3%</w:t>
      </w:r>
      <w:r>
        <w:rPr>
          <w:rFonts w:ascii="方正仿宋_GBK" w:hAnsi="方正仿宋_GBK" w:eastAsia="方正仿宋_GBK" w:cs="方正仿宋_GBK"/>
          <w:sz w:val="32"/>
          <w:szCs w:val="32"/>
          <w:shd w:val="clear" w:color="auto" w:fill="FFFFFF"/>
        </w:rPr>
        <w:t>。主要原因是人员变动。此外，年初财政拨款结转和结余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与2023年度相比，减少13.58万元，下降15.0%</w:t>
      </w:r>
      <w:r>
        <w:rPr>
          <w:rFonts w:ascii="方正仿宋_GBK" w:hAnsi="方正仿宋_GBK" w:eastAsia="方正仿宋_GBK" w:cs="方正仿宋_GBK"/>
          <w:sz w:val="32"/>
          <w:szCs w:val="32"/>
          <w:shd w:val="clear" w:color="auto" w:fill="FFFFFF"/>
        </w:rPr>
        <w:t>。主要原因是人员变动。</w:t>
      </w:r>
      <w:r>
        <w:rPr>
          <w:rFonts w:hint="default" w:ascii="Times New Roman" w:hAnsi="Times New Roman" w:eastAsia="方正仿宋_GBK"/>
          <w:sz w:val="32"/>
          <w:szCs w:val="32"/>
          <w:shd w:val="clear" w:color="auto" w:fill="FFFFFF"/>
        </w:rPr>
        <w:t>较年初预算数减少30.55万元，下降28.3%</w:t>
      </w:r>
      <w:r>
        <w:rPr>
          <w:rFonts w:ascii="方正仿宋_GBK" w:hAnsi="方正仿宋_GBK" w:eastAsia="方正仿宋_GBK" w:cs="方正仿宋_GBK"/>
          <w:sz w:val="32"/>
          <w:szCs w:val="32"/>
          <w:shd w:val="clear" w:color="auto" w:fill="FFFFFF"/>
        </w:rPr>
        <w:t>。主要原因是人员变动。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一般公共服务支出58.81万元，占76.1%，较年初预算数减少29.87万元，下降33.7%，主要原因是事业运行</w:t>
      </w:r>
      <w:r>
        <w:rPr>
          <w:rFonts w:ascii="Times New Roman" w:hAnsi="Times New Roman" w:eastAsia="方正仿宋_GBK"/>
          <w:sz w:val="32"/>
          <w:szCs w:val="32"/>
          <w:shd w:val="clear" w:color="auto" w:fill="FFFFFF"/>
        </w:rPr>
        <w:t>减少</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9.04万元，占11.7%，较年初预算数减少0.31万元，下降3.3%，</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ascii="Times New Roman" w:hAnsi="Times New Roman" w:eastAsia="方正仿宋_GBK"/>
          <w:sz w:val="32"/>
          <w:szCs w:val="32"/>
          <w:shd w:val="clear" w:color="auto" w:fill="FFFFFF"/>
        </w:rPr>
        <w:t>人员变动。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4.74万元，占6.1%，较年初预算数减少0.36万元，下降7.1%，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收支持平。</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4.68万元，占6.1%，较年初预算数无增减</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收支持平</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本中心无结转</w:t>
      </w:r>
      <w:r>
        <w:rPr>
          <w:rFonts w:ascii="Times New Roman" w:hAnsi="Times New Roman" w:eastAsia="方正仿宋_GBK"/>
          <w:sz w:val="32"/>
          <w:szCs w:val="32"/>
          <w:shd w:val="clear" w:color="auto" w:fill="FFFFFF"/>
        </w:rPr>
        <w:t>和</w:t>
      </w:r>
      <w:r>
        <w:rPr>
          <w:rFonts w:hint="default" w:ascii="Times New Roman" w:hAnsi="Times New Roman" w:eastAsia="方正仿宋_GBK"/>
          <w:sz w:val="32"/>
          <w:szCs w:val="32"/>
          <w:shd w:val="clear" w:color="auto" w:fill="FFFFFF"/>
        </w:rPr>
        <w:t>结余资金。</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72.42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与2023年度相比，减少9.02万元，下降11.1%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 xml:space="preserve">人员变动。 </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基本工资、津贴补贴、奖金、社会保障缴费等。</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与2023年度相比，减少4.56万元，下降48.5%</w:t>
      </w:r>
      <w:r>
        <w:rPr>
          <w:rFonts w:ascii="方正仿宋_GBK" w:hAnsi="方正仿宋_GBK" w:eastAsia="方正仿宋_GBK" w:cs="方正仿宋_GBK"/>
          <w:sz w:val="32"/>
          <w:szCs w:val="32"/>
          <w:shd w:val="clear" w:color="auto" w:fill="FFFFFF"/>
        </w:rPr>
        <w:t>，主要原因是人员变动。公用经费用途主要包括</w:t>
      </w:r>
      <w:r>
        <w:rPr>
          <w:rFonts w:hint="default" w:ascii="Times New Roman" w:hAnsi="Times New Roman" w:eastAsia="方正仿宋_GBK"/>
          <w:sz w:val="32"/>
          <w:szCs w:val="32"/>
          <w:shd w:val="clear" w:color="auto" w:fill="FFFFFF"/>
        </w:rPr>
        <w:t>办公费、印刷费、差旅费、物管费、邮电费、办公设备购置等。</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（五）政府性基金预算收支决算情况说明</w:t>
      </w:r>
    </w:p>
    <w:p>
      <w:pPr>
        <w:pStyle w:val="11"/>
        <w:autoSpaceDE w:val="0"/>
        <w:spacing w:line="596"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年度无政府性基金预算财政拨款收支。</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（六）国有资本经营预算财政拨款支出决算情况说明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三、</w:t>
      </w:r>
      <w:r>
        <w:rPr>
          <w:rStyle w:val="8"/>
          <w:rFonts w:ascii="Times New Roman" w:hAnsi="Times New Roman" w:eastAsia="方正黑体_GBK"/>
          <w:b w:val="0"/>
          <w:bCs/>
          <w:sz w:val="32"/>
          <w:szCs w:val="32"/>
          <w:shd w:val="clear" w:color="auto" w:fill="FFFFFF"/>
        </w:rPr>
        <w:t>财政拨款</w:t>
      </w:r>
      <w:r>
        <w:rPr>
          <w:rStyle w:val="8"/>
          <w:rFonts w:hint="default" w:ascii="Times New Roman" w:hAnsi="Times New Roman" w:eastAsia="方正黑体_GBK"/>
          <w:b w:val="0"/>
          <w:bCs/>
          <w:sz w:val="32"/>
          <w:szCs w:val="32"/>
          <w:shd w:val="clear" w:color="auto" w:fill="FFFFFF"/>
        </w:rPr>
        <w:t>“三公”经费情况说明</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较年初预算数增加0.20万元，增长100.0%</w:t>
      </w:r>
      <w:r>
        <w:rPr>
          <w:rFonts w:ascii="方正仿宋_GBK" w:hAnsi="方正仿宋_GBK" w:eastAsia="方正仿宋_GBK" w:cs="方正仿宋_GBK"/>
          <w:sz w:val="32"/>
          <w:szCs w:val="32"/>
          <w:shd w:val="clear" w:color="auto" w:fill="FFFFFF"/>
        </w:rPr>
        <w:t>，主要原因是本年产生接待费。</w:t>
      </w:r>
      <w:r>
        <w:rPr>
          <w:rFonts w:hint="default" w:ascii="Times New Roman" w:hAnsi="Times New Roman" w:eastAsia="方正仿宋_GBK"/>
          <w:sz w:val="32"/>
          <w:szCs w:val="32"/>
          <w:shd w:val="clear" w:color="auto" w:fill="FFFFFF"/>
        </w:rPr>
        <w:t>较上年支出数增加0.20万元，增长100.0%</w:t>
      </w:r>
      <w:r>
        <w:rPr>
          <w:rFonts w:ascii="方正仿宋_GBK" w:hAnsi="方正仿宋_GBK" w:eastAsia="方正仿宋_GBK" w:cs="方正仿宋_GBK"/>
          <w:sz w:val="32"/>
          <w:szCs w:val="32"/>
          <w:shd w:val="clear" w:color="auto" w:fill="FFFFFF"/>
        </w:rPr>
        <w:t>，主要原因是本年产生接待费。</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（二）“三公”经费分项支出情况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万元，主要是用于未产生因公出国（境）费用。支出较年初预算数无增减，主要原因是未产生因公出国（境）费用。较上年支出数无增减，主要原因是未产生因公出国（境）费用。</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sz w:val="32"/>
          <w:szCs w:val="32"/>
          <w:shd w:val="clear" w:color="auto" w:fill="FFFFFF"/>
        </w:rPr>
        <w:t>招商引资、市级部门来秀调研等。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较年初预算数增加0.20万元，增长100.0%</w:t>
      </w:r>
      <w:r>
        <w:rPr>
          <w:rFonts w:ascii="方正仿宋_GBK" w:hAnsi="方正仿宋_GBK" w:eastAsia="方正仿宋_GBK" w:cs="方正仿宋_GBK"/>
          <w:sz w:val="32"/>
          <w:szCs w:val="32"/>
          <w:shd w:val="clear" w:color="auto" w:fill="FFFFFF"/>
        </w:rPr>
        <w:t>，主要原因是本年产生接待。</w:t>
      </w:r>
      <w:r>
        <w:rPr>
          <w:rFonts w:hint="default" w:ascii="Times New Roman" w:hAnsi="Times New Roman" w:eastAsia="方正仿宋_GBK"/>
          <w:sz w:val="32"/>
          <w:szCs w:val="32"/>
          <w:shd w:val="clear" w:color="auto" w:fill="FFFFFF"/>
        </w:rPr>
        <w:t>较上年支出数增加0.20万元，增长100.0%</w:t>
      </w:r>
      <w:r>
        <w:rPr>
          <w:rFonts w:ascii="方正仿宋_GBK" w:hAnsi="方正仿宋_GBK" w:eastAsia="方正仿宋_GBK" w:cs="方正仿宋_GBK"/>
          <w:sz w:val="32"/>
          <w:szCs w:val="32"/>
          <w:shd w:val="clear" w:color="auto" w:fill="FFFFFF"/>
        </w:rPr>
        <w:t>，主要原因是本年产生接待。</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95.24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四、其他需要说明的事项</w:t>
      </w:r>
    </w:p>
    <w:p>
      <w:pPr>
        <w:pStyle w:val="6"/>
        <w:shd w:val="clear" w:color="auto" w:fill="FFFFFF"/>
        <w:spacing w:before="0" w:beforeAutospacing="0" w:after="0" w:afterAutospacing="0" w:line="596" w:lineRule="exact"/>
        <w:ind w:firstLine="640" w:firstLineChars="200"/>
        <w:jc w:val="both"/>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与2023年度相比，减少0.55万元，下降100.0%</w:t>
      </w:r>
      <w:r>
        <w:rPr>
          <w:rFonts w:ascii="方正仿宋_GBK" w:hAnsi="方正仿宋_GBK" w:eastAsia="方正仿宋_GBK" w:cs="方正仿宋_GBK"/>
          <w:sz w:val="32"/>
          <w:szCs w:val="32"/>
          <w:shd w:val="clear" w:color="auto" w:fill="FFFFFF"/>
        </w:rPr>
        <w:t>，主要原因是会议次数减少。本年度培训费支出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中心无培训支出。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0.79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与2023年度相比，增加0.79万元，增长100.0%</w:t>
      </w:r>
      <w:r>
        <w:rPr>
          <w:rFonts w:ascii="方正仿宋_GBK" w:hAnsi="方正仿宋_GBK" w:eastAsia="方正仿宋_GBK" w:cs="方正仿宋_GBK"/>
          <w:sz w:val="32"/>
          <w:szCs w:val="32"/>
          <w:shd w:val="clear" w:color="auto" w:fill="FFFFFF"/>
        </w:rPr>
        <w:t>，主要原因是出差次数增加。</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（二）机关运行经费情况说明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年度本单位机关运行经费支出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万元。机关运行经费较上年支出数无增减，主要原因是中心为县政府办公室下属事业中心，无相应开支。</w:t>
      </w:r>
      <w:r>
        <w:rPr>
          <w:rFonts w:hint="default" w:ascii="Times New Roman" w:hAnsi="Times New Roman" w:eastAsia="方正仿宋_GBK"/>
          <w:sz w:val="32"/>
          <w:szCs w:val="32"/>
        </w:rPr>
        <w:t>按照部门决算列报口径，我单位不在机关运行经费统计范围之内。</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（三）国有资产占用情况说明</w:t>
      </w:r>
    </w:p>
    <w:p>
      <w:pPr>
        <w:pStyle w:val="11"/>
        <w:autoSpaceDE w:val="0"/>
        <w:spacing w:line="596"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截至202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年12月31日，本单位共有车辆</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辆，其中，副部（省）级及以上领导用车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辆、主要负责人用车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辆、机要通信用车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辆、应急保障用车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辆、执法执勤用车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辆，特种专业技术用车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辆，离退休干部用车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辆。单价100万元（含）以上专用设备</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台（套）。</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（四）政府采购支出情况说明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2023年度本单位政府采购支出总额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%。2023年度我单位未发生政府采购事项，无相关经费支出。</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五、预算绩效管理情况说明</w:t>
      </w:r>
    </w:p>
    <w:p>
      <w:pPr>
        <w:pStyle w:val="11"/>
        <w:autoSpaceDE w:val="0"/>
        <w:spacing w:line="560"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（一）单位自评情况</w:t>
      </w:r>
    </w:p>
    <w:p>
      <w:pPr>
        <w:pStyle w:val="12"/>
        <w:autoSpaceDE w:val="0"/>
        <w:spacing w:before="0" w:beforeAutospacing="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涉及项目支出资金0万元。</w:t>
      </w:r>
    </w:p>
    <w:p>
      <w:pPr>
        <w:pStyle w:val="11"/>
        <w:autoSpaceDE w:val="0"/>
        <w:spacing w:line="560"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（二）单位绩效评价情况</w:t>
      </w:r>
    </w:p>
    <w:p>
      <w:pPr>
        <w:pStyle w:val="12"/>
        <w:autoSpaceDE w:val="0"/>
        <w:spacing w:before="0" w:beforeAutospacing="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1"/>
        <w:autoSpaceDE w:val="0"/>
        <w:spacing w:line="560"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（三）财政绩效评价情况</w:t>
      </w:r>
    </w:p>
    <w:p>
      <w:pPr>
        <w:pStyle w:val="12"/>
        <w:autoSpaceDE w:val="0"/>
        <w:spacing w:before="0" w:beforeAutospacing="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县财政局未委托第三方对我单位开展绩效评价。</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六、专业名词解释</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 </w:t>
      </w:r>
      <w:r>
        <w:rPr>
          <w:rStyle w:val="8"/>
          <w:rFonts w:hint="default" w:ascii="Times New Roman" w:hAnsi="Times New Roman" w:eastAsia="方正楷体_GBK"/>
          <w:b w:val="0"/>
          <w:bCs/>
          <w:sz w:val="32"/>
          <w:szCs w:val="32"/>
          <w:shd w:val="clear" w:color="auto" w:fill="FFFFFF"/>
        </w:rPr>
        <w:t>（三）经营收入：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 （十六）对个人和家庭的补助（支出经济分类科目类级）：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pPr>
        <w:pStyle w:val="6"/>
        <w:snapToGrid w:val="0"/>
        <w:spacing w:before="0" w:beforeAutospacing="0" w:after="0" w:afterAutospacing="0" w:line="560" w:lineRule="exact"/>
        <w:ind w:firstLine="640" w:firstLineChars="200"/>
        <w:jc w:val="both"/>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 （十七）其他资本性支出（支出经济分类科目类级）：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Autospacing="0" w:afterAutospacing="0" w:line="560" w:lineRule="exact"/>
        <w:ind w:firstLine="640" w:firstLineChars="200"/>
        <w:rPr>
          <w:rStyle w:val="8"/>
          <w:rFonts w:hint="default" w:ascii="Times New Roman" w:hAnsi="Times New Roman" w:eastAsia="方正仿宋_GBK"/>
          <w:sz w:val="32"/>
          <w:szCs w:val="32"/>
          <w:shd w:val="clear" w:color="auto" w:fill="FFFFFF"/>
        </w:rPr>
      </w:pPr>
      <w:r>
        <w:rPr>
          <w:rStyle w:val="8"/>
          <w:rFonts w:hint="default" w:ascii="Times New Roman" w:hAnsi="Times New Roman" w:eastAsia="方正黑体_GBK"/>
          <w:b w:val="0"/>
          <w:bCs/>
          <w:sz w:val="32"/>
          <w:szCs w:val="32"/>
          <w:shd w:val="clear" w:color="auto" w:fill="FFFFFF"/>
        </w:rPr>
        <w:t>七、决算公开联系方式及信息反馈渠道</w:t>
      </w:r>
    </w:p>
    <w:p>
      <w:pPr>
        <w:pStyle w:val="11"/>
        <w:autoSpaceDE w:val="0"/>
        <w:spacing w:line="560" w:lineRule="exact"/>
        <w:ind w:firstLine="0" w:firstLineChars="0"/>
        <w:rPr>
          <w:rStyle w:val="8"/>
          <w:rFonts w:ascii="Times New Roman" w:hAnsi="Times New Roman" w:eastAsia="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w:t>
      </w:r>
      <w:r>
        <w:rPr>
          <w:rFonts w:hint="eastAsia" w:ascii="Times New Roman" w:hAnsi="Times New Roman" w:eastAsia="方正仿宋_GBK"/>
          <w:sz w:val="32"/>
          <w:szCs w:val="32"/>
          <w:shd w:val="clear" w:color="auto" w:fill="FFFFFF"/>
        </w:rPr>
        <w:t>张晓</w:t>
      </w:r>
      <w:r>
        <w:rPr>
          <w:rFonts w:ascii="Times New Roman" w:hAnsi="Times New Roman" w:eastAsia="方正仿宋_GBK"/>
          <w:sz w:val="32"/>
          <w:szCs w:val="32"/>
          <w:shd w:val="clear" w:color="auto" w:fill="FFFFFF"/>
        </w:rPr>
        <w:t>023-76671060</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秀山土家族苗族自治县人民政府值班中心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秀山土家族苗族自治县人民政府值班中心</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77.26</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77.26</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秀山土家族苗族自治县人民政府值班中心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77.26</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77.26</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秀山土家族苗族自治县人民政府值班中心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秀山土家族苗族自治县人民政府值班中心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77.26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77.26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秀山土家族苗族自治县人民政府值班中心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71.62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72.42</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秀山土家族苗族自治县人民政府值班中心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秀山土家族苗族自治县人民政府值班中心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秀山土家族苗族自治县人民政府值班中心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5F6DC1"/>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9C76B9"/>
    <w:rsid w:val="00A03B1E"/>
    <w:rsid w:val="00A67739"/>
    <w:rsid w:val="00A820B7"/>
    <w:rsid w:val="00A830E1"/>
    <w:rsid w:val="00AC5566"/>
    <w:rsid w:val="00B03CCD"/>
    <w:rsid w:val="00B104B0"/>
    <w:rsid w:val="00B40138"/>
    <w:rsid w:val="00BF5A85"/>
    <w:rsid w:val="00C307F6"/>
    <w:rsid w:val="00C96B11"/>
    <w:rsid w:val="00C97747"/>
    <w:rsid w:val="00CC6B99"/>
    <w:rsid w:val="00D8734E"/>
    <w:rsid w:val="00DF7706"/>
    <w:rsid w:val="00E05175"/>
    <w:rsid w:val="00E654E2"/>
    <w:rsid w:val="00E76362"/>
    <w:rsid w:val="00E86B80"/>
    <w:rsid w:val="00ED3DE6"/>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51721C"/>
    <w:rsid w:val="12C921C4"/>
    <w:rsid w:val="12F52ECF"/>
    <w:rsid w:val="13871C70"/>
    <w:rsid w:val="139D5716"/>
    <w:rsid w:val="13A71CB4"/>
    <w:rsid w:val="13AF1D43"/>
    <w:rsid w:val="13CE1647"/>
    <w:rsid w:val="13DA0C25"/>
    <w:rsid w:val="13FD55AB"/>
    <w:rsid w:val="14200702"/>
    <w:rsid w:val="14907817"/>
    <w:rsid w:val="163A6CEE"/>
    <w:rsid w:val="173708E3"/>
    <w:rsid w:val="174C19C7"/>
    <w:rsid w:val="17BF046E"/>
    <w:rsid w:val="17C374FC"/>
    <w:rsid w:val="189079DC"/>
    <w:rsid w:val="189B0D0B"/>
    <w:rsid w:val="18B43F7C"/>
    <w:rsid w:val="194A1770"/>
    <w:rsid w:val="19B906A4"/>
    <w:rsid w:val="1B6F15B6"/>
    <w:rsid w:val="1BA968DF"/>
    <w:rsid w:val="1BAA2EDC"/>
    <w:rsid w:val="1C5C0973"/>
    <w:rsid w:val="1CA55E64"/>
    <w:rsid w:val="1D014A01"/>
    <w:rsid w:val="1D022362"/>
    <w:rsid w:val="1D136BF8"/>
    <w:rsid w:val="1D1B04B0"/>
    <w:rsid w:val="1D6534C4"/>
    <w:rsid w:val="1DBD6767"/>
    <w:rsid w:val="1DC52125"/>
    <w:rsid w:val="1DD26311"/>
    <w:rsid w:val="1E374ACB"/>
    <w:rsid w:val="1E5E27E3"/>
    <w:rsid w:val="1EA33588"/>
    <w:rsid w:val="1ECF0A66"/>
    <w:rsid w:val="1EEE76D1"/>
    <w:rsid w:val="1EF67CA4"/>
    <w:rsid w:val="1F020D3A"/>
    <w:rsid w:val="1F2C5189"/>
    <w:rsid w:val="1F4B0B02"/>
    <w:rsid w:val="1FBB35CD"/>
    <w:rsid w:val="1FCD26AF"/>
    <w:rsid w:val="20642787"/>
    <w:rsid w:val="21556F04"/>
    <w:rsid w:val="22403BD3"/>
    <w:rsid w:val="2367166B"/>
    <w:rsid w:val="23DA37D9"/>
    <w:rsid w:val="24B92327"/>
    <w:rsid w:val="24BD435F"/>
    <w:rsid w:val="24C14514"/>
    <w:rsid w:val="2533755C"/>
    <w:rsid w:val="25791755"/>
    <w:rsid w:val="26396DF4"/>
    <w:rsid w:val="27167136"/>
    <w:rsid w:val="27B23302"/>
    <w:rsid w:val="29310A5F"/>
    <w:rsid w:val="29C37A35"/>
    <w:rsid w:val="2A076083"/>
    <w:rsid w:val="2A73162E"/>
    <w:rsid w:val="2AE773A3"/>
    <w:rsid w:val="2B167953"/>
    <w:rsid w:val="2B200583"/>
    <w:rsid w:val="2B220436"/>
    <w:rsid w:val="2B8209DE"/>
    <w:rsid w:val="2C6762A3"/>
    <w:rsid w:val="2EBF7B3E"/>
    <w:rsid w:val="2EDE1934"/>
    <w:rsid w:val="2FCA4B37"/>
    <w:rsid w:val="2FE029D7"/>
    <w:rsid w:val="2FF06E00"/>
    <w:rsid w:val="30117949"/>
    <w:rsid w:val="30562E26"/>
    <w:rsid w:val="30586FEC"/>
    <w:rsid w:val="30EC7046"/>
    <w:rsid w:val="315F0B22"/>
    <w:rsid w:val="316967E9"/>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818E1"/>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3FF716A4"/>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64C8F"/>
    <w:rsid w:val="44B96DCF"/>
    <w:rsid w:val="44C37687"/>
    <w:rsid w:val="45CB699A"/>
    <w:rsid w:val="465B470D"/>
    <w:rsid w:val="469D6AD4"/>
    <w:rsid w:val="471E6C84"/>
    <w:rsid w:val="4748792B"/>
    <w:rsid w:val="475D719D"/>
    <w:rsid w:val="47674801"/>
    <w:rsid w:val="48225EF7"/>
    <w:rsid w:val="488F422B"/>
    <w:rsid w:val="48E36915"/>
    <w:rsid w:val="495C4A24"/>
    <w:rsid w:val="49696376"/>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1C593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9D47DC"/>
    <w:rsid w:val="55BE2E85"/>
    <w:rsid w:val="55D82B6C"/>
    <w:rsid w:val="55ED3042"/>
    <w:rsid w:val="561D52C4"/>
    <w:rsid w:val="5651697D"/>
    <w:rsid w:val="56530F5D"/>
    <w:rsid w:val="56692AE5"/>
    <w:rsid w:val="567700D3"/>
    <w:rsid w:val="56B13F2B"/>
    <w:rsid w:val="56FF7E9E"/>
    <w:rsid w:val="578867FC"/>
    <w:rsid w:val="5842572D"/>
    <w:rsid w:val="59976F4C"/>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156A1"/>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11854"/>
    <w:rsid w:val="66967186"/>
    <w:rsid w:val="66EE5541"/>
    <w:rsid w:val="67924660"/>
    <w:rsid w:val="67B3608E"/>
    <w:rsid w:val="683200C2"/>
    <w:rsid w:val="68407834"/>
    <w:rsid w:val="6883293E"/>
    <w:rsid w:val="688412AD"/>
    <w:rsid w:val="68EB1B71"/>
    <w:rsid w:val="69047696"/>
    <w:rsid w:val="69475C96"/>
    <w:rsid w:val="6A81042F"/>
    <w:rsid w:val="6AAD2300"/>
    <w:rsid w:val="6B474EF5"/>
    <w:rsid w:val="6BBF53FD"/>
    <w:rsid w:val="6C560CAE"/>
    <w:rsid w:val="6C576495"/>
    <w:rsid w:val="6C8660C1"/>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E56576"/>
    <w:rsid w:val="772E1EBA"/>
    <w:rsid w:val="77EB79F7"/>
    <w:rsid w:val="780D3A03"/>
    <w:rsid w:val="796D60A4"/>
    <w:rsid w:val="79A031D5"/>
    <w:rsid w:val="7A1525F7"/>
    <w:rsid w:val="7B420052"/>
    <w:rsid w:val="7B861484"/>
    <w:rsid w:val="7BD06A28"/>
    <w:rsid w:val="7BFF7D59"/>
    <w:rsid w:val="7C3A7C0B"/>
    <w:rsid w:val="7C5248E4"/>
    <w:rsid w:val="7C566698"/>
    <w:rsid w:val="7C5866A3"/>
    <w:rsid w:val="7D7406BB"/>
    <w:rsid w:val="7DE011D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next w:val="4"/>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7"/>
    <w:link w:val="2"/>
    <w:qFormat/>
    <w:uiPriority w:val="0"/>
    <w:rPr>
      <w:rFonts w:ascii="宋体" w:hAnsi="宋体"/>
      <w:sz w:val="18"/>
      <w:szCs w:val="18"/>
    </w:rPr>
  </w:style>
  <w:style w:type="paragraph" w:customStyle="1" w:styleId="16">
    <w:name w:val="列出段落3"/>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1915</Words>
  <Characters>10917</Characters>
  <Lines>90</Lines>
  <Paragraphs>25</Paragraphs>
  <TotalTime>0</TotalTime>
  <ScaleCrop>false</ScaleCrop>
  <LinksUpToDate>false</LinksUpToDate>
  <CharactersWithSpaces>12807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行政政法科</cp:lastModifiedBy>
  <dcterms:modified xsi:type="dcterms:W3CDTF">2025-09-28T07:58:09Z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