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秀山土家族苗族自治县政府效能管理中心</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pPr>
        <w:pStyle w:val="7"/>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pPr>
        <w:pStyle w:val="7"/>
        <w:shd w:val="clear" w:color="auto" w:fill="FFFFFF"/>
        <w:spacing w:before="0" w:beforeAutospacing="0" w:after="0" w:afterAutospacing="0" w:line="556"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一、单位基本情况</w:t>
      </w:r>
    </w:p>
    <w:p>
      <w:pPr>
        <w:pStyle w:val="7"/>
        <w:shd w:val="clear" w:color="auto" w:fill="FFFFFF"/>
        <w:spacing w:before="0" w:beforeAutospacing="0" w:after="0" w:afterAutospacing="0" w:line="556" w:lineRule="exact"/>
        <w:ind w:firstLine="640" w:firstLineChars="200"/>
        <w:rPr>
          <w:rStyle w:val="9"/>
          <w:rFonts w:hint="default" w:ascii="Times New Roman" w:hAnsi="Times New Roman" w:eastAsia="方正楷体_GBK"/>
          <w:b w:val="0"/>
          <w:bCs/>
          <w:sz w:val="32"/>
          <w:szCs w:val="32"/>
          <w:shd w:val="clear" w:color="auto" w:fill="FFFFFF"/>
        </w:rPr>
      </w:pPr>
      <w:r>
        <w:rPr>
          <w:rStyle w:val="9"/>
          <w:rFonts w:hint="default" w:ascii="Times New Roman" w:hAnsi="Times New Roman" w:eastAsia="方正楷体_GBK"/>
          <w:b w:val="0"/>
          <w:bCs/>
          <w:sz w:val="32"/>
          <w:szCs w:val="32"/>
          <w:shd w:val="clear" w:color="auto" w:fill="FFFFFF"/>
        </w:rPr>
        <w:t>（一）职能职责</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1.承担国民经济发展和社会事业方面的调查研究，提出政策建议；</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2.监测、分析经济运行态势，提出政策建议；</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3.组织协调解决经济运行中的重大问题，提出政策建议；</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4.协助县政府处理经济运行方面的对外宣传工作；</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5.承担中央、市、县重大决策部署及领导指示批示事项贯彻落实情况的调查研究和情况反馈，提出效能意见；</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6.承担《县政府工作报告》重点工作目标任务及县政府中心工作贯彻落实情况的调查研究和情况反馈，提出效能意见；</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7.承担县政府党组会议、县政府常务会议、县长办公会议、县政府领导专题会议议定事项贯彻落实情况的调查研究和情况反馈，提出效能意见；</w:t>
      </w:r>
    </w:p>
    <w:p>
      <w:pPr>
        <w:widowControl w:val="0"/>
        <w:spacing w:line="600" w:lineRule="exact"/>
        <w:ind w:firstLine="64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lang w:bidi="ar"/>
        </w:rPr>
        <w:t>8.承担县政府领导批示件和交办事项贯彻落实情况的调查研究和情况反馈，提出效能意见；</w:t>
      </w:r>
    </w:p>
    <w:p>
      <w:pPr>
        <w:pStyle w:val="7"/>
        <w:shd w:val="clear" w:color="auto" w:fill="FFFFFF"/>
        <w:spacing w:before="0" w:beforeAutospacing="0" w:after="0" w:afterAutospacing="0" w:line="556" w:lineRule="exact"/>
        <w:ind w:firstLine="640" w:firstLineChars="200"/>
        <w:rPr>
          <w:rFonts w:hint="default" w:ascii="方正仿宋_GBK" w:hAnsi="方正仿宋_GBK" w:eastAsia="方正仿宋_GBK" w:cs="方正仿宋_GBK"/>
          <w:kern w:val="2"/>
          <w:sz w:val="32"/>
          <w:szCs w:val="32"/>
          <w:lang w:bidi="ar"/>
        </w:rPr>
      </w:pPr>
      <w:r>
        <w:rPr>
          <w:rFonts w:hint="default" w:ascii="Times New Roman" w:hAnsi="Times New Roman" w:eastAsia="方正仿宋_GBK"/>
          <w:kern w:val="2"/>
          <w:sz w:val="32"/>
          <w:szCs w:val="32"/>
          <w:lang w:bidi="ar"/>
        </w:rPr>
        <w:t>9.负责县政府和县政</w:t>
      </w:r>
      <w:r>
        <w:rPr>
          <w:rFonts w:ascii="方正仿宋_GBK" w:hAnsi="方正仿宋_GBK" w:eastAsia="方正仿宋_GBK" w:cs="方正仿宋_GBK"/>
          <w:kern w:val="2"/>
          <w:sz w:val="32"/>
          <w:szCs w:val="32"/>
          <w:lang w:bidi="ar"/>
        </w:rPr>
        <w:t>府领导同志交办的其他工作。</w:t>
      </w:r>
    </w:p>
    <w:p>
      <w:pPr>
        <w:pStyle w:val="7"/>
        <w:shd w:val="clear" w:color="auto" w:fill="FFFFFF"/>
        <w:spacing w:before="0" w:beforeAutospacing="0" w:after="0" w:afterAutospacing="0" w:line="556" w:lineRule="exact"/>
        <w:ind w:firstLine="640" w:firstLineChars="200"/>
        <w:rPr>
          <w:rStyle w:val="9"/>
          <w:rFonts w:hint="default" w:ascii="Times New Roman" w:hAnsi="Times New Roman" w:eastAsia="方正楷体_GBK"/>
          <w:b w:val="0"/>
          <w:bCs/>
          <w:sz w:val="32"/>
          <w:szCs w:val="32"/>
          <w:shd w:val="clear" w:color="auto" w:fill="FFFFFF"/>
        </w:rPr>
      </w:pPr>
      <w:r>
        <w:rPr>
          <w:rStyle w:val="9"/>
          <w:rFonts w:hint="default" w:ascii="Times New Roman" w:hAnsi="Times New Roman" w:eastAsia="方正楷体_GBK"/>
          <w:b w:val="0"/>
          <w:bCs/>
          <w:sz w:val="32"/>
          <w:szCs w:val="32"/>
          <w:shd w:val="clear" w:color="auto" w:fill="FFFFFF"/>
        </w:rPr>
        <w:t>（二）机构设置</w:t>
      </w:r>
    </w:p>
    <w:p>
      <w:pPr>
        <w:pStyle w:val="7"/>
        <w:widowControl w:val="0"/>
        <w:shd w:val="clear" w:color="auto" w:fill="FFFFFF"/>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秀山土家族苗族自治县人民政府</w:t>
      </w:r>
      <w:r>
        <w:rPr>
          <w:rFonts w:ascii="Times New Roman" w:hAnsi="Times New Roman" w:eastAsia="方正仿宋_GBK"/>
          <w:sz w:val="32"/>
          <w:szCs w:val="32"/>
        </w:rPr>
        <w:t>效能管理</w:t>
      </w:r>
      <w:r>
        <w:rPr>
          <w:rFonts w:hint="default" w:ascii="Times New Roman" w:hAnsi="Times New Roman" w:eastAsia="方正仿宋_GBK"/>
          <w:sz w:val="32"/>
          <w:szCs w:val="32"/>
        </w:rPr>
        <w:t xml:space="preserve">中心设下列 </w:t>
      </w:r>
      <w:r>
        <w:rPr>
          <w:rFonts w:ascii="Times New Roman" w:hAnsi="Times New Roman" w:eastAsia="方正仿宋_GBK"/>
          <w:sz w:val="32"/>
          <w:szCs w:val="32"/>
        </w:rPr>
        <w:t>3</w:t>
      </w:r>
      <w:r>
        <w:rPr>
          <w:rFonts w:hint="default" w:ascii="Times New Roman" w:hAnsi="Times New Roman" w:eastAsia="方正仿宋_GBK"/>
          <w:sz w:val="32"/>
          <w:szCs w:val="32"/>
        </w:rPr>
        <w:t>个内设机构，分别是：</w:t>
      </w:r>
      <w:r>
        <w:rPr>
          <w:rFonts w:ascii="Times New Roman" w:hAnsi="Times New Roman" w:eastAsia="方正仿宋_GBK"/>
          <w:sz w:val="32"/>
          <w:szCs w:val="32"/>
        </w:rPr>
        <w:t>综合管理科</w:t>
      </w:r>
      <w:r>
        <w:rPr>
          <w:rFonts w:hint="default" w:ascii="Times New Roman" w:hAnsi="Times New Roman" w:eastAsia="方正仿宋_GBK"/>
          <w:sz w:val="32"/>
          <w:szCs w:val="32"/>
        </w:rPr>
        <w:t>、</w:t>
      </w:r>
      <w:r>
        <w:rPr>
          <w:rFonts w:ascii="Times New Roman" w:hAnsi="Times New Roman" w:eastAsia="方正仿宋_GBK"/>
          <w:sz w:val="32"/>
          <w:szCs w:val="32"/>
        </w:rPr>
        <w:t>经济运行调度科</w:t>
      </w:r>
      <w:r>
        <w:rPr>
          <w:rFonts w:hint="default" w:ascii="Times New Roman" w:hAnsi="Times New Roman" w:eastAsia="方正仿宋_GBK"/>
          <w:sz w:val="32"/>
          <w:szCs w:val="32"/>
        </w:rPr>
        <w:t>、</w:t>
      </w:r>
      <w:r>
        <w:rPr>
          <w:rFonts w:ascii="Times New Roman" w:hAnsi="Times New Roman" w:eastAsia="方正仿宋_GBK"/>
          <w:sz w:val="32"/>
          <w:szCs w:val="32"/>
        </w:rPr>
        <w:t>发展效能促进</w:t>
      </w:r>
      <w:r>
        <w:rPr>
          <w:rFonts w:hint="default" w:ascii="Times New Roman" w:hAnsi="Times New Roman" w:eastAsia="方正仿宋_GBK"/>
          <w:sz w:val="32"/>
          <w:szCs w:val="32"/>
        </w:rPr>
        <w:t>科。</w:t>
      </w:r>
    </w:p>
    <w:p>
      <w:pPr>
        <w:pStyle w:val="7"/>
        <w:shd w:val="clear" w:color="auto" w:fill="FFFFFF"/>
        <w:spacing w:before="0" w:beforeAutospacing="0" w:after="0" w:afterAutospacing="0" w:line="556" w:lineRule="exact"/>
        <w:ind w:firstLine="640" w:firstLineChars="200"/>
        <w:rPr>
          <w:rFonts w:hint="default" w:ascii="Times New Roman" w:hAnsi="Times New Roman" w:eastAsia="方正仿宋_GBK"/>
          <w:sz w:val="32"/>
          <w:szCs w:val="32"/>
        </w:rPr>
      </w:pPr>
      <w:r>
        <w:rPr>
          <w:rStyle w:val="9"/>
          <w:rFonts w:hint="default" w:ascii="Times New Roman" w:hAnsi="Times New Roman" w:eastAsia="方正黑体_GBK"/>
          <w:b w:val="0"/>
          <w:bCs/>
          <w:sz w:val="32"/>
          <w:szCs w:val="32"/>
          <w:shd w:val="clear" w:color="auto" w:fill="FFFFFF"/>
        </w:rPr>
        <w:t>二、单位决算情况说明</w:t>
      </w:r>
    </w:p>
    <w:p>
      <w:pPr>
        <w:pStyle w:val="7"/>
        <w:shd w:val="clear" w:color="auto" w:fill="FFFFFF"/>
        <w:spacing w:before="0" w:beforeAutospacing="0" w:after="0" w:afterAutospacing="0" w:line="596" w:lineRule="exact"/>
        <w:ind w:firstLine="640" w:firstLineChars="200"/>
        <w:jc w:val="both"/>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收、支与2023年度相比，增加13.09万元，增长16.2%</w:t>
      </w:r>
      <w:r>
        <w:rPr>
          <w:rFonts w:ascii="方正仿宋_GBK" w:hAnsi="方正仿宋_GBK" w:eastAsia="方正仿宋_GBK" w:cs="方正仿宋_GBK"/>
          <w:sz w:val="32"/>
          <w:szCs w:val="32"/>
          <w:shd w:val="clear" w:color="auto" w:fill="FFFFFF"/>
        </w:rPr>
        <w:t>，主要原因是人员变动。</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与2023年度相比，增加13.09万元，增长16.2%</w:t>
      </w:r>
      <w:r>
        <w:rPr>
          <w:rFonts w:ascii="方正仿宋_GBK" w:hAnsi="方正仿宋_GBK" w:eastAsia="方正仿宋_GBK" w:cs="方正仿宋_GBK"/>
          <w:sz w:val="32"/>
          <w:szCs w:val="32"/>
          <w:shd w:val="clear" w:color="auto" w:fill="FFFFFF"/>
        </w:rPr>
        <w:t>，主要原因是人员变动。其中：财政拨款收入</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与2023年度相比，增加13.09万元，增长16.2%</w:t>
      </w:r>
      <w:r>
        <w:rPr>
          <w:rFonts w:ascii="方正仿宋_GBK" w:hAnsi="方正仿宋_GBK" w:eastAsia="方正仿宋_GBK" w:cs="方正仿宋_GBK"/>
          <w:sz w:val="32"/>
          <w:szCs w:val="32"/>
          <w:shd w:val="clear" w:color="auto" w:fill="FFFFFF"/>
        </w:rPr>
        <w:t>，主要原因是人员变动。其中：基本支出</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56" w:lineRule="exact"/>
        <w:ind w:firstLine="643" w:firstLineChars="200"/>
        <w:jc w:val="both"/>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4</w:t>
      </w:r>
      <w:bookmarkStart w:id="0" w:name="_GoBack"/>
      <w:bookmarkEnd w:id="0"/>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本中心无结转</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结余资金。</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（二）财政拨款收入支出决算总体情况说明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财政拨款收、支总计各增加13.09万元，增长16.2%</w:t>
      </w:r>
      <w:r>
        <w:rPr>
          <w:rFonts w:ascii="方正仿宋_GBK" w:hAnsi="方正仿宋_GBK" w:eastAsia="方正仿宋_GBK" w:cs="方正仿宋_GBK"/>
          <w:sz w:val="32"/>
          <w:szCs w:val="32"/>
          <w:shd w:val="clear" w:color="auto" w:fill="FFFFFF"/>
        </w:rPr>
        <w:t>。主要原因是人员变动。</w:t>
      </w:r>
    </w:p>
    <w:p>
      <w:pPr>
        <w:pStyle w:val="12"/>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与2023年度相比，增加13.09万元，增长16.2%</w:t>
      </w:r>
      <w:r>
        <w:rPr>
          <w:rFonts w:ascii="方正仿宋_GBK" w:hAnsi="方正仿宋_GBK" w:eastAsia="方正仿宋_GBK" w:cs="方正仿宋_GBK"/>
          <w:sz w:val="32"/>
          <w:szCs w:val="32"/>
          <w:shd w:val="clear" w:color="auto" w:fill="FFFFFF"/>
        </w:rPr>
        <w:t>。主要原因是人员变动。</w:t>
      </w:r>
      <w:r>
        <w:rPr>
          <w:rFonts w:hint="default" w:ascii="Times New Roman" w:hAnsi="Times New Roman" w:eastAsia="方正仿宋_GBK"/>
          <w:sz w:val="32"/>
          <w:szCs w:val="32"/>
          <w:shd w:val="clear" w:color="auto" w:fill="FFFFFF"/>
        </w:rPr>
        <w:t>较年初预算数减少9.48万元，下降9.2%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中心经费减少。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与2023年度相比，增加13.09万元，增长16.2%</w:t>
      </w:r>
      <w:r>
        <w:rPr>
          <w:rFonts w:ascii="方正仿宋_GBK" w:hAnsi="方正仿宋_GBK" w:eastAsia="方正仿宋_GBK" w:cs="方正仿宋_GBK"/>
          <w:sz w:val="32"/>
          <w:szCs w:val="32"/>
          <w:shd w:val="clear" w:color="auto" w:fill="FFFFFF"/>
        </w:rPr>
        <w:t>。主要原因是人员变动。</w:t>
      </w:r>
      <w:r>
        <w:rPr>
          <w:rFonts w:hint="default" w:ascii="Times New Roman" w:hAnsi="Times New Roman" w:eastAsia="方正仿宋_GBK"/>
          <w:sz w:val="32"/>
          <w:szCs w:val="32"/>
          <w:shd w:val="clear" w:color="auto" w:fill="FFFFFF"/>
        </w:rPr>
        <w:t>较年初预算数减少9.48万元，下降9.2%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中心经费减少。</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76.87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较年初预算数减少8.58万元，下降10.0%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是事业运行减少。</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较年初预算数减少0.42万元，下降4.8%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人员变动。</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较年初预算数减少0.48万元，下降9.9%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人员变动。</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，主要原因是收支持平。</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本中心无结转</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结余资金。</w:t>
      </w:r>
    </w:p>
    <w:p>
      <w:pPr>
        <w:pStyle w:val="12"/>
        <w:autoSpaceDE w:val="0"/>
        <w:spacing w:line="556" w:lineRule="exact"/>
        <w:ind w:firstLine="640"/>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94.05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7"/>
        <w:snapToGrid w:val="0"/>
        <w:spacing w:before="0" w:beforeAutospacing="0" w:after="0" w:afterAutospacing="0" w:line="55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89.49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与2023年度相比，增加13.27万元，增长17.4%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人员变动。</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基本工资、津贴补贴、奖金、社会保障缴费等。</w:t>
      </w:r>
    </w:p>
    <w:p>
      <w:pPr>
        <w:pStyle w:val="7"/>
        <w:snapToGrid w:val="0"/>
        <w:spacing w:before="0" w:beforeAutospacing="0" w:after="0" w:afterAutospacing="0" w:line="55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与2023年度相比，减少0.18万元，下降3.8%</w:t>
      </w:r>
      <w:r>
        <w:rPr>
          <w:rFonts w:ascii="方正仿宋_GBK" w:hAnsi="方正仿宋_GBK" w:eastAsia="方正仿宋_GBK" w:cs="方正仿宋_GBK"/>
          <w:sz w:val="32"/>
          <w:szCs w:val="32"/>
          <w:shd w:val="clear" w:color="auto" w:fill="FFFFFF"/>
        </w:rPr>
        <w:t>，主要原因是落实过紧日子要求、节约开支。公用经费用途主要包括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pPr>
        <w:pStyle w:val="12"/>
        <w:autoSpaceDE w:val="0"/>
        <w:spacing w:line="556" w:lineRule="exact"/>
        <w:ind w:firstLine="640"/>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（五）政府性基金预算收支决算情况说明</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年度无政府性基金预算财政拨款收支。</w:t>
      </w:r>
    </w:p>
    <w:p>
      <w:pPr>
        <w:pStyle w:val="12"/>
        <w:autoSpaceDE w:val="0"/>
        <w:spacing w:line="556" w:lineRule="exact"/>
        <w:ind w:firstLine="640"/>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（六）国有资本经营预算财政拨款支出决算情况说明</w:t>
      </w:r>
    </w:p>
    <w:p>
      <w:pPr>
        <w:pStyle w:val="7"/>
        <w:shd w:val="clear" w:color="auto" w:fill="FFFFFF"/>
        <w:spacing w:before="0" w:beforeAutospacing="0" w:after="0" w:afterAutospacing="0" w:line="596" w:lineRule="exact"/>
        <w:ind w:firstLine="640" w:firstLineChars="200"/>
        <w:rPr>
          <w:rStyle w:val="9"/>
          <w:rFonts w:hint="default"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r>
        <w:rPr>
          <w:rStyle w:val="9"/>
          <w:rFonts w:hint="default" w:ascii="Times New Roman" w:hAnsi="Times New Roman" w:eastAsia="方正黑体_GBK"/>
          <w:b w:val="0"/>
          <w:bCs/>
          <w:sz w:val="32"/>
          <w:szCs w:val="32"/>
          <w:shd w:val="clear" w:color="auto" w:fill="FFFFFF"/>
        </w:rPr>
        <w:t>三、</w:t>
      </w:r>
      <w:r>
        <w:rPr>
          <w:rStyle w:val="9"/>
          <w:rFonts w:ascii="Times New Roman" w:hAnsi="Times New Roman" w:eastAsia="方正黑体_GBK"/>
          <w:b w:val="0"/>
          <w:bCs/>
          <w:sz w:val="32"/>
          <w:szCs w:val="32"/>
          <w:shd w:val="clear" w:color="auto" w:fill="FFFFFF"/>
        </w:rPr>
        <w:t>财政拨款</w:t>
      </w:r>
      <w:r>
        <w:rPr>
          <w:rStyle w:val="9"/>
          <w:rFonts w:hint="default" w:ascii="Times New Roman" w:hAnsi="Times New Roman" w:eastAsia="方正黑体_GBK"/>
          <w:b w:val="0"/>
          <w:bCs/>
          <w:sz w:val="32"/>
          <w:szCs w:val="32"/>
          <w:shd w:val="clear" w:color="auto" w:fill="FFFFFF"/>
        </w:rPr>
        <w:t>“三公”经费情况说明</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 xml:space="preserve"> （一）“三公”经费支出总体情况说明</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万元，较年初预算数无增减，主要原因是中心无公务接待。较上年支出数无增减，主要原因是中心无公务接待。</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（二）“三公”经费分项支出情况</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万元，主要是用于未产生因公出国（境）费用。支出较年初预算数无增减，主要原因是未产生因公出国（境）费用。较上年支出数无增减，主要原因是未产生因公出国（境）费用。</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万元。费用支出较年初预算数无增减，主要原因是中心无公务接待。较上年支出数无增减，主要原因是中心无公务接待。</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（三）“三公”经费实物量情况</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7"/>
        <w:shd w:val="clear" w:color="auto" w:fill="FFFFFF"/>
        <w:spacing w:beforeAutospacing="0" w:afterAutospacing="0" w:line="556"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四、其他需要说明的事项</w:t>
      </w:r>
    </w:p>
    <w:p>
      <w:pPr>
        <w:pStyle w:val="7"/>
        <w:shd w:val="clear" w:color="auto" w:fill="FFFFFF"/>
        <w:spacing w:before="0" w:beforeAutospacing="0" w:after="0" w:afterAutospacing="0" w:line="596" w:lineRule="exact"/>
        <w:ind w:firstLine="640" w:firstLineChars="200"/>
        <w:jc w:val="both"/>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（一）财政拨款会议费、培训费和差旅费情况说明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与2023年度相比，增加0.56万元，增长100.0%</w:t>
      </w:r>
      <w:r>
        <w:rPr>
          <w:rFonts w:ascii="方正仿宋_GBK" w:hAnsi="方正仿宋_GBK" w:eastAsia="方正仿宋_GBK" w:cs="方正仿宋_GBK"/>
          <w:sz w:val="32"/>
          <w:szCs w:val="32"/>
          <w:shd w:val="clear" w:color="auto" w:fill="FFFFFF"/>
        </w:rPr>
        <w:t>，主要原因是会议次数增加。本年度培训费支出</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与2023年度相比，增加0.01万元，增长100.0%</w:t>
      </w:r>
      <w:r>
        <w:rPr>
          <w:rFonts w:ascii="方正仿宋_GBK" w:hAnsi="方正仿宋_GBK" w:eastAsia="方正仿宋_GBK" w:cs="方正仿宋_GBK"/>
          <w:sz w:val="32"/>
          <w:szCs w:val="32"/>
          <w:shd w:val="clear" w:color="auto" w:fill="FFFFFF"/>
        </w:rPr>
        <w:t>，主要原因是培训次数增加。本年度差旅费支出</w:t>
      </w:r>
      <w:r>
        <w:rPr>
          <w:rFonts w:hint="default" w:ascii="Times New Roman" w:hAnsi="Times New Roman" w:eastAsia="方正仿宋_GBK"/>
          <w:sz w:val="32"/>
          <w:szCs w:val="32"/>
          <w:shd w:val="clear" w:color="auto" w:fill="FFFFFF"/>
        </w:rPr>
        <w:t>1.82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与2023年度相比，增加1.82万元，增长100.0%</w:t>
      </w:r>
      <w:r>
        <w:rPr>
          <w:rFonts w:ascii="方正仿宋_GBK" w:hAnsi="方正仿宋_GBK" w:eastAsia="方正仿宋_GBK" w:cs="方正仿宋_GBK"/>
          <w:sz w:val="32"/>
          <w:szCs w:val="32"/>
          <w:shd w:val="clear" w:color="auto" w:fill="FFFFFF"/>
        </w:rPr>
        <w:t>，主要原因是出差次数增加。</w:t>
      </w:r>
    </w:p>
    <w:p>
      <w:pPr>
        <w:pStyle w:val="12"/>
        <w:autoSpaceDE w:val="0"/>
        <w:spacing w:line="556" w:lineRule="exact"/>
        <w:ind w:firstLine="640"/>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（二）机关运行经费情况说明</w:t>
      </w:r>
    </w:p>
    <w:p>
      <w:pPr>
        <w:pStyle w:val="7"/>
        <w:snapToGrid w:val="0"/>
        <w:spacing w:before="0" w:beforeAutospacing="0" w:after="0" w:afterAutospacing="0" w:line="55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2023年度本单位机关运行经费支出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万元。机关运行经费较上年支出数无增减，主要原因是中心为县政府办公室下属事业中心，无相应开支。</w:t>
      </w:r>
      <w:r>
        <w:rPr>
          <w:rFonts w:hint="default" w:ascii="Times New Roman" w:hAnsi="Times New Roman" w:eastAsia="方正仿宋_GBK"/>
          <w:sz w:val="32"/>
          <w:szCs w:val="32"/>
        </w:rPr>
        <w:t>按照部门决算列报口径，我单位不在机关运行经费统计范围之内。</w:t>
      </w:r>
    </w:p>
    <w:p>
      <w:pPr>
        <w:pStyle w:val="12"/>
        <w:autoSpaceDE w:val="0"/>
        <w:spacing w:line="556" w:lineRule="exact"/>
        <w:ind w:firstLine="640"/>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autoSpaceDE w:val="0"/>
        <w:spacing w:line="556" w:lineRule="exact"/>
        <w:ind w:firstLine="640"/>
        <w:rPr>
          <w:rFonts w:ascii="Times New Roman" w:hAnsi="Times New Roman" w:eastAsia="方正楷体_GBK"/>
          <w:sz w:val="32"/>
          <w:szCs w:val="32"/>
          <w:shd w:val="clear" w:color="auto" w:fill="FFFFFF"/>
        </w:rPr>
      </w:pPr>
      <w:r>
        <w:rPr>
          <w:rFonts w:hint="eastAsia" w:ascii="Times New Roman" w:hAnsi="Times New Roman" w:eastAsia="方正楷体_GBK"/>
          <w:sz w:val="32"/>
          <w:szCs w:val="32"/>
          <w:shd w:val="clear" w:color="auto" w:fill="FFFFFF"/>
        </w:rPr>
        <w:t>（四）政府采购支出情况说明</w:t>
      </w:r>
    </w:p>
    <w:p>
      <w:pPr>
        <w:pStyle w:val="7"/>
        <w:snapToGrid w:val="0"/>
        <w:spacing w:before="0" w:beforeAutospacing="0" w:after="0" w:afterAutospacing="0" w:line="55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pPr>
        <w:pStyle w:val="7"/>
        <w:shd w:val="clear" w:color="auto" w:fill="FFFFFF"/>
        <w:spacing w:beforeAutospacing="0" w:afterAutospacing="0" w:line="556"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ascii="Times New Roman" w:hAnsi="Times New Roman" w:eastAsia="方正黑体_GBK"/>
          <w:b w:val="0"/>
          <w:bCs/>
          <w:sz w:val="32"/>
          <w:szCs w:val="32"/>
          <w:shd w:val="clear" w:color="auto" w:fill="FFFFFF"/>
        </w:rPr>
        <w:t>五、</w:t>
      </w:r>
      <w:r>
        <w:rPr>
          <w:rStyle w:val="9"/>
          <w:rFonts w:hint="default" w:ascii="Times New Roman" w:hAnsi="Times New Roman" w:eastAsia="方正黑体_GBK"/>
          <w:b w:val="0"/>
          <w:bCs/>
          <w:sz w:val="32"/>
          <w:szCs w:val="32"/>
          <w:shd w:val="clear" w:color="auto" w:fill="FFFFFF"/>
        </w:rPr>
        <w:t>预算绩效管理情况说明</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（一）单位自评情况</w:t>
      </w:r>
    </w:p>
    <w:p>
      <w:pPr>
        <w:pStyle w:val="13"/>
        <w:autoSpaceDE w:val="0"/>
        <w:spacing w:before="0" w:beforeAutospacing="0" w:afterAutospacing="0" w:line="55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涉及项目支出资金0万元。</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（二）单位绩效评价情况</w:t>
      </w:r>
    </w:p>
    <w:p>
      <w:pPr>
        <w:pStyle w:val="13"/>
        <w:autoSpaceDE w:val="0"/>
        <w:spacing w:before="0" w:beforeAutospacing="0" w:afterAutospacing="0" w:line="55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2"/>
        <w:autoSpaceDE w:val="0"/>
        <w:spacing w:line="556"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（三）财政绩效评价情况</w:t>
      </w:r>
    </w:p>
    <w:p>
      <w:pPr>
        <w:pStyle w:val="13"/>
        <w:autoSpaceDE w:val="0"/>
        <w:spacing w:before="0" w:beforeAutospacing="0" w:afterAutospacing="0" w:line="55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县财政局未委托第三方对我单位开展绩效评价。</w:t>
      </w:r>
    </w:p>
    <w:p>
      <w:pPr>
        <w:pStyle w:val="7"/>
        <w:shd w:val="clear" w:color="auto" w:fill="FFFFFF"/>
        <w:spacing w:before="0" w:beforeAutospacing="0" w:after="0" w:afterAutospacing="0" w:line="560"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 六、专业名词解释</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7"/>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spacing w:before="0" w:beforeAutospacing="0" w:after="0" w:afterAutospacing="0" w:line="560"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  七、决算公开联系方式及信息反馈渠道</w:t>
      </w:r>
    </w:p>
    <w:p>
      <w:pPr>
        <w:pStyle w:val="12"/>
        <w:autoSpaceDE w:val="0"/>
        <w:spacing w:line="560" w:lineRule="exact"/>
        <w:ind w:firstLine="0" w:firstLineChars="0"/>
        <w:rPr>
          <w:rStyle w:val="9"/>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张晓</w:t>
      </w:r>
      <w:r>
        <w:rPr>
          <w:rFonts w:ascii="Times New Roman" w:hAnsi="Times New Roman" w:eastAsia="方正仿宋_GBK"/>
          <w:sz w:val="32"/>
          <w:szCs w:val="32"/>
          <w:shd w:val="clear" w:color="auto" w:fill="FFFFFF"/>
        </w:rPr>
        <w:t>023-766710</w:t>
      </w:r>
      <w:r>
        <w:rPr>
          <w:rFonts w:hint="eastAsia" w:ascii="Times New Roman" w:hAnsi="Times New Roman" w:eastAsia="方正仿宋_GBK"/>
          <w:sz w:val="32"/>
          <w:szCs w:val="32"/>
          <w:shd w:val="clear" w:color="auto" w:fill="FFFFFF"/>
        </w:rPr>
        <w:t>60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秀山土家族苗族自治县政府效能管理中心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秀山土家族苗族自治县政府效能管理中心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秀山土家族苗族自治县政府效能管理中心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89.49</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秀山土家族苗族自治县政府效能管理中心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C3E1A"/>
    <w:rsid w:val="000D7702"/>
    <w:rsid w:val="000F6721"/>
    <w:rsid w:val="001632EC"/>
    <w:rsid w:val="00261065"/>
    <w:rsid w:val="002D0E5A"/>
    <w:rsid w:val="002D71F4"/>
    <w:rsid w:val="002E5443"/>
    <w:rsid w:val="0032196C"/>
    <w:rsid w:val="003D3A38"/>
    <w:rsid w:val="004852DA"/>
    <w:rsid w:val="004C12FF"/>
    <w:rsid w:val="004D0390"/>
    <w:rsid w:val="00550ABE"/>
    <w:rsid w:val="005B023C"/>
    <w:rsid w:val="00600322"/>
    <w:rsid w:val="006137D7"/>
    <w:rsid w:val="006155FE"/>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5B76282"/>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AC092C"/>
    <w:rsid w:val="1ECF0A66"/>
    <w:rsid w:val="1EF67CA4"/>
    <w:rsid w:val="1F020D3A"/>
    <w:rsid w:val="1F2C5189"/>
    <w:rsid w:val="1F4B0B02"/>
    <w:rsid w:val="1FBB35CD"/>
    <w:rsid w:val="1FCD26AF"/>
    <w:rsid w:val="20642787"/>
    <w:rsid w:val="206F66E2"/>
    <w:rsid w:val="21556F04"/>
    <w:rsid w:val="22403BD3"/>
    <w:rsid w:val="23DA37D9"/>
    <w:rsid w:val="24B92327"/>
    <w:rsid w:val="24C14514"/>
    <w:rsid w:val="2533755C"/>
    <w:rsid w:val="25791755"/>
    <w:rsid w:val="26396DF4"/>
    <w:rsid w:val="26BB302A"/>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2A1CB4"/>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40749A"/>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044CDD"/>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1924</Words>
  <Characters>10967</Characters>
  <Lines>91</Lines>
  <Paragraphs>25</Paragraphs>
  <TotalTime>2</TotalTime>
  <ScaleCrop>false</ScaleCrop>
  <LinksUpToDate>false</LinksUpToDate>
  <CharactersWithSpaces>12866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行政政法科</cp:lastModifiedBy>
  <dcterms:modified xsi:type="dcterms:W3CDTF">2025-09-28T08:01:43Z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