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秀山土家族苗族自治县人民政府电子政务管理中心</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pPr>
        <w:pStyle w:val="4"/>
        <w:rPr>
          <w:rFonts w:hint="default"/>
        </w:rPr>
      </w:pPr>
      <w:bookmarkStart w:id="0" w:name="_GoBack"/>
      <w:bookmarkEnd w:id="0"/>
    </w:p>
    <w:p>
      <w:pPr>
        <w:pStyle w:val="3"/>
        <w:shd w:val="clear" w:color="auto" w:fill="FFFFFF"/>
        <w:spacing w:before="0" w:beforeAutospacing="0" w:after="0" w:afterAutospacing="0" w:line="560" w:lineRule="exact"/>
        <w:ind w:firstLine="640" w:firstLineChars="200"/>
        <w:rPr>
          <w:rFonts w:hint="default" w:ascii="方正黑体_GBK" w:hAnsi="方正黑体_GBK" w:eastAsia="方正黑体_GBK" w:cs="方正黑体_GBK"/>
          <w:bCs/>
          <w:sz w:val="32"/>
          <w:szCs w:val="32"/>
        </w:rPr>
      </w:pPr>
      <w:r>
        <w:rPr>
          <w:rStyle w:val="9"/>
          <w:rFonts w:ascii="方正黑体_GBK" w:hAnsi="方正黑体_GBK" w:eastAsia="方正黑体_GBK" w:cs="方正黑体_GBK"/>
          <w:b w:val="0"/>
          <w:bCs/>
          <w:sz w:val="32"/>
          <w:szCs w:val="32"/>
          <w:shd w:val="clear" w:color="auto" w:fill="FFFFFF"/>
        </w:rPr>
        <w:t>一、单位基本情况</w:t>
      </w:r>
    </w:p>
    <w:p>
      <w:pPr>
        <w:pStyle w:val="3"/>
        <w:shd w:val="clear" w:color="auto" w:fill="FFFFFF"/>
        <w:spacing w:before="0" w:beforeAutospacing="0" w:after="0" w:afterAutospacing="0" w:line="560" w:lineRule="exact"/>
        <w:ind w:firstLine="640" w:firstLineChars="200"/>
        <w:rPr>
          <w:rFonts w:hint="default" w:ascii="方正楷体_GBK" w:hAnsi="方正楷体_GBK" w:eastAsia="方正楷体_GBK" w:cs="方正楷体_GBK"/>
          <w:bCs/>
          <w:sz w:val="32"/>
          <w:szCs w:val="32"/>
        </w:rPr>
      </w:pPr>
      <w:r>
        <w:rPr>
          <w:rStyle w:val="9"/>
          <w:rFonts w:ascii="方正楷体_GBK" w:hAnsi="方正楷体_GBK" w:eastAsia="方正楷体_GBK" w:cs="方正楷体_GBK"/>
          <w:b w:val="0"/>
          <w:bCs/>
          <w:sz w:val="32"/>
          <w:szCs w:val="32"/>
          <w:shd w:val="clear" w:color="auto" w:fill="FFFFFF"/>
        </w:rPr>
        <w:t>（一）职能职责</w:t>
      </w:r>
    </w:p>
    <w:p>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w:t>
      </w:r>
      <w:r>
        <w:rPr>
          <w:rFonts w:hint="default" w:ascii="Times New Roman" w:hAnsi="Times New Roman" w:eastAsia="方正仿宋_GBK"/>
          <w:sz w:val="32"/>
          <w:szCs w:val="32"/>
        </w:rPr>
        <w:t>负责县政务（政府信息）公开领导小组办公室日常工作，指导、监督全县政务（政府信息）公开工作</w:t>
      </w:r>
      <w:r>
        <w:rPr>
          <w:rFonts w:hint="default" w:ascii="Times New Roman" w:hAnsi="Times New Roman" w:eastAsia="方正仿宋_GBK"/>
          <w:sz w:val="32"/>
          <w:szCs w:val="32"/>
          <w:shd w:val="clear" w:color="auto" w:fill="FFFFFF"/>
        </w:rPr>
        <w:t>。</w:t>
      </w:r>
    </w:p>
    <w:p>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会同相关部门拟定全县电子政务发展规划、战略；负责电子政务外网建设、政务服务平台管理等工作</w:t>
      </w:r>
      <w:r>
        <w:rPr>
          <w:rFonts w:hint="default" w:ascii="Times New Roman" w:hAnsi="Times New Roman" w:eastAsia="方正仿宋_GBK"/>
          <w:sz w:val="32"/>
          <w:szCs w:val="32"/>
          <w:shd w:val="clear" w:color="auto" w:fill="FFFFFF"/>
        </w:rPr>
        <w:t>。</w:t>
      </w:r>
    </w:p>
    <w:p>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w:t>
      </w:r>
      <w:r>
        <w:rPr>
          <w:rFonts w:hint="default" w:ascii="Times New Roman" w:hAnsi="Times New Roman" w:eastAsia="方正仿宋_GBK"/>
          <w:sz w:val="32"/>
          <w:szCs w:val="32"/>
        </w:rPr>
        <w:t>负责全县政府网站和政务新媒体的管理，负责县人民政府门户网站日常管理及政务门户平台的建设与管理</w:t>
      </w:r>
      <w:r>
        <w:rPr>
          <w:rFonts w:hint="default" w:ascii="Times New Roman" w:hAnsi="Times New Roman" w:eastAsia="方正仿宋_GBK"/>
          <w:sz w:val="32"/>
          <w:szCs w:val="32"/>
          <w:shd w:val="clear" w:color="auto" w:fill="FFFFFF"/>
        </w:rPr>
        <w:t>。</w:t>
      </w:r>
    </w:p>
    <w:p>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负责县政府网站及其政务门户平台的信息审核与发布工作，会同相关部门做好政府网络舆情防控及处置</w:t>
      </w:r>
      <w:r>
        <w:rPr>
          <w:rFonts w:hint="default" w:ascii="Times New Roman" w:hAnsi="Times New Roman" w:eastAsia="方正仿宋_GBK"/>
          <w:sz w:val="32"/>
          <w:szCs w:val="32"/>
          <w:shd w:val="clear" w:color="auto" w:fill="FFFFFF"/>
        </w:rPr>
        <w:t>。</w:t>
      </w:r>
    </w:p>
    <w:p>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5.</w:t>
      </w:r>
      <w:r>
        <w:rPr>
          <w:rFonts w:hint="default" w:ascii="Times New Roman" w:hAnsi="Times New Roman" w:eastAsia="方正仿宋_GBK"/>
          <w:sz w:val="32"/>
          <w:szCs w:val="32"/>
        </w:rPr>
        <w:t>配合县政府审改办推进“互联网+政务服务”工作</w:t>
      </w:r>
      <w:r>
        <w:rPr>
          <w:rFonts w:hint="default" w:ascii="Times New Roman" w:hAnsi="Times New Roman" w:eastAsia="方正仿宋_GBK"/>
          <w:sz w:val="32"/>
          <w:szCs w:val="32"/>
          <w:shd w:val="clear" w:color="auto" w:fill="FFFFFF"/>
        </w:rPr>
        <w:t>。</w:t>
      </w:r>
    </w:p>
    <w:p>
      <w:pPr>
        <w:pStyle w:val="3"/>
        <w:widowControl w:val="0"/>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w:t>
      </w:r>
      <w:r>
        <w:rPr>
          <w:rFonts w:hint="default" w:ascii="Times New Roman" w:hAnsi="Times New Roman" w:eastAsia="方正仿宋_GBK"/>
          <w:sz w:val="32"/>
          <w:szCs w:val="32"/>
        </w:rPr>
        <w:t>负责县政府和县政府领导同志交办的其他工作</w:t>
      </w:r>
      <w:r>
        <w:rPr>
          <w:rFonts w:hint="default" w:ascii="Times New Roman" w:hAnsi="Times New Roman" w:eastAsia="方正仿宋_GBK"/>
          <w:sz w:val="32"/>
          <w:szCs w:val="32"/>
          <w:shd w:val="clear" w:color="auto" w:fill="FFFFFF"/>
        </w:rPr>
        <w:t>。</w:t>
      </w:r>
    </w:p>
    <w:p>
      <w:pPr>
        <w:pStyle w:val="3"/>
        <w:shd w:val="clear" w:color="auto" w:fill="FFFFFF"/>
        <w:spacing w:before="0" w:beforeAutospacing="0" w:after="0" w:afterAutospacing="0" w:line="560" w:lineRule="exact"/>
        <w:ind w:firstLine="640" w:firstLineChars="200"/>
        <w:rPr>
          <w:rStyle w:val="9"/>
          <w:rFonts w:hint="default" w:ascii="方正楷体_GBK" w:hAnsi="方正楷体_GBK" w:eastAsia="方正楷体_GBK" w:cs="方正楷体_GBK"/>
          <w:b w:val="0"/>
          <w:bCs/>
          <w:sz w:val="32"/>
          <w:szCs w:val="32"/>
          <w:shd w:val="clear" w:color="auto" w:fill="FFFFFF"/>
        </w:rPr>
      </w:pPr>
      <w:r>
        <w:rPr>
          <w:rStyle w:val="9"/>
          <w:rFonts w:hint="default" w:ascii="方正楷体_GBK" w:hAnsi="方正楷体_GBK" w:eastAsia="方正楷体_GBK" w:cs="方正楷体_GBK"/>
          <w:b w:val="0"/>
          <w:bCs/>
          <w:sz w:val="32"/>
          <w:szCs w:val="32"/>
          <w:shd w:val="clear" w:color="auto" w:fill="FFFFFF"/>
        </w:rPr>
        <w:t>（二）机构设置</w:t>
      </w:r>
    </w:p>
    <w:p>
      <w:pPr>
        <w:pStyle w:val="3"/>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秀山土家族苗族自治县人民政府电子政务管理中心为秀山土家族苗族自治县人民政府办公室下属事业单位。</w:t>
      </w: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二、单位决算情况说明</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265.02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收、支与2023年度相比，增加41.32万元，增长18.5%</w:t>
      </w:r>
      <w:r>
        <w:rPr>
          <w:rFonts w:ascii="方正仿宋_GBK" w:hAnsi="方正仿宋_GBK" w:eastAsia="方正仿宋_GBK" w:cs="方正仿宋_GBK"/>
          <w:sz w:val="32"/>
          <w:szCs w:val="32"/>
          <w:shd w:val="clear" w:color="auto" w:fill="FFFFFF"/>
        </w:rPr>
        <w:t>，主要原因是增加项目支出和人员增加。</w:t>
      </w:r>
    </w:p>
    <w:p>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247.68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与2023年度相比，增加23.98万元，增长10.7%</w:t>
      </w:r>
      <w:r>
        <w:rPr>
          <w:rFonts w:ascii="方正仿宋_GBK" w:hAnsi="方正仿宋_GBK" w:eastAsia="方正仿宋_GBK" w:cs="方正仿宋_GBK"/>
          <w:sz w:val="32"/>
          <w:szCs w:val="32"/>
          <w:shd w:val="clear" w:color="auto" w:fill="FFFFFF"/>
        </w:rPr>
        <w:t>，主要原因是增加项目支出和人员增加。其中：财政拨款收入</w:t>
      </w:r>
      <w:r>
        <w:rPr>
          <w:rFonts w:hint="default" w:ascii="Times New Roman" w:hAnsi="Times New Roman" w:eastAsia="方正仿宋_GBK"/>
          <w:sz w:val="32"/>
          <w:szCs w:val="32"/>
          <w:shd w:val="clear" w:color="auto" w:fill="FFFFFF"/>
        </w:rPr>
        <w:t>247.68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17.34</w:t>
      </w:r>
      <w:r>
        <w:rPr>
          <w:rFonts w:ascii="方正仿宋_GBK" w:hAnsi="方正仿宋_GBK" w:eastAsia="方正仿宋_GBK" w:cs="方正仿宋_GBK"/>
          <w:sz w:val="32"/>
          <w:szCs w:val="32"/>
          <w:shd w:val="clear" w:color="auto" w:fill="FFFFFF"/>
        </w:rPr>
        <w:t>万元。</w:t>
      </w:r>
    </w:p>
    <w:p>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265.02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与2023年度相比，增加58.66万元，增长28.4%</w:t>
      </w:r>
      <w:r>
        <w:rPr>
          <w:rFonts w:ascii="方正仿宋_GBK" w:hAnsi="方正仿宋_GBK" w:eastAsia="方正仿宋_GBK" w:cs="方正仿宋_GBK"/>
          <w:sz w:val="32"/>
          <w:szCs w:val="32"/>
          <w:shd w:val="clear" w:color="auto" w:fill="FFFFFF"/>
        </w:rPr>
        <w:t>，主要原因是增加项目支出和人员增加。其中：基本支出</w:t>
      </w:r>
      <w:r>
        <w:rPr>
          <w:rFonts w:hint="default" w:ascii="Times New Roman" w:hAnsi="Times New Roman" w:eastAsia="方正仿宋_GBK"/>
          <w:sz w:val="32"/>
          <w:szCs w:val="32"/>
          <w:shd w:val="clear" w:color="auto" w:fill="FFFFFF"/>
        </w:rPr>
        <w:t>91.30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173.71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65.6%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eastAsia" w:ascii="Times New Roman" w:hAnsi="Times New Roman" w:eastAsia="方正仿宋_GBK"/>
          <w:sz w:val="32"/>
          <w:szCs w:val="32"/>
          <w:shd w:val="clear" w:color="auto" w:fill="FFFFFF"/>
          <w:lang w:val="en-US" w:eastAsia="zh-CN"/>
        </w:rPr>
        <w:t>4</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与2023年度相比，减少17.34万元，下降100.0%</w:t>
      </w:r>
      <w:r>
        <w:rPr>
          <w:rFonts w:ascii="方正仿宋_GBK" w:hAnsi="方正仿宋_GBK" w:eastAsia="方正仿宋_GBK" w:cs="方正仿宋_GBK"/>
          <w:sz w:val="32"/>
          <w:szCs w:val="32"/>
          <w:shd w:val="clear" w:color="auto" w:fill="FFFFFF"/>
        </w:rPr>
        <w:t>，主要原因是使用结转结余资金。</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265.02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财政拨款收、支总计各增加41.32万元，增长18.5%</w:t>
      </w:r>
      <w:r>
        <w:rPr>
          <w:rFonts w:ascii="方正仿宋_GBK" w:hAnsi="方正仿宋_GBK" w:eastAsia="方正仿宋_GBK" w:cs="方正仿宋_GBK"/>
          <w:sz w:val="32"/>
          <w:szCs w:val="32"/>
          <w:shd w:val="clear" w:color="auto" w:fill="FFFFFF"/>
        </w:rPr>
        <w:t>。主要原因是增加项目支出和人员增加。</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247.68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与2023年度相比，增加23.98万元，增长10.7%</w:t>
      </w:r>
      <w:r>
        <w:rPr>
          <w:rFonts w:ascii="方正仿宋_GBK" w:hAnsi="方正仿宋_GBK" w:eastAsia="方正仿宋_GBK" w:cs="方正仿宋_GBK"/>
          <w:sz w:val="32"/>
          <w:szCs w:val="32"/>
          <w:shd w:val="clear" w:color="auto" w:fill="FFFFFF"/>
        </w:rPr>
        <w:t>。主要原因是增加项目支出和人员增加。</w:t>
      </w:r>
      <w:r>
        <w:rPr>
          <w:rFonts w:hint="default" w:ascii="Times New Roman" w:hAnsi="Times New Roman" w:eastAsia="方正仿宋_GBK"/>
          <w:sz w:val="32"/>
          <w:szCs w:val="32"/>
          <w:shd w:val="clear" w:color="auto" w:fill="FFFFFF"/>
        </w:rPr>
        <w:t>较年初预算数增加31.31万元，增长14.5%</w:t>
      </w:r>
      <w:r>
        <w:rPr>
          <w:rFonts w:ascii="方正仿宋_GBK" w:hAnsi="方正仿宋_GBK" w:eastAsia="方正仿宋_GBK" w:cs="方正仿宋_GBK"/>
          <w:sz w:val="32"/>
          <w:szCs w:val="32"/>
          <w:shd w:val="clear" w:color="auto" w:fill="FFFFFF"/>
        </w:rPr>
        <w:t>。主要原因是增加项目支出和人员增加。此外，年初财政拨款结转和结余</w:t>
      </w:r>
      <w:r>
        <w:rPr>
          <w:rFonts w:hint="default" w:ascii="Times New Roman" w:hAnsi="Times New Roman" w:eastAsia="方正仿宋_GBK"/>
          <w:sz w:val="32"/>
          <w:szCs w:val="32"/>
          <w:shd w:val="clear" w:color="auto" w:fill="FFFFFF"/>
        </w:rPr>
        <w:t>17.34</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265.02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与2023年度相比，增加58.66万元，增长28.4%</w:t>
      </w:r>
      <w:r>
        <w:rPr>
          <w:rFonts w:ascii="方正仿宋_GBK" w:hAnsi="方正仿宋_GBK" w:eastAsia="方正仿宋_GBK" w:cs="方正仿宋_GBK"/>
          <w:sz w:val="32"/>
          <w:szCs w:val="32"/>
          <w:shd w:val="clear" w:color="auto" w:fill="FFFFFF"/>
        </w:rPr>
        <w:t>。主要原因是增加项目支出和人员增加。</w:t>
      </w:r>
      <w:r>
        <w:rPr>
          <w:rFonts w:hint="default" w:ascii="Times New Roman" w:hAnsi="Times New Roman" w:eastAsia="方正仿宋_GBK"/>
          <w:sz w:val="32"/>
          <w:szCs w:val="32"/>
          <w:shd w:val="clear" w:color="auto" w:fill="FFFFFF"/>
        </w:rPr>
        <w:t>较年初预算数增加48.65万元，增长22.5%</w:t>
      </w:r>
      <w:r>
        <w:rPr>
          <w:rFonts w:ascii="方正仿宋_GBK" w:hAnsi="方正仿宋_GBK" w:eastAsia="方正仿宋_GBK" w:cs="方正仿宋_GBK"/>
          <w:sz w:val="32"/>
          <w:szCs w:val="32"/>
          <w:shd w:val="clear" w:color="auto" w:fill="FFFFFF"/>
        </w:rPr>
        <w:t>。主要原因是增加项目支出和人员增加。</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238.47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较年初预算数增加32.30万元，增长15.7%</w:t>
      </w:r>
      <w:r>
        <w:rPr>
          <w:rFonts w:ascii="方正仿宋_GBK" w:hAnsi="方正仿宋_GBK" w:eastAsia="方正仿宋_GBK" w:cs="方正仿宋_GBK"/>
          <w:sz w:val="32"/>
          <w:szCs w:val="32"/>
          <w:shd w:val="clear" w:color="auto" w:fill="FFFFFF"/>
        </w:rPr>
        <w:t>，主要原因是增加项目支出和人员增加。</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21.32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较年初预算数增加16.37万元，增长330.7%</w:t>
      </w:r>
      <w:r>
        <w:rPr>
          <w:rFonts w:ascii="方正仿宋_GBK" w:hAnsi="方正仿宋_GBK" w:eastAsia="方正仿宋_GBK" w:cs="方正仿宋_GBK"/>
          <w:sz w:val="32"/>
          <w:szCs w:val="32"/>
          <w:shd w:val="clear" w:color="auto" w:fill="FFFFFF"/>
        </w:rPr>
        <w:t>，主要原因是人员变动。</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较年初预算数减少0.04万元，下降1.4%</w:t>
      </w:r>
      <w:r>
        <w:rPr>
          <w:rFonts w:ascii="方正仿宋_GBK" w:hAnsi="方正仿宋_GBK" w:eastAsia="方正仿宋_GBK" w:cs="方正仿宋_GBK"/>
          <w:sz w:val="32"/>
          <w:szCs w:val="32"/>
          <w:shd w:val="clear" w:color="auto" w:fill="FFFFFF"/>
        </w:rPr>
        <w:t>，主要原因是人员变动。</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，主要原因是收支持平。</w:t>
      </w:r>
    </w:p>
    <w:p>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与2023年度相比，减少17.34万元，下降100.0%</w:t>
      </w:r>
      <w:r>
        <w:rPr>
          <w:rFonts w:ascii="方正仿宋_GBK" w:hAnsi="方正仿宋_GBK" w:eastAsia="方正仿宋_GBK" w:cs="方正仿宋_GBK"/>
          <w:sz w:val="32"/>
          <w:szCs w:val="32"/>
          <w:shd w:val="clear" w:color="auto" w:fill="FFFFFF"/>
        </w:rPr>
        <w:t>，主要原因是使用结转结余资金。</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91.30</w:t>
      </w:r>
      <w:r>
        <w:rPr>
          <w:rFonts w:ascii="方正仿宋_GBK" w:hAnsi="方正仿宋_GBK" w:eastAsia="方正仿宋_GBK" w:cs="方正仿宋_GBK"/>
          <w:sz w:val="32"/>
          <w:szCs w:val="32"/>
          <w:shd w:val="clear" w:color="auto" w:fill="FFFFFF"/>
        </w:rPr>
        <w:t>万元。</w:t>
      </w:r>
    </w:p>
    <w:p>
      <w:pPr>
        <w:pStyle w:val="3"/>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76.30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与2023年度相比，增加37.30万元，增长95.6%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人员变动。</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基本工资、津贴补贴、奖金、社会保障缴费等。</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与2023年度相比，增加6.10万元，增长68.5%</w:t>
      </w:r>
      <w:r>
        <w:rPr>
          <w:rFonts w:ascii="方正仿宋_GBK" w:hAnsi="方正仿宋_GBK" w:eastAsia="方正仿宋_GBK" w:cs="方正仿宋_GBK"/>
          <w:sz w:val="32"/>
          <w:szCs w:val="32"/>
          <w:shd w:val="clear" w:color="auto" w:fill="FFFFFF"/>
        </w:rPr>
        <w:t>，主要原因是是</w:t>
      </w:r>
      <w:r>
        <w:rPr>
          <w:rFonts w:ascii="Times New Roman" w:hAnsi="Times New Roman" w:eastAsia="方正仿宋_GBK"/>
          <w:sz w:val="32"/>
          <w:szCs w:val="32"/>
          <w:shd w:val="clear" w:color="auto" w:fill="FFFFFF"/>
        </w:rPr>
        <w:t>人员变动。</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sz w:val="32"/>
          <w:szCs w:val="32"/>
          <w:shd w:val="clear" w:color="auto" w:fill="FFFFFF"/>
        </w:rPr>
        <w:t>办公费、印刷费、差旅费、物管费、邮电费、办公设备购置等。</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pPr>
        <w:pStyle w:val="3"/>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（六）国有资本经营预算财政拨款支出决算情况说明</w:t>
      </w:r>
    </w:p>
    <w:p>
      <w:pPr>
        <w:pStyle w:val="3"/>
        <w:shd w:val="clear" w:color="auto" w:fill="FFFFFF"/>
        <w:spacing w:before="0" w:beforeAutospacing="0" w:after="0" w:afterAutospacing="0" w:line="596" w:lineRule="exact"/>
        <w:ind w:firstLine="640" w:firstLineChars="200"/>
        <w:rPr>
          <w:rStyle w:val="9"/>
          <w:rFonts w:hint="default" w:ascii="黑体" w:hAnsi="黑体" w:eastAsia="黑体" w:cs="黑体"/>
          <w:sz w:val="32"/>
          <w:szCs w:val="32"/>
          <w:shd w:val="clear" w:color="auto" w:fill="FFFFFF"/>
        </w:rPr>
      </w:pP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r>
        <w:rPr>
          <w:rStyle w:val="9"/>
          <w:rFonts w:ascii="方正黑体_GBK" w:hAnsi="方正黑体_GBK" w:eastAsia="方正黑体_GBK" w:cs="方正黑体_GBK"/>
          <w:b w:val="0"/>
          <w:bCs/>
          <w:sz w:val="32"/>
          <w:szCs w:val="32"/>
          <w:shd w:val="clear" w:color="auto" w:fill="FFFFFF"/>
        </w:rPr>
        <w:t>三、财政拨款“三公”经费情况说明</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（一）“三公”经费支出总体情况说明</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万元，较年初预算数无增减，主要原因是中心无公务接待。较上年支出数无增减，主要原因是中心无公务接待。</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（二）“三公”经费分项支出情况</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万元，主要是用于未产生因公出国（境）费用。支出较年初预算数无增减，主要原因是未产生因公出国（境）费用。较上年支出数无增减，主要原因是未产生因公出国（境）费用。</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万元。费用支出较年初预算数无增减，主要原因是中心无公务车。较上年支出数无增减，主要原因是中心无公务车。</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万元。费用支出较年初预算数无增减，主要原因是中心无公务车。较上年支出数无增减，主要原因是中心无公务车。</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万元。费用支出较年初预算数无增减，主要原因是中心无公务接待。较上年支出数无增减，主要原因是中心无公务接待。</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（三）“三公”经费实物量情况</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四、其他需要说明的事项</w:t>
      </w:r>
    </w:p>
    <w:p>
      <w:pPr>
        <w:pStyle w:val="3"/>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（一）财政拨款会议费、培训费和差旅费情况说明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中心无会议支出。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中心无培训支出。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中心无</w:t>
      </w:r>
      <w:r>
        <w:rPr>
          <w:rFonts w:ascii="Times New Roman" w:hAnsi="Times New Roman" w:eastAsia="方正仿宋_GBK"/>
          <w:sz w:val="32"/>
          <w:szCs w:val="32"/>
          <w:shd w:val="clear" w:color="auto" w:fill="FFFFFF"/>
        </w:rPr>
        <w:t>差旅</w:t>
      </w:r>
      <w:r>
        <w:rPr>
          <w:rFonts w:hint="default" w:ascii="Times New Roman" w:hAnsi="Times New Roman" w:eastAsia="方正仿宋_GBK"/>
          <w:sz w:val="32"/>
          <w:szCs w:val="32"/>
          <w:shd w:val="clear" w:color="auto" w:fill="FFFFFF"/>
        </w:rPr>
        <w:t>支出。</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机关运行经费较上年支出数无增减，主要原因是中心为县政府办公室下属事业中心，无相应开支。</w:t>
      </w:r>
      <w:r>
        <w:rPr>
          <w:rFonts w:hint="default" w:ascii="Times New Roman" w:hAnsi="Times New Roman" w:eastAsia="方正仿宋_GBK"/>
          <w:sz w:val="32"/>
          <w:szCs w:val="32"/>
        </w:rPr>
        <w:t>按照部门决算列报口径，我单位不在机关运行经费统计范围之内。</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年度我单位未发生政府采购事项，无相关经费支出。</w:t>
      </w:r>
    </w:p>
    <w:p>
      <w:pPr>
        <w:pStyle w:val="3"/>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color w:val="FF0000"/>
          <w:sz w:val="32"/>
          <w:szCs w:val="32"/>
          <w:shd w:val="clear" w:color="auto" w:fill="FFFFFF"/>
        </w:rPr>
      </w:pPr>
      <w:r>
        <w:rPr>
          <w:rStyle w:val="9"/>
          <w:rFonts w:ascii="方正黑体_GBK" w:hAnsi="方正黑体_GBK" w:eastAsia="方正黑体_GBK" w:cs="方正黑体_GBK"/>
          <w:b w:val="0"/>
          <w:bCs/>
          <w:sz w:val="32"/>
          <w:szCs w:val="32"/>
          <w:shd w:val="clear" w:color="auto" w:fill="FFFFFF"/>
        </w:rPr>
        <w:t>五、预算绩效管理情况说明</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（一）单位自评情况</w:t>
      </w:r>
    </w:p>
    <w:p>
      <w:pPr>
        <w:pStyle w:val="13"/>
        <w:autoSpaceDE w:val="0"/>
        <w:spacing w:before="0" w:beforeAutospacing="0" w:after="0" w:afterAutospacing="0" w:line="560"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根据预算绩效管理要求，我办对部门整体和1个二级项目开展了绩效自评，涉及财政拨款项目支出资金1</w:t>
      </w:r>
      <w:r>
        <w:rPr>
          <w:rFonts w:hint="eastAsia" w:ascii="Times New Roman" w:hAnsi="Times New Roman" w:eastAsia="方正仿宋_GBK"/>
          <w:sz w:val="32"/>
          <w:szCs w:val="32"/>
          <w:shd w:val="clear" w:color="auto" w:fill="FFFFFF"/>
        </w:rPr>
        <w:t>73.71</w:t>
      </w:r>
      <w:r>
        <w:rPr>
          <w:rFonts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rPr>
        <w:t>。</w:t>
      </w:r>
    </w:p>
    <w:tbl>
      <w:tblPr>
        <w:tblStyle w:val="10"/>
        <w:tblpPr w:leftFromText="180" w:rightFromText="180" w:vertAnchor="text" w:horzAnchor="page" w:tblpX="1814" w:tblpY="848"/>
        <w:tblOverlap w:val="never"/>
        <w:tblW w:w="8400" w:type="dxa"/>
        <w:tblInd w:w="0" w:type="dxa"/>
        <w:tblLayout w:type="fixed"/>
        <w:tblCellMar>
          <w:top w:w="15" w:type="dxa"/>
          <w:left w:w="15" w:type="dxa"/>
          <w:bottom w:w="15" w:type="dxa"/>
          <w:right w:w="15" w:type="dxa"/>
        </w:tblCellMar>
      </w:tblPr>
      <w:tblGrid>
        <w:gridCol w:w="505"/>
        <w:gridCol w:w="611"/>
        <w:gridCol w:w="2112"/>
        <w:gridCol w:w="629"/>
        <w:gridCol w:w="554"/>
        <w:gridCol w:w="629"/>
        <w:gridCol w:w="630"/>
        <w:gridCol w:w="760"/>
        <w:gridCol w:w="631"/>
        <w:gridCol w:w="629"/>
        <w:gridCol w:w="710"/>
      </w:tblGrid>
      <w:tr>
        <w:tblPrEx>
          <w:tblLayout w:type="fixed"/>
          <w:tblCellMar>
            <w:top w:w="15" w:type="dxa"/>
            <w:left w:w="15" w:type="dxa"/>
            <w:bottom w:w="15" w:type="dxa"/>
            <w:right w:w="15" w:type="dxa"/>
          </w:tblCellMar>
        </w:tblPrEx>
        <w:trPr>
          <w:trHeight w:val="1490" w:hRule="atLeast"/>
        </w:trPr>
        <w:tc>
          <w:tcPr>
            <w:tcW w:w="8400" w:type="dxa"/>
            <w:gridSpan w:val="11"/>
            <w:shd w:val="clear" w:color="auto" w:fill="auto"/>
            <w:vAlign w:val="center"/>
          </w:tcPr>
          <w:p>
            <w:pPr>
              <w:pStyle w:val="4"/>
              <w:jc w:val="both"/>
              <w:rPr>
                <w:rFonts w:hint="default" w:cs="宋体"/>
                <w:b/>
                <w:sz w:val="32"/>
                <w:szCs w:val="32"/>
                <w:lang w:bidi="ar"/>
              </w:rPr>
            </w:pPr>
          </w:p>
          <w:p>
            <w:pPr>
              <w:jc w:val="center"/>
              <w:textAlignment w:val="center"/>
              <w:rPr>
                <w:rFonts w:hint="default" w:cs="宋体"/>
                <w:b/>
                <w:sz w:val="32"/>
                <w:szCs w:val="32"/>
              </w:rPr>
            </w:pPr>
            <w:r>
              <w:rPr>
                <w:rFonts w:cs="宋体"/>
                <w:b/>
                <w:sz w:val="32"/>
                <w:szCs w:val="32"/>
                <w:lang w:bidi="ar"/>
              </w:rPr>
              <w:t>秀山县电子政务管理中心2024年度项目支出</w:t>
            </w:r>
            <w:r>
              <w:rPr>
                <w:rFonts w:cs="宋体"/>
                <w:b/>
                <w:sz w:val="32"/>
                <w:szCs w:val="32"/>
                <w:lang w:bidi="ar"/>
              </w:rPr>
              <w:br w:type="textWrapping"/>
            </w:r>
            <w:r>
              <w:rPr>
                <w:rFonts w:cs="宋体"/>
                <w:b/>
                <w:sz w:val="32"/>
                <w:szCs w:val="32"/>
                <w:lang w:bidi="ar"/>
              </w:rPr>
              <w:t>绩效自评情况表（二级项目）</w:t>
            </w:r>
          </w:p>
        </w:tc>
      </w:tr>
      <w:tr>
        <w:tblPrEx>
          <w:tblLayout w:type="fixed"/>
          <w:tblCellMar>
            <w:top w:w="15" w:type="dxa"/>
            <w:left w:w="15" w:type="dxa"/>
            <w:bottom w:w="15" w:type="dxa"/>
            <w:right w:w="15" w:type="dxa"/>
          </w:tblCellMar>
        </w:tblPrEx>
        <w:trPr>
          <w:trHeight w:val="104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序号</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项目名称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指标名称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计量单位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指标权重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指标得分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说明</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自评得分</w:t>
            </w:r>
          </w:p>
        </w:tc>
      </w:tr>
      <w:tr>
        <w:tblPrEx>
          <w:tblLayout w:type="fixed"/>
          <w:tblCellMar>
            <w:top w:w="15" w:type="dxa"/>
            <w:left w:w="15" w:type="dxa"/>
            <w:bottom w:w="15" w:type="dxa"/>
            <w:right w:w="15" w:type="dxa"/>
          </w:tblCellMar>
        </w:tblPrEx>
        <w:trPr>
          <w:trHeight w:val="820" w:hRule="atLeast"/>
        </w:trPr>
        <w:tc>
          <w:tcPr>
            <w:tcW w:w="505"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rPr>
              <w:t>1</w:t>
            </w:r>
          </w:p>
        </w:tc>
        <w:tc>
          <w:tcPr>
            <w:tcW w:w="611"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rPr>
              <w:t>电子政务外网运行</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年度预算执行率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三级等保测评率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网络线路故障率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满足承载所有在网业务及视频会议</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r>
      <w:tr>
        <w:tblPrEx>
          <w:tblLayout w:type="fixed"/>
          <w:tblCellMar>
            <w:top w:w="15" w:type="dxa"/>
            <w:left w:w="15" w:type="dxa"/>
            <w:bottom w:w="15" w:type="dxa"/>
            <w:right w:w="15" w:type="dxa"/>
          </w:tblCellMar>
        </w:tblPrEx>
        <w:trPr>
          <w:trHeight w:val="820" w:hRule="atLeast"/>
        </w:trPr>
        <w:tc>
          <w:tcPr>
            <w:tcW w:w="505"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全年网络建设经费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425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425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bl>
    <w:p>
      <w:pPr>
        <w:rPr>
          <w:rFonts w:hint="default"/>
        </w:rPr>
      </w:pPr>
    </w:p>
    <w:p>
      <w:pPr>
        <w:pStyle w:val="13"/>
        <w:autoSpaceDE w:val="0"/>
        <w:spacing w:before="0" w:beforeAutospacing="0" w:after="0" w:afterAutospacing="0" w:line="560" w:lineRule="exact"/>
        <w:ind w:firstLine="640" w:firstLineChars="200"/>
        <w:jc w:val="both"/>
        <w:rPr>
          <w:rFonts w:ascii="Times New Roman" w:hAnsi="Times New Roman" w:eastAsia="方正仿宋_GBK"/>
          <w:sz w:val="32"/>
          <w:szCs w:val="32"/>
          <w:shd w:val="clear" w:color="auto" w:fill="FFFFFF"/>
        </w:rPr>
      </w:pP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（二）单位绩效评价情况</w:t>
      </w:r>
    </w:p>
    <w:p>
      <w:pPr>
        <w:pStyle w:val="15"/>
        <w:autoSpaceDE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我单位对对电子政务外网运行开展了绩效评价，涉及财政拨款项目资金1</w:t>
      </w:r>
      <w:r>
        <w:rPr>
          <w:rFonts w:hint="eastAsia" w:ascii="Times New Roman" w:hAnsi="Times New Roman" w:eastAsia="方正仿宋_GBK"/>
          <w:sz w:val="32"/>
          <w:szCs w:val="32"/>
          <w:shd w:val="clear" w:color="auto" w:fill="FFFFFF"/>
        </w:rPr>
        <w:t>73.71</w:t>
      </w:r>
      <w:r>
        <w:rPr>
          <w:rFonts w:ascii="Times New Roman" w:hAnsi="Times New Roman" w:eastAsia="方正仿宋_GBK"/>
          <w:sz w:val="32"/>
          <w:szCs w:val="32"/>
          <w:shd w:val="clear" w:color="auto" w:fill="FFFFFF"/>
        </w:rPr>
        <w:t>万元，评价得分100分，评价等次为优。</w:t>
      </w:r>
    </w:p>
    <w:p>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pPr>
        <w:pStyle w:val="3"/>
        <w:snapToGrid w:val="0"/>
        <w:spacing w:before="0" w:beforeAutospacing="0" w:after="0" w:afterAutospacing="0" w:line="596"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县财政局未委托第三方对我单位开展绩效评价。</w:t>
      </w:r>
    </w:p>
    <w:p>
      <w:pPr>
        <w:pStyle w:val="4"/>
        <w:rPr>
          <w:rFonts w:hint="default" w:ascii="Times New Roman" w:hAnsi="Times New Roman" w:eastAsia="方正仿宋_GBK"/>
          <w:sz w:val="32"/>
          <w:szCs w:val="32"/>
          <w:shd w:val="clear" w:color="auto" w:fill="FFFFFF"/>
        </w:rPr>
      </w:pPr>
    </w:p>
    <w:p>
      <w:pPr>
        <w:pStyle w:val="3"/>
        <w:shd w:val="clear" w:color="auto" w:fill="FFFFFF"/>
        <w:spacing w:before="0" w:beforeAutospacing="0" w:after="0" w:afterAutospacing="0" w:line="560" w:lineRule="exact"/>
        <w:ind w:firstLine="640" w:firstLineChars="200"/>
        <w:rPr>
          <w:rStyle w:val="9"/>
          <w:rFonts w:hint="default" w:ascii="方正黑体_GBK" w:hAnsi="方正黑体_GBK" w:eastAsia="方正黑体_GBK" w:cs="方正黑体_GBK"/>
          <w:b w:val="0"/>
          <w:bCs/>
          <w:sz w:val="32"/>
          <w:szCs w:val="32"/>
          <w:shd w:val="clear" w:color="auto" w:fill="FFFFFF"/>
        </w:rPr>
      </w:pPr>
      <w:r>
        <w:rPr>
          <w:rStyle w:val="9"/>
          <w:rFonts w:ascii="方正黑体_GBK" w:hAnsi="方正黑体_GBK" w:eastAsia="方正黑体_GBK" w:cs="方正黑体_GBK"/>
          <w:b w:val="0"/>
          <w:bCs/>
          <w:sz w:val="32"/>
          <w:szCs w:val="32"/>
          <w:shd w:val="clear" w:color="auto" w:fill="FFFFFF"/>
        </w:rPr>
        <w:t>六、专业名词解释</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 （十七）其他资本性支出（支出经济分类科目类级）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3"/>
        <w:shd w:val="clear" w:color="auto" w:fill="FFFFFF"/>
        <w:spacing w:before="0" w:beforeAutospacing="0" w:after="0" w:afterAutospacing="0" w:line="560" w:lineRule="exact"/>
        <w:ind w:firstLine="643" w:firstLineChars="200"/>
        <w:rPr>
          <w:rStyle w:val="9"/>
          <w:rFonts w:hint="default" w:ascii="Times New Roman" w:hAnsi="Times New Roman" w:eastAsia="方正仿宋_GBK"/>
          <w:sz w:val="32"/>
          <w:szCs w:val="32"/>
          <w:shd w:val="clear" w:color="auto" w:fill="FFFFFF"/>
        </w:rPr>
      </w:pPr>
      <w:r>
        <w:rPr>
          <w:rStyle w:val="9"/>
          <w:rFonts w:hint="default" w:ascii="Times New Roman" w:hAnsi="Times New Roman" w:eastAsia="方正仿宋_GBK"/>
          <w:sz w:val="32"/>
          <w:szCs w:val="32"/>
          <w:shd w:val="clear" w:color="auto" w:fill="FFFFFF"/>
        </w:rPr>
        <w:t>  七、决算公开联系方式及信息反馈渠道</w:t>
      </w:r>
    </w:p>
    <w:p>
      <w:pPr>
        <w:pStyle w:val="12"/>
        <w:autoSpaceDE w:val="0"/>
        <w:spacing w:line="560" w:lineRule="exact"/>
        <w:ind w:firstLine="0" w:firstLineChars="0"/>
        <w:rPr>
          <w:rStyle w:val="9"/>
          <w:rFonts w:ascii="Times New Roman" w:hAnsi="Times New Roman" w:eastAsia="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w:t>
      </w:r>
      <w:r>
        <w:rPr>
          <w:rFonts w:hint="eastAsia" w:ascii="Times New Roman" w:hAnsi="Times New Roman" w:eastAsia="方正仿宋_GBK"/>
          <w:sz w:val="32"/>
          <w:szCs w:val="32"/>
          <w:shd w:val="clear" w:color="auto" w:fill="FFFFFF"/>
        </w:rPr>
        <w:t>张晓023-76671060</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秀山土家族苗族自治县政府效能管理中心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秀山土家族苗族自治县政府效能管理中心</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rPr>
                <w:rFonts w:hint="default" w:cs="宋体"/>
                <w:b/>
                <w:color w:val="000000"/>
                <w:sz w:val="32"/>
                <w:szCs w:val="32"/>
              </w:rPr>
            </w:pPr>
            <w:r>
              <w:rPr>
                <w:rFonts w:cs="宋体"/>
                <w:sz w:val="20"/>
                <w:szCs w:val="20"/>
              </w:rPr>
              <w:br w:type="page"/>
            </w: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秀山土家族苗族自治县政府效能管理中心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sz w:val="21"/>
                <w:szCs w:val="21"/>
              </w:rPr>
              <w:br w:type="page"/>
            </w: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94.05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76.87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89.49</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秀山土家族苗族自治县政府效能管理中心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秀山土家族苗族自治县政府效能管理中心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A78CD"/>
    <w:rsid w:val="000C01CC"/>
    <w:rsid w:val="000D7702"/>
    <w:rsid w:val="000F6721"/>
    <w:rsid w:val="001632EC"/>
    <w:rsid w:val="00261065"/>
    <w:rsid w:val="002D0E5A"/>
    <w:rsid w:val="002D71F4"/>
    <w:rsid w:val="002E5443"/>
    <w:rsid w:val="0032196C"/>
    <w:rsid w:val="004852DA"/>
    <w:rsid w:val="004C12FF"/>
    <w:rsid w:val="004D0390"/>
    <w:rsid w:val="00536BA1"/>
    <w:rsid w:val="00550ABE"/>
    <w:rsid w:val="005B023C"/>
    <w:rsid w:val="005D7B44"/>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AC7CD2"/>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B245E5"/>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6B43FC"/>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7ED3192"/>
    <w:rsid w:val="5842572D"/>
    <w:rsid w:val="58E130E8"/>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Normal (Web)"/>
    <w:basedOn w:val="1"/>
    <w:next w:val="4"/>
    <w:unhideWhenUsed/>
    <w:qFormat/>
    <w:uiPriority w:val="0"/>
    <w:pPr>
      <w:spacing w:before="100" w:beforeAutospacing="1" w:after="100" w:afterAutospacing="1"/>
    </w:p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5"/>
    <w:qFormat/>
    <w:uiPriority w:val="0"/>
    <w:rPr>
      <w:rFonts w:ascii="宋体" w:hAnsi="宋体"/>
      <w:sz w:val="18"/>
      <w:szCs w:val="18"/>
    </w:rPr>
  </w:style>
  <w:style w:type="paragraph" w:customStyle="1" w:styleId="17">
    <w:name w:val="列出段落3"/>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1971</Words>
  <Characters>11237</Characters>
  <Lines>93</Lines>
  <Paragraphs>26</Paragraphs>
  <TotalTime>17</TotalTime>
  <ScaleCrop>false</ScaleCrop>
  <LinksUpToDate>false</LinksUpToDate>
  <CharactersWithSpaces>13182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行政政法科</cp:lastModifiedBy>
  <dcterms:modified xsi:type="dcterms:W3CDTF">2025-09-28T07:57:47Z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