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margin" w:tblpXSpec="center" w:tblpY="2"/>
        <w:tblOverlap w:val="never"/>
        <w:tblW w:w="8833" w:type="dxa"/>
        <w:jc w:val="center"/>
        <w:tblInd w:w="0" w:type="dxa"/>
        <w:tblLayout w:type="fixed"/>
        <w:tblCellMar>
          <w:top w:w="0" w:type="dxa"/>
          <w:left w:w="108" w:type="dxa"/>
          <w:bottom w:w="0" w:type="dxa"/>
          <w:right w:w="108" w:type="dxa"/>
        </w:tblCellMar>
      </w:tblPr>
      <w:tblGrid>
        <w:gridCol w:w="8833"/>
      </w:tblGrid>
      <w:tr>
        <w:tblPrEx>
          <w:tblLayout w:type="fixed"/>
          <w:tblCellMar>
            <w:top w:w="0" w:type="dxa"/>
            <w:left w:w="108" w:type="dxa"/>
            <w:bottom w:w="0" w:type="dxa"/>
            <w:right w:w="108" w:type="dxa"/>
          </w:tblCellMar>
        </w:tblPrEx>
        <w:trPr>
          <w:trHeight w:val="600" w:hRule="atLeast"/>
          <w:jc w:val="center"/>
        </w:trPr>
        <w:tc>
          <w:tcPr>
            <w:tcW w:w="8833" w:type="dxa"/>
            <w:vAlign w:val="top"/>
          </w:tcPr>
          <w:p>
            <w:pPr>
              <w:spacing w:line="600" w:lineRule="exact"/>
              <w:rPr>
                <w:rFonts w:hint="eastAsia"/>
                <w:szCs w:val="32"/>
              </w:rPr>
            </w:pPr>
          </w:p>
        </w:tc>
      </w:tr>
      <w:tr>
        <w:tblPrEx>
          <w:tblLayout w:type="fixed"/>
          <w:tblCellMar>
            <w:top w:w="0" w:type="dxa"/>
            <w:left w:w="108" w:type="dxa"/>
            <w:bottom w:w="0" w:type="dxa"/>
            <w:right w:w="108" w:type="dxa"/>
          </w:tblCellMar>
        </w:tblPrEx>
        <w:trPr>
          <w:trHeight w:val="600" w:hRule="atLeast"/>
          <w:jc w:val="center"/>
        </w:trPr>
        <w:tc>
          <w:tcPr>
            <w:tcW w:w="8833" w:type="dxa"/>
            <w:vAlign w:val="top"/>
          </w:tcPr>
          <w:p>
            <w:pPr>
              <w:spacing w:line="600" w:lineRule="exact"/>
              <w:rPr>
                <w:rFonts w:hint="eastAsia" w:ascii="方正黑体_GBK" w:eastAsia="方正黑体_GBK"/>
                <w:szCs w:val="32"/>
              </w:rPr>
            </w:pPr>
          </w:p>
        </w:tc>
      </w:tr>
      <w:tr>
        <w:tblPrEx>
          <w:tblLayout w:type="fixed"/>
          <w:tblCellMar>
            <w:top w:w="0" w:type="dxa"/>
            <w:left w:w="108" w:type="dxa"/>
            <w:bottom w:w="0" w:type="dxa"/>
            <w:right w:w="108" w:type="dxa"/>
          </w:tblCellMar>
        </w:tblPrEx>
        <w:trPr>
          <w:trHeight w:val="851" w:hRule="exact"/>
          <w:jc w:val="center"/>
        </w:trPr>
        <w:tc>
          <w:tcPr>
            <w:tcW w:w="8833" w:type="dxa"/>
            <w:vAlign w:val="center"/>
          </w:tcPr>
          <w:p>
            <w:pPr>
              <w:jc w:val="center"/>
              <w:rPr>
                <w:rFonts w:hint="eastAsia" w:ascii="方正小标宋简体" w:eastAsia="方正小标宋简体"/>
                <w:color w:val="FF0000"/>
                <w:w w:val="80"/>
                <w:szCs w:val="33"/>
              </w:rPr>
            </w:pPr>
          </w:p>
        </w:tc>
      </w:tr>
      <w:tr>
        <w:tblPrEx>
          <w:tblLayout w:type="fixed"/>
          <w:tblCellMar>
            <w:top w:w="0" w:type="dxa"/>
            <w:left w:w="108" w:type="dxa"/>
            <w:bottom w:w="0" w:type="dxa"/>
            <w:right w:w="108" w:type="dxa"/>
          </w:tblCellMar>
        </w:tblPrEx>
        <w:trPr>
          <w:trHeight w:val="2495" w:hRule="exact"/>
          <w:jc w:val="center"/>
        </w:trPr>
        <w:tc>
          <w:tcPr>
            <w:tcW w:w="8833" w:type="dxa"/>
            <w:vAlign w:val="center"/>
          </w:tcPr>
          <w:p>
            <w:pPr>
              <w:jc w:val="center"/>
              <w:rPr>
                <w:rFonts w:hint="eastAsia" w:eastAsia="方正小标宋_GBK"/>
                <w:b/>
                <w:color w:val="FF0000"/>
                <w:sz w:val="130"/>
                <w:szCs w:val="130"/>
              </w:rPr>
            </w:pPr>
            <w:r>
              <w:rPr>
                <w:rFonts w:hint="eastAsia" w:ascii="方正小标宋_GBK" w:hAnsi="方正小标宋_GBK" w:eastAsia="方正小标宋_GBK" w:cs="方正小标宋_GBK"/>
                <w:bCs/>
                <w:color w:val="FF0000"/>
                <w:w w:val="38"/>
                <w:kern w:val="0"/>
                <w:sz w:val="144"/>
                <w:szCs w:val="144"/>
              </w:rPr>
              <w:t>秀山土家族苗族自治县林业局文</w:t>
            </w:r>
            <w:r>
              <w:rPr>
                <w:rFonts w:hint="eastAsia" w:ascii="方正小标宋_GBK" w:hAnsi="方正小标宋_GBK" w:eastAsia="方正小标宋_GBK" w:cs="方正小标宋_GBK"/>
                <w:bCs/>
                <w:color w:val="FF0000"/>
                <w:spacing w:val="116"/>
                <w:w w:val="38"/>
                <w:kern w:val="0"/>
                <w:sz w:val="144"/>
                <w:szCs w:val="144"/>
              </w:rPr>
              <w:t>件</w:t>
            </w:r>
          </w:p>
        </w:tc>
      </w:tr>
      <w:tr>
        <w:tblPrEx>
          <w:tblLayout w:type="fixed"/>
          <w:tblCellMar>
            <w:top w:w="0" w:type="dxa"/>
            <w:left w:w="108" w:type="dxa"/>
            <w:bottom w:w="0" w:type="dxa"/>
            <w:right w:w="108" w:type="dxa"/>
          </w:tblCellMar>
        </w:tblPrEx>
        <w:trPr>
          <w:trHeight w:val="1325" w:hRule="exact"/>
          <w:jc w:val="center"/>
        </w:trPr>
        <w:tc>
          <w:tcPr>
            <w:tcW w:w="8833" w:type="dxa"/>
            <w:vAlign w:val="bottom"/>
          </w:tcPr>
          <w:p>
            <w:pPr>
              <w:spacing w:line="540" w:lineRule="exact"/>
              <w:jc w:val="center"/>
              <w:rPr>
                <w:rFonts w:eastAsia="方正仿宋_GBK"/>
                <w:sz w:val="32"/>
                <w:szCs w:val="32"/>
              </w:rPr>
            </w:pPr>
            <w:r>
              <w:rPr>
                <w:rFonts w:eastAsia="方正仿宋_GBK"/>
                <w:sz w:val="32"/>
                <w:szCs w:val="32"/>
              </w:rPr>
              <w:t>秀山林业〔20</w:t>
            </w:r>
            <w:r>
              <w:rPr>
                <w:rFonts w:hint="eastAsia"/>
                <w:sz w:val="32"/>
                <w:szCs w:val="32"/>
                <w:lang w:val="en-US" w:eastAsia="zh-CN"/>
              </w:rPr>
              <w:t>20</w:t>
            </w:r>
            <w:r>
              <w:rPr>
                <w:rFonts w:eastAsia="方正仿宋_GBK"/>
                <w:sz w:val="32"/>
                <w:szCs w:val="32"/>
              </w:rPr>
              <w:t>〕</w:t>
            </w:r>
            <w:r>
              <w:rPr>
                <w:rFonts w:hint="eastAsia" w:eastAsia="方正仿宋_GBK"/>
                <w:sz w:val="32"/>
                <w:szCs w:val="32"/>
                <w:lang w:val="en-US" w:eastAsia="zh-CN"/>
              </w:rPr>
              <w:t>6</w:t>
            </w:r>
            <w:r>
              <w:rPr>
                <w:rFonts w:eastAsia="方正仿宋_GBK"/>
                <w:sz w:val="32"/>
                <w:szCs w:val="32"/>
              </w:rPr>
              <w:t>号</w:t>
            </w:r>
          </w:p>
          <w:p>
            <w:pPr>
              <w:spacing w:line="540" w:lineRule="exact"/>
              <w:jc w:val="center"/>
              <w:rPr>
                <w:rFonts w:hint="eastAsia"/>
                <w:sz w:val="52"/>
                <w:szCs w:val="52"/>
              </w:rPr>
            </w:pPr>
            <w:r>
              <w:rPr>
                <w:rFonts w:hint="eastAsia"/>
                <w:sz w:val="52"/>
                <w:szCs w:val="52"/>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169545</wp:posOffset>
                      </wp:positionV>
                      <wp:extent cx="5597525" cy="0"/>
                      <wp:effectExtent l="0" t="13970" r="3175" b="24130"/>
                      <wp:wrapNone/>
                      <wp:docPr id="1" name="直接连接符 1"/>
                      <wp:cNvGraphicFramePr/>
                      <a:graphic xmlns:a="http://schemas.openxmlformats.org/drawingml/2006/main">
                        <a:graphicData uri="http://schemas.microsoft.com/office/word/2010/wordprocessingShape">
                          <wps:wsp>
                            <wps:cNvCnPr/>
                            <wps:spPr>
                              <a:xfrm>
                                <a:off x="0" y="0"/>
                                <a:ext cx="559752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8pt;margin-top:13.35pt;height:0pt;width:440.75pt;z-index:251659264;mso-width-relative:page;mso-height-relative:page;" filled="f" stroked="t" coordsize="21600,21600" o:gfxdata="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fjtOI1wAAAAkBAAAPAAAA&#10;AAAAAAEAIAAAACIAAABkcnMvZG93bnJldi54bWxQSwECFAAUAAAACACHTuJAGzgtDd0BAACXAwAA&#10;DgAAAAAAAAABACAAAAAmAQAAZHJzL2Uyb0RvYy54bWxQSwUGAAAAAAYABgBZAQAAdQUAAAAA&#10;">
                      <v:fill on="f" focussize="0,0"/>
                      <v:stroke weight="2.25pt" color="#FF0000" joinstyle="round"/>
                      <v:imagedata o:title=""/>
                      <o:lock v:ext="edit" aspectratio="f"/>
                    </v:line>
                  </w:pict>
                </mc:Fallback>
              </mc:AlternateContent>
            </w:r>
          </w:p>
        </w:tc>
      </w:tr>
    </w:tbl>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秀山土家族苗族自治县林业局</w:t>
      </w:r>
    </w:p>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lang w:val="en-US" w:eastAsia="zh-CN"/>
        </w:rPr>
        <w:t>印发《秀山土家族苗族自治县公益林生态补偿及天然商品林停伐管护补助实施方案》</w:t>
      </w:r>
      <w:r>
        <w:rPr>
          <w:rFonts w:hint="eastAsia" w:ascii="方正小标宋_GBK" w:hAnsi="方正小标宋_GBK" w:eastAsia="方正小标宋_GBK" w:cs="方正小标宋_GBK"/>
          <w:sz w:val="44"/>
          <w:szCs w:val="44"/>
          <w:lang w:eastAsia="zh-CN"/>
        </w:rPr>
        <w:t>的通</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知</w:t>
      </w:r>
    </w:p>
    <w:p>
      <w:pPr>
        <w:keepNext w:val="0"/>
        <w:keepLines w:val="0"/>
        <w:pageBreakBefore w:val="0"/>
        <w:widowControl w:val="0"/>
        <w:kinsoku/>
        <w:wordWrap/>
        <w:overflowPunct/>
        <w:topLinePunct w:val="0"/>
        <w:autoSpaceDE/>
        <w:autoSpaceDN/>
        <w:bidi w:val="0"/>
        <w:adjustRightInd/>
        <w:spacing w:line="600" w:lineRule="exact"/>
        <w:ind w:right="0" w:rightChars="0" w:firstLine="632"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各街道办事处、乡镇人民政府：</w:t>
      </w:r>
    </w:p>
    <w:p>
      <w:pPr>
        <w:keepNext w:val="0"/>
        <w:keepLines w:val="0"/>
        <w:pageBreakBefore w:val="0"/>
        <w:widowControl w:val="0"/>
        <w:kinsoku/>
        <w:wordWrap/>
        <w:overflowPunct/>
        <w:topLinePunct w:val="0"/>
        <w:autoSpaceDE/>
        <w:autoSpaceDN/>
        <w:bidi w:val="0"/>
        <w:adjustRightInd/>
        <w:snapToGrid w:val="0"/>
        <w:spacing w:line="600" w:lineRule="exact"/>
        <w:ind w:right="0" w:rightChars="0" w:firstLine="632" w:firstLineChars="200"/>
        <w:jc w:val="left"/>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lang w:val="en-US" w:eastAsia="zh-CN"/>
        </w:rPr>
        <w:t>为切实做好我县公益林生态补偿及天然商品林停伐管护补助工作，及时足额兑现补偿资金，把党和政府的利农惠民政策落到实处，现制定《秀山土家族苗族自治县公益林生态补偿及天然商品林停伐管护补助实施方案》印发给你们，请遵照执行。</w:t>
      </w:r>
    </w:p>
    <w:p>
      <w:pPr>
        <w:keepNext w:val="0"/>
        <w:keepLines w:val="0"/>
        <w:pageBreakBefore w:val="0"/>
        <w:widowControl w:val="0"/>
        <w:kinsoku/>
        <w:wordWrap/>
        <w:overflowPunct/>
        <w:topLinePunct w:val="0"/>
        <w:autoSpaceDE/>
        <w:autoSpaceDN/>
        <w:bidi w:val="0"/>
        <w:adjustRightInd/>
        <w:spacing w:line="600" w:lineRule="exact"/>
        <w:ind w:right="0" w:right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ind w:right="0" w:right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pacing w:line="600" w:lineRule="exact"/>
        <w:ind w:right="0" w:rightChars="0" w:firstLine="632"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秀山土家族苗族自治县林业局</w:t>
      </w:r>
      <w:r>
        <w:rPr>
          <w:rFonts w:hint="eastAsia"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pacing w:line="600" w:lineRule="exact"/>
        <w:ind w:right="0" w:rightChars="0" w:firstLine="632" w:firstLineChars="200"/>
        <w:jc w:val="righ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lang w:val="en-US" w:eastAsia="zh-CN"/>
        </w:rPr>
        <w:t xml:space="preserve">                            2019年1月</w:t>
      </w:r>
      <w:r>
        <w:rPr>
          <w:rFonts w:hint="eastAsia" w:cs="Times New Roman"/>
          <w:sz w:val="32"/>
          <w:szCs w:val="32"/>
          <w:lang w:val="en-US" w:eastAsia="zh-CN"/>
        </w:rPr>
        <w:t>9</w:t>
      </w:r>
      <w:r>
        <w:rPr>
          <w:rFonts w:hint="default" w:ascii="Times New Roman" w:hAnsi="Times New Roman" w:eastAsia="方正仿宋_GBK" w:cs="Times New Roman"/>
          <w:sz w:val="32"/>
          <w:szCs w:val="32"/>
          <w:lang w:val="en-US" w:eastAsia="zh-CN"/>
        </w:rPr>
        <w:t>日</w:t>
      </w:r>
      <w:r>
        <w:rPr>
          <w:rFonts w:hint="eastAsia" w:cs="Times New Roman"/>
          <w:sz w:val="32"/>
          <w:szCs w:val="32"/>
          <w:lang w:val="en-US" w:eastAsia="zh-CN"/>
        </w:rPr>
        <w:t xml:space="preserve">          </w:t>
      </w:r>
    </w:p>
    <w:p>
      <w:pPr>
        <w:keepNext w:val="0"/>
        <w:keepLines w:val="0"/>
        <w:pageBreakBefore w:val="0"/>
        <w:widowControl w:val="0"/>
        <w:kinsoku/>
        <w:wordWrap/>
        <w:overflowPunct/>
        <w:topLinePunct w:val="0"/>
        <w:bidi w:val="0"/>
        <w:snapToGrid w:val="0"/>
        <w:spacing w:line="560" w:lineRule="exact"/>
        <w:ind w:right="0" w:right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bidi w:val="0"/>
        <w:snapToGrid w:val="0"/>
        <w:spacing w:line="560" w:lineRule="exact"/>
        <w:ind w:right="0" w:right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bidi w:val="0"/>
        <w:snapToGrid w:val="0"/>
        <w:spacing w:line="560" w:lineRule="exact"/>
        <w:ind w:right="0" w:right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bidi w:val="0"/>
        <w:snapToGrid w:val="0"/>
        <w:spacing w:line="560" w:lineRule="exact"/>
        <w:ind w:right="0" w:right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bidi w:val="0"/>
        <w:snapToGrid w:val="0"/>
        <w:spacing w:line="560" w:lineRule="exact"/>
        <w:ind w:right="0" w:right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bidi w:val="0"/>
        <w:snapToGrid w:val="0"/>
        <w:spacing w:line="560" w:lineRule="exact"/>
        <w:ind w:right="0" w:right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bidi w:val="0"/>
        <w:snapToGrid w:val="0"/>
        <w:spacing w:line="560" w:lineRule="exact"/>
        <w:ind w:right="0" w:right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bidi w:val="0"/>
        <w:snapToGrid w:val="0"/>
        <w:spacing w:line="560" w:lineRule="exact"/>
        <w:ind w:right="0" w:right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bidi w:val="0"/>
        <w:snapToGrid w:val="0"/>
        <w:spacing w:line="560" w:lineRule="exact"/>
        <w:ind w:right="0" w:right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bidi w:val="0"/>
        <w:snapToGrid w:val="0"/>
        <w:spacing w:line="560" w:lineRule="exact"/>
        <w:ind w:right="0" w:right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bidi w:val="0"/>
        <w:snapToGrid w:val="0"/>
        <w:spacing w:line="560" w:lineRule="exact"/>
        <w:ind w:right="0" w:right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bidi w:val="0"/>
        <w:snapToGrid w:val="0"/>
        <w:spacing w:line="560" w:lineRule="exact"/>
        <w:ind w:right="0" w:right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bidi w:val="0"/>
        <w:snapToGrid w:val="0"/>
        <w:spacing w:line="560" w:lineRule="exact"/>
        <w:ind w:right="0" w:right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bidi w:val="0"/>
        <w:snapToGrid w:val="0"/>
        <w:spacing w:line="560" w:lineRule="exact"/>
        <w:ind w:right="0" w:right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bidi w:val="0"/>
        <w:snapToGrid w:val="0"/>
        <w:spacing w:line="560" w:lineRule="exact"/>
        <w:ind w:right="0" w:right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bidi w:val="0"/>
        <w:snapToGrid w:val="0"/>
        <w:spacing w:line="560" w:lineRule="exact"/>
        <w:ind w:right="0" w:right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bidi w:val="0"/>
        <w:snapToGrid w:val="0"/>
        <w:spacing w:line="560" w:lineRule="exact"/>
        <w:ind w:right="0" w:right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秀山</w:t>
      </w:r>
      <w:r>
        <w:rPr>
          <w:rFonts w:hint="eastAsia" w:ascii="方正小标宋_GBK" w:hAnsi="方正小标宋_GBK" w:eastAsia="方正小标宋_GBK" w:cs="方正小标宋_GBK"/>
          <w:b w:val="0"/>
          <w:bCs w:val="0"/>
          <w:sz w:val="44"/>
          <w:szCs w:val="44"/>
          <w:lang w:eastAsia="zh-CN"/>
        </w:rPr>
        <w:t>土家族苗族</w:t>
      </w:r>
      <w:r>
        <w:rPr>
          <w:rFonts w:hint="eastAsia" w:ascii="方正小标宋_GBK" w:hAnsi="方正小标宋_GBK" w:eastAsia="方正小标宋_GBK" w:cs="方正小标宋_GBK"/>
          <w:b w:val="0"/>
          <w:bCs w:val="0"/>
          <w:sz w:val="44"/>
          <w:szCs w:val="44"/>
        </w:rPr>
        <w:t>自治县</w:t>
      </w:r>
    </w:p>
    <w:p>
      <w:pPr>
        <w:keepNext w:val="0"/>
        <w:keepLines w:val="0"/>
        <w:pageBreakBefore w:val="0"/>
        <w:widowControl w:val="0"/>
        <w:kinsoku/>
        <w:wordWrap/>
        <w:overflowPunct/>
        <w:topLinePunct w:val="0"/>
        <w:bidi w:val="0"/>
        <w:snapToGrid w:val="0"/>
        <w:spacing w:line="560" w:lineRule="exact"/>
        <w:ind w:right="0" w:right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公益林生态补偿及天然商品林停伐管护补助</w:t>
      </w:r>
    </w:p>
    <w:p>
      <w:pPr>
        <w:keepNext w:val="0"/>
        <w:keepLines w:val="0"/>
        <w:pageBreakBefore w:val="0"/>
        <w:widowControl w:val="0"/>
        <w:kinsoku/>
        <w:wordWrap/>
        <w:overflowPunct/>
        <w:topLinePunct w:val="0"/>
        <w:bidi w:val="0"/>
        <w:snapToGrid w:val="0"/>
        <w:spacing w:line="560" w:lineRule="exact"/>
        <w:ind w:right="0" w:rightChars="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实施方案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为切实做好我县公益林生态补偿</w:t>
      </w:r>
      <w:r>
        <w:rPr>
          <w:rFonts w:hint="default" w:ascii="Times New Roman" w:hAnsi="Times New Roman" w:eastAsia="方正仿宋_GBK" w:cs="Times New Roman"/>
          <w:sz w:val="32"/>
          <w:szCs w:val="32"/>
          <w:lang w:eastAsia="zh-CN"/>
        </w:rPr>
        <w:t>及天然商品林停伐管护补助</w:t>
      </w:r>
      <w:r>
        <w:rPr>
          <w:rFonts w:hint="default" w:ascii="Times New Roman" w:hAnsi="Times New Roman" w:eastAsia="方正仿宋_GBK" w:cs="Times New Roman"/>
          <w:sz w:val="32"/>
          <w:szCs w:val="32"/>
        </w:rPr>
        <w:t>工作，及时足额兑现补偿资金，把党和政府的利农惠民政策落到实处，</w:t>
      </w: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rPr>
        <w:t>重庆市财政局、重庆市林业局《关于印发&lt;重庆市林业</w:t>
      </w:r>
      <w:r>
        <w:rPr>
          <w:rFonts w:hint="default" w:ascii="Times New Roman" w:hAnsi="Times New Roman" w:eastAsia="方正仿宋_GBK" w:cs="Times New Roman"/>
          <w:sz w:val="32"/>
          <w:szCs w:val="32"/>
          <w:lang w:eastAsia="zh-CN"/>
        </w:rPr>
        <w:t>生态保护恢复</w:t>
      </w:r>
      <w:r>
        <w:rPr>
          <w:rFonts w:hint="default" w:ascii="Times New Roman" w:hAnsi="Times New Roman" w:eastAsia="方正仿宋_GBK" w:cs="Times New Roman"/>
          <w:sz w:val="32"/>
          <w:szCs w:val="32"/>
        </w:rPr>
        <w:t>资金管理实施细则&gt;的通知》（渝财农〔201</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162</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rPr>
        <w:t>关于做好公益林生态补偿和天然商品林停伐管护补助工作的通知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w:t>
      </w:r>
      <w:r>
        <w:rPr>
          <w:rFonts w:hint="default" w:ascii="Times New Roman" w:hAnsi="Times New Roman" w:eastAsia="方正仿宋_GBK" w:cs="Times New Roman"/>
          <w:sz w:val="32"/>
          <w:szCs w:val="32"/>
          <w:lang w:eastAsia="zh-CN"/>
        </w:rPr>
        <w:t>林天</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等文件精神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现</w:t>
      </w:r>
      <w:r>
        <w:rPr>
          <w:rFonts w:hint="default" w:ascii="Times New Roman" w:hAnsi="Times New Roman" w:eastAsia="方正仿宋_GBK" w:cs="Times New Roman"/>
          <w:sz w:val="32"/>
          <w:szCs w:val="32"/>
        </w:rPr>
        <w:t>结合我县实际，制定本方案。</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一、公益林生态补偿</w:t>
      </w:r>
      <w:r>
        <w:rPr>
          <w:rFonts w:hint="eastAsia" w:ascii="方正黑体_GBK" w:hAnsi="方正黑体_GBK" w:eastAsia="方正黑体_GBK" w:cs="方正黑体_GBK"/>
          <w:sz w:val="32"/>
          <w:szCs w:val="32"/>
          <w:lang w:eastAsia="zh-CN"/>
        </w:rPr>
        <w:t>和</w:t>
      </w:r>
      <w:r>
        <w:rPr>
          <w:rFonts w:hint="eastAsia" w:ascii="方正黑体_GBK" w:hAnsi="方正黑体_GBK" w:eastAsia="方正黑体_GBK" w:cs="方正黑体_GBK"/>
          <w:sz w:val="32"/>
          <w:szCs w:val="32"/>
        </w:rPr>
        <w:t>天然商品林停伐管护补助的对象及方式</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（一）补偿控制面积。</w:t>
      </w:r>
      <w:r>
        <w:rPr>
          <w:rFonts w:hint="default" w:ascii="Times New Roman" w:hAnsi="Times New Roman" w:eastAsia="方正仿宋_GBK" w:cs="Times New Roman"/>
          <w:sz w:val="32"/>
          <w:szCs w:val="32"/>
        </w:rPr>
        <w:t>全县集体</w:t>
      </w:r>
      <w:r>
        <w:rPr>
          <w:rFonts w:hint="default" w:ascii="Times New Roman" w:hAnsi="Times New Roman" w:eastAsia="方正仿宋_GBK" w:cs="Times New Roman"/>
          <w:sz w:val="32"/>
          <w:szCs w:val="32"/>
          <w:lang w:eastAsia="zh-CN"/>
        </w:rPr>
        <w:t>及个人</w:t>
      </w:r>
      <w:r>
        <w:rPr>
          <w:rFonts w:hint="default" w:ascii="Times New Roman" w:hAnsi="Times New Roman" w:eastAsia="方正仿宋_GBK" w:cs="Times New Roman"/>
          <w:sz w:val="32"/>
          <w:szCs w:val="32"/>
        </w:rPr>
        <w:t>所有的公益林生态补偿面积</w:t>
      </w: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49.73</w:t>
      </w:r>
      <w:r>
        <w:rPr>
          <w:rFonts w:hint="default" w:ascii="Times New Roman" w:hAnsi="Times New Roman" w:eastAsia="方正仿宋_GBK" w:cs="Times New Roman"/>
          <w:sz w:val="32"/>
          <w:szCs w:val="32"/>
        </w:rPr>
        <w:t>万亩，其中国家</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公益林13.47万亩，地方公益林1</w:t>
      </w:r>
      <w:r>
        <w:rPr>
          <w:rFonts w:hint="default" w:ascii="Times New Roman" w:hAnsi="Times New Roman" w:eastAsia="方正仿宋_GBK" w:cs="Times New Roman"/>
          <w:sz w:val="32"/>
          <w:szCs w:val="32"/>
          <w:lang w:val="en-US" w:eastAsia="zh-CN"/>
        </w:rPr>
        <w:t>36.26</w:t>
      </w:r>
      <w:r>
        <w:rPr>
          <w:rFonts w:hint="default" w:ascii="Times New Roman" w:hAnsi="Times New Roman" w:eastAsia="方正仿宋_GBK" w:cs="Times New Roman"/>
          <w:sz w:val="32"/>
          <w:szCs w:val="32"/>
        </w:rPr>
        <w:t>万亩</w:t>
      </w:r>
      <w:r>
        <w:rPr>
          <w:rFonts w:hint="default" w:ascii="Times New Roman" w:hAnsi="Times New Roman" w:eastAsia="方正仿宋_GBK" w:cs="Times New Roman"/>
          <w:sz w:val="32"/>
          <w:szCs w:val="32"/>
          <w:lang w:eastAsia="zh-CN"/>
        </w:rPr>
        <w:t>；全</w:t>
      </w:r>
      <w:r>
        <w:rPr>
          <w:rFonts w:hint="default" w:ascii="Times New Roman" w:hAnsi="Times New Roman" w:eastAsia="方正仿宋_GBK" w:cs="Times New Roman"/>
          <w:sz w:val="32"/>
          <w:szCs w:val="32"/>
        </w:rPr>
        <w:t>县集体</w:t>
      </w:r>
      <w:r>
        <w:rPr>
          <w:rFonts w:hint="default" w:ascii="Times New Roman" w:hAnsi="Times New Roman" w:eastAsia="方正仿宋_GBK" w:cs="Times New Roman"/>
          <w:sz w:val="32"/>
          <w:szCs w:val="32"/>
          <w:lang w:eastAsia="zh-CN"/>
        </w:rPr>
        <w:t>及个人</w:t>
      </w:r>
      <w:r>
        <w:rPr>
          <w:rFonts w:hint="default" w:ascii="Times New Roman" w:hAnsi="Times New Roman" w:eastAsia="方正仿宋_GBK" w:cs="Times New Roman"/>
          <w:sz w:val="32"/>
          <w:szCs w:val="32"/>
        </w:rPr>
        <w:t>所有的天然商品林停伐管护面积</w:t>
      </w: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lang w:val="en-US" w:eastAsia="zh-CN"/>
        </w:rPr>
        <w:t>25.15</w:t>
      </w:r>
      <w:r>
        <w:rPr>
          <w:rFonts w:hint="default" w:ascii="Times New Roman" w:hAnsi="Times New Roman" w:eastAsia="方正仿宋_GBK" w:cs="Times New Roman"/>
          <w:sz w:val="32"/>
          <w:szCs w:val="32"/>
        </w:rPr>
        <w:t>万亩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各乡镇（街道）面积详见</w:t>
      </w:r>
      <w:r>
        <w:rPr>
          <w:rFonts w:hint="default" w:ascii="Times New Roman" w:hAnsi="Times New Roman" w:eastAsia="方正仿宋_GBK" w:cs="Times New Roman"/>
          <w:color w:val="auto"/>
          <w:sz w:val="32"/>
          <w:szCs w:val="32"/>
        </w:rPr>
        <w:t>附</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sz w:val="32"/>
          <w:szCs w:val="32"/>
        </w:rPr>
        <w:t>。公益林</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天然商品林分解到村、组、小班及小地名的具体数据由县林业局另发至各乡镇（街道），在分解落实面积时不得突破</w:t>
      </w:r>
      <w:r>
        <w:rPr>
          <w:rFonts w:hint="default" w:ascii="Times New Roman" w:hAnsi="Times New Roman" w:eastAsia="方正仿宋_GBK" w:cs="Times New Roman"/>
          <w:sz w:val="32"/>
          <w:szCs w:val="32"/>
          <w:lang w:eastAsia="zh-CN"/>
        </w:rPr>
        <w:t>控制</w:t>
      </w:r>
      <w:r>
        <w:rPr>
          <w:rFonts w:hint="default" w:ascii="Times New Roman" w:hAnsi="Times New Roman" w:eastAsia="方正仿宋_GBK" w:cs="Times New Roman"/>
          <w:sz w:val="32"/>
          <w:szCs w:val="32"/>
        </w:rPr>
        <w:t>指标。</w:t>
      </w:r>
    </w:p>
    <w:p>
      <w:pPr>
        <w:keepNext w:val="0"/>
        <w:keepLines w:val="0"/>
        <w:pageBreakBefore w:val="0"/>
        <w:widowControl w:val="0"/>
        <w:kinsoku/>
        <w:wordWrap/>
        <w:overflowPunct/>
        <w:topLinePunct w:val="0"/>
        <w:autoSpaceDE w:val="0"/>
        <w:autoSpaceDN w:val="0"/>
        <w:bidi w:val="0"/>
        <w:adjustRightInd w:val="0"/>
        <w:spacing w:line="560" w:lineRule="exact"/>
        <w:ind w:right="0" w:rightChars="0" w:firstLine="632"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（二）补偿依据。</w:t>
      </w:r>
      <w:r>
        <w:rPr>
          <w:rFonts w:hint="default" w:ascii="Times New Roman" w:hAnsi="Times New Roman" w:eastAsia="方正仿宋_GBK" w:cs="Times New Roman"/>
          <w:sz w:val="32"/>
          <w:szCs w:val="32"/>
        </w:rPr>
        <w:t>重庆市财政局、重庆市林业局《关于印发&lt;重庆市林业</w:t>
      </w:r>
      <w:r>
        <w:rPr>
          <w:rFonts w:hint="default" w:ascii="Times New Roman" w:hAnsi="Times New Roman" w:eastAsia="方正仿宋_GBK" w:cs="Times New Roman"/>
          <w:sz w:val="32"/>
          <w:szCs w:val="32"/>
          <w:lang w:eastAsia="zh-CN"/>
        </w:rPr>
        <w:t>生态保护恢复</w:t>
      </w:r>
      <w:r>
        <w:rPr>
          <w:rFonts w:hint="default" w:ascii="Times New Roman" w:hAnsi="Times New Roman" w:eastAsia="方正仿宋_GBK" w:cs="Times New Roman"/>
          <w:sz w:val="32"/>
          <w:szCs w:val="32"/>
        </w:rPr>
        <w:t>资金管理实施细则&gt;的通知》（渝财农〔201</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162</w:t>
      </w:r>
      <w:r>
        <w:rPr>
          <w:rFonts w:hint="default" w:ascii="Times New Roman" w:hAnsi="Times New Roman" w:eastAsia="方正仿宋_GBK" w:cs="Times New Roman"/>
          <w:sz w:val="32"/>
          <w:szCs w:val="32"/>
        </w:rPr>
        <w:t>号），重庆市林业局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关于做好公益林生态补偿和天然商品林停伐管护补助工作的通知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（渝林天〔2019〕8号）</w:t>
      </w:r>
      <w:r>
        <w:rPr>
          <w:rFonts w:hint="default" w:ascii="Times New Roman" w:hAnsi="Times New Roman" w:eastAsia="方正仿宋_GBK" w:cs="Times New Roman"/>
          <w:sz w:val="32"/>
          <w:szCs w:val="32"/>
          <w:lang w:eastAsia="zh-CN"/>
        </w:rPr>
        <w:t>，重庆市林业局、重庆市财政局渝林计《关于进一步加强天然林资源保护工程管理工作的通知》（</w:t>
      </w:r>
      <w:r>
        <w:rPr>
          <w:rFonts w:hint="default" w:ascii="Times New Roman" w:hAnsi="Times New Roman" w:eastAsia="方正仿宋_GBK" w:cs="Times New Roman"/>
          <w:sz w:val="32"/>
          <w:szCs w:val="32"/>
        </w:rPr>
        <w:t>〔2019〕</w:t>
      </w:r>
      <w:r>
        <w:rPr>
          <w:rFonts w:hint="default" w:ascii="Times New Roman" w:hAnsi="Times New Roman" w:eastAsia="方正仿宋_GBK" w:cs="Times New Roman"/>
          <w:sz w:val="32"/>
          <w:szCs w:val="32"/>
          <w:lang w:eastAsia="zh-CN"/>
        </w:rPr>
        <w:t>2号）</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rPr>
        <w:t>（三）补偿标准。</w:t>
      </w:r>
      <w:r>
        <w:rPr>
          <w:rFonts w:hint="default" w:ascii="Times New Roman" w:hAnsi="Times New Roman" w:eastAsia="方正仿宋_GBK" w:cs="Times New Roman"/>
          <w:sz w:val="32"/>
          <w:szCs w:val="32"/>
        </w:rPr>
        <w:t>从201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年起，地方公益林生态补偿和天然商品林停伐管护补助实行与国家级公益林同标准，且动态调整，补偿标准为</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.75元/亩.年</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）补偿范围。</w:t>
      </w:r>
      <w:r>
        <w:rPr>
          <w:rFonts w:hint="default" w:ascii="Times New Roman" w:hAnsi="Times New Roman" w:eastAsia="方正仿宋_GBK" w:cs="Times New Roman"/>
          <w:sz w:val="32"/>
          <w:szCs w:val="32"/>
        </w:rPr>
        <w:t>公益林生态补偿</w:t>
      </w:r>
      <w:r>
        <w:rPr>
          <w:rFonts w:hint="default" w:ascii="Times New Roman" w:hAnsi="Times New Roman" w:eastAsia="方正仿宋_GBK" w:cs="Times New Roman"/>
          <w:sz w:val="32"/>
          <w:szCs w:val="32"/>
          <w:lang w:eastAsia="zh-CN"/>
        </w:rPr>
        <w:t>范围为</w:t>
      </w:r>
      <w:r>
        <w:rPr>
          <w:rFonts w:hint="default" w:ascii="Times New Roman" w:hAnsi="Times New Roman" w:eastAsia="方正仿宋_GBK" w:cs="Times New Roman"/>
          <w:sz w:val="32"/>
          <w:szCs w:val="32"/>
        </w:rPr>
        <w:t>集体和个人所有的国家公益林和地方公益林</w:t>
      </w:r>
      <w:r>
        <w:rPr>
          <w:rFonts w:hint="default" w:ascii="Times New Roman" w:hAnsi="Times New Roman" w:eastAsia="方正仿宋_GBK" w:cs="Times New Roman"/>
          <w:sz w:val="32"/>
          <w:szCs w:val="32"/>
          <w:lang w:eastAsia="zh-CN"/>
        </w:rPr>
        <w:t>，对属于</w:t>
      </w:r>
      <w:r>
        <w:rPr>
          <w:rFonts w:hint="default" w:ascii="Times New Roman" w:hAnsi="Times New Roman" w:eastAsia="方正仿宋_GBK" w:cs="Times New Roman"/>
          <w:color w:val="auto"/>
          <w:sz w:val="32"/>
          <w:szCs w:val="32"/>
          <w:lang w:eastAsia="zh-CN"/>
        </w:rPr>
        <w:t>公益林性质的</w:t>
      </w:r>
      <w:r>
        <w:rPr>
          <w:rFonts w:hint="default" w:ascii="Times New Roman" w:hAnsi="Times New Roman" w:eastAsia="方正仿宋_GBK" w:cs="Times New Roman"/>
          <w:color w:val="auto"/>
          <w:sz w:val="32"/>
          <w:szCs w:val="32"/>
        </w:rPr>
        <w:t>无林地</w:t>
      </w:r>
      <w:r>
        <w:rPr>
          <w:rFonts w:hint="default" w:ascii="Times New Roman" w:hAnsi="Times New Roman" w:eastAsia="方正仿宋_GBK" w:cs="Times New Roman"/>
          <w:color w:val="auto"/>
          <w:sz w:val="32"/>
          <w:szCs w:val="32"/>
          <w:lang w:eastAsia="zh-CN"/>
        </w:rPr>
        <w:t>不予补偿；</w:t>
      </w:r>
      <w:r>
        <w:rPr>
          <w:rFonts w:hint="default" w:ascii="Times New Roman" w:hAnsi="Times New Roman" w:eastAsia="方正仿宋_GBK" w:cs="Times New Roman"/>
          <w:sz w:val="32"/>
          <w:szCs w:val="32"/>
        </w:rPr>
        <w:t>天然商品林停伐管护</w:t>
      </w:r>
      <w:r>
        <w:rPr>
          <w:rFonts w:hint="default" w:ascii="Times New Roman" w:hAnsi="Times New Roman" w:eastAsia="方正仿宋_GBK" w:cs="Times New Roman"/>
          <w:sz w:val="32"/>
          <w:szCs w:val="32"/>
          <w:lang w:eastAsia="zh-CN"/>
        </w:rPr>
        <w:t>补助范围为林业部门管理范围内的</w:t>
      </w:r>
      <w:r>
        <w:rPr>
          <w:rFonts w:hint="default" w:ascii="Times New Roman" w:hAnsi="Times New Roman" w:eastAsia="方正仿宋_GBK" w:cs="Times New Roman"/>
          <w:sz w:val="32"/>
          <w:szCs w:val="32"/>
        </w:rPr>
        <w:t>天然商品林</w:t>
      </w:r>
      <w:r>
        <w:rPr>
          <w:rFonts w:hint="default" w:ascii="Times New Roman" w:hAnsi="Times New Roman" w:eastAsia="方正仿宋_GBK" w:cs="Times New Roman"/>
          <w:sz w:val="32"/>
          <w:szCs w:val="32"/>
          <w:lang w:eastAsia="zh-CN"/>
        </w:rPr>
        <w:t>中的乔木林。</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rPr>
        <w:t>）补偿对象。</w:t>
      </w:r>
      <w:r>
        <w:rPr>
          <w:rFonts w:hint="default" w:ascii="Times New Roman" w:hAnsi="Times New Roman" w:eastAsia="方正仿宋_GBK" w:cs="Times New Roman"/>
          <w:color w:val="auto"/>
          <w:sz w:val="32"/>
          <w:szCs w:val="32"/>
          <w:lang w:eastAsia="zh-CN"/>
        </w:rPr>
        <w:t>公益林</w:t>
      </w:r>
      <w:r>
        <w:rPr>
          <w:rFonts w:hint="default" w:ascii="Times New Roman" w:hAnsi="Times New Roman" w:eastAsia="方正仿宋_GBK" w:cs="Times New Roman"/>
          <w:sz w:val="32"/>
          <w:szCs w:val="32"/>
        </w:rPr>
        <w:t>生态补偿对象是集体和个人所有的国家公益林和地方公益林</w:t>
      </w:r>
      <w:r>
        <w:rPr>
          <w:rFonts w:hint="default" w:ascii="Times New Roman" w:hAnsi="Times New Roman" w:eastAsia="方正仿宋_GBK" w:cs="Times New Roman"/>
          <w:sz w:val="32"/>
          <w:szCs w:val="32"/>
          <w:lang w:eastAsia="zh-CN"/>
        </w:rPr>
        <w:t>（不含</w:t>
      </w:r>
      <w:r>
        <w:rPr>
          <w:rFonts w:hint="default" w:ascii="Times New Roman" w:hAnsi="Times New Roman" w:eastAsia="方正仿宋_GBK" w:cs="Times New Roman"/>
          <w:color w:val="auto"/>
          <w:sz w:val="32"/>
          <w:szCs w:val="32"/>
        </w:rPr>
        <w:t>无林地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林主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天然商品林停伐管护补助对象是</w:t>
      </w:r>
      <w:r>
        <w:rPr>
          <w:rFonts w:hint="default" w:ascii="Times New Roman" w:hAnsi="Times New Roman" w:eastAsia="方正仿宋_GBK" w:cs="Times New Roman"/>
          <w:sz w:val="32"/>
          <w:szCs w:val="32"/>
          <w:lang w:eastAsia="zh-CN"/>
        </w:rPr>
        <w:t>林业部门管理范围内的</w:t>
      </w:r>
      <w:r>
        <w:rPr>
          <w:rFonts w:hint="default" w:ascii="Times New Roman" w:hAnsi="Times New Roman" w:eastAsia="方正仿宋_GBK" w:cs="Times New Roman"/>
          <w:sz w:val="32"/>
          <w:szCs w:val="32"/>
        </w:rPr>
        <w:t>天然商品林林主。</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六</w:t>
      </w:r>
      <w:r>
        <w:rPr>
          <w:rFonts w:hint="eastAsia" w:ascii="方正楷体_GBK" w:hAnsi="方正楷体_GBK" w:eastAsia="方正楷体_GBK" w:cs="方正楷体_GBK"/>
          <w:sz w:val="32"/>
          <w:szCs w:val="32"/>
        </w:rPr>
        <w:t>）补偿方式。</w:t>
      </w:r>
      <w:r>
        <w:rPr>
          <w:rFonts w:hint="default" w:ascii="Times New Roman" w:hAnsi="Times New Roman" w:eastAsia="方正仿宋_GBK" w:cs="Times New Roman"/>
          <w:sz w:val="32"/>
          <w:szCs w:val="32"/>
        </w:rPr>
        <w:t>利用农业银行</w:t>
      </w:r>
      <w:r>
        <w:rPr>
          <w:rFonts w:hint="eastAsia" w:cs="Times New Roman"/>
          <w:sz w:val="32"/>
          <w:szCs w:val="32"/>
          <w:lang w:eastAsia="zh-CN"/>
        </w:rPr>
        <w:t>“</w:t>
      </w:r>
      <w:r>
        <w:rPr>
          <w:rFonts w:hint="default" w:ascii="Times New Roman" w:hAnsi="Times New Roman" w:eastAsia="方正仿宋_GBK" w:cs="Times New Roman"/>
          <w:sz w:val="32"/>
          <w:szCs w:val="32"/>
        </w:rPr>
        <w:t>惠农卡</w:t>
      </w:r>
      <w:r>
        <w:rPr>
          <w:rFonts w:hint="eastAsia" w:cs="Times New Roman"/>
          <w:sz w:val="32"/>
          <w:szCs w:val="32"/>
          <w:lang w:eastAsia="zh-CN"/>
        </w:rPr>
        <w:t>”</w:t>
      </w:r>
      <w:r>
        <w:rPr>
          <w:rFonts w:hint="default" w:ascii="Times New Roman" w:hAnsi="Times New Roman" w:eastAsia="方正仿宋_GBK" w:cs="Times New Roman"/>
          <w:sz w:val="32"/>
          <w:szCs w:val="32"/>
        </w:rPr>
        <w:t>支付体系进行直补</w:t>
      </w:r>
      <w:r>
        <w:rPr>
          <w:rFonts w:hint="default" w:ascii="Times New Roman" w:hAnsi="Times New Roman" w:eastAsia="方正仿宋_GBK" w:cs="Times New Roman"/>
          <w:color w:val="auto"/>
          <w:sz w:val="32"/>
          <w:szCs w:val="32"/>
        </w:rPr>
        <w:t>（乡镇填写附</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lang w:val="en-US" w:eastAsia="zh-CN"/>
        </w:rPr>
        <w:t>2、附表3）</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、落实管护责任</w:t>
      </w:r>
    </w:p>
    <w:p>
      <w:pPr>
        <w:pStyle w:val="8"/>
        <w:keepNext w:val="0"/>
        <w:keepLines w:val="0"/>
        <w:pageBreakBefore w:val="0"/>
        <w:widowControl w:val="0"/>
        <w:kinsoku/>
        <w:wordWrap/>
        <w:overflowPunct/>
        <w:topLinePunct w:val="0"/>
        <w:autoSpaceDE/>
        <w:autoSpaceDN/>
        <w:bidi w:val="0"/>
        <w:adjustRightInd w:val="0"/>
        <w:snapToGrid/>
        <w:spacing w:line="560" w:lineRule="exact"/>
        <w:ind w:right="0" w:rightChars="0" w:firstLine="632"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公益林生态补偿和天然商品林停伐管护补助资金用于林主开展自主管护。林主的自主管护责任以乡镇政府与林主或管护责任受托人签订《公益林生态补偿和天然商品林停伐管护补助合同》（见附件1）约定。林主按照合同承担管护责任的，补偿资金支付给林主；林主不能履行管护责任的，经林主签字同意，由其管护责任受托人按照《难落户公益林生态补偿和天然商品林停伐管护补助合同》（见附件2）承担管护责任的，补偿资金支付给管护责任受托人；林主不能履行管护责任又不愿意委托他人管护的，不予支付补偿资金。</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、严格检查兑现</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公益林生态补偿</w:t>
      </w:r>
      <w:r>
        <w:rPr>
          <w:rFonts w:hint="default" w:ascii="Times New Roman" w:hAnsi="Times New Roman" w:eastAsia="方正仿宋_GBK" w:cs="Times New Roman"/>
          <w:sz w:val="32"/>
          <w:szCs w:val="32"/>
          <w:lang w:eastAsia="zh-CN"/>
        </w:rPr>
        <w:t>及天然商品林停伐管护补助</w:t>
      </w:r>
      <w:r>
        <w:rPr>
          <w:rFonts w:hint="default" w:ascii="Times New Roman" w:hAnsi="Times New Roman" w:eastAsia="方正仿宋_GBK" w:cs="Times New Roman"/>
          <w:sz w:val="32"/>
          <w:szCs w:val="32"/>
        </w:rPr>
        <w:t>通过林主提供的银行帐号每年一次性直补。各乡镇（街道）在兑现补偿资金前对林主履行管护职责情况进行检查验收</w:t>
      </w:r>
      <w:r>
        <w:rPr>
          <w:rFonts w:hint="default" w:ascii="Times New Roman" w:hAnsi="Times New Roman" w:eastAsia="方正仿宋_GBK" w:cs="Times New Roman"/>
          <w:sz w:val="32"/>
          <w:szCs w:val="32"/>
          <w:lang w:eastAsia="zh-CN"/>
        </w:rPr>
        <w:t>，并</w:t>
      </w:r>
      <w:r>
        <w:rPr>
          <w:rFonts w:hint="default" w:ascii="Times New Roman" w:hAnsi="Times New Roman" w:eastAsia="方正仿宋_GBK" w:cs="Times New Roman"/>
          <w:sz w:val="32"/>
          <w:szCs w:val="32"/>
        </w:rPr>
        <w:t>要加强对林主自主管护</w:t>
      </w:r>
      <w:r>
        <w:rPr>
          <w:rFonts w:hint="default" w:ascii="Times New Roman" w:hAnsi="Times New Roman" w:eastAsia="方正仿宋_GBK" w:cs="Times New Roman"/>
          <w:sz w:val="32"/>
          <w:szCs w:val="32"/>
          <w:lang w:eastAsia="zh-CN"/>
        </w:rPr>
        <w:t>、停伐管护</w:t>
      </w:r>
      <w:r>
        <w:rPr>
          <w:rFonts w:hint="default" w:ascii="Times New Roman" w:hAnsi="Times New Roman" w:eastAsia="方正仿宋_GBK" w:cs="Times New Roman"/>
          <w:sz w:val="32"/>
          <w:szCs w:val="32"/>
        </w:rPr>
        <w:t>工作的检查，将检查情况以</w:t>
      </w:r>
      <w:r>
        <w:rPr>
          <w:rFonts w:hint="eastAsia" w:cs="Times New Roman"/>
          <w:sz w:val="32"/>
          <w:szCs w:val="32"/>
          <w:lang w:eastAsia="zh-CN"/>
        </w:rPr>
        <w:t>台账</w:t>
      </w:r>
      <w:r>
        <w:rPr>
          <w:rFonts w:hint="default" w:ascii="Times New Roman" w:hAnsi="Times New Roman" w:eastAsia="方正仿宋_GBK" w:cs="Times New Roman"/>
          <w:sz w:val="32"/>
          <w:szCs w:val="32"/>
        </w:rPr>
        <w:t>形式记录在案，每年根据</w:t>
      </w:r>
      <w:bookmarkStart w:id="0" w:name="_GoBack"/>
      <w:bookmarkEnd w:id="0"/>
      <w:r>
        <w:rPr>
          <w:rFonts w:hint="eastAsia" w:cs="Times New Roman"/>
          <w:sz w:val="32"/>
          <w:szCs w:val="32"/>
          <w:lang w:eastAsia="zh-CN"/>
        </w:rPr>
        <w:t>台账</w:t>
      </w:r>
      <w:r>
        <w:rPr>
          <w:rFonts w:hint="default" w:ascii="Times New Roman" w:hAnsi="Times New Roman" w:eastAsia="方正仿宋_GBK" w:cs="Times New Roman"/>
          <w:sz w:val="32"/>
          <w:szCs w:val="32"/>
        </w:rPr>
        <w:t>记录评估林主履行合同情况，并形成评估报告。经乡镇（街道）和县林业部门审核后，作为直补兑现的依据。</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、有关具体问题的处理</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（一）公益林</w:t>
      </w:r>
      <w:r>
        <w:rPr>
          <w:rFonts w:hint="default" w:ascii="Times New Roman" w:hAnsi="Times New Roman" w:eastAsia="方正仿宋_GBK" w:cs="Times New Roman"/>
          <w:sz w:val="32"/>
          <w:szCs w:val="32"/>
          <w:lang w:eastAsia="zh-CN"/>
        </w:rPr>
        <w:t>、天然商品林</w:t>
      </w:r>
      <w:r>
        <w:rPr>
          <w:rFonts w:hint="default" w:ascii="Times New Roman" w:hAnsi="Times New Roman" w:eastAsia="方正仿宋_GBK" w:cs="Times New Roman"/>
          <w:sz w:val="32"/>
          <w:szCs w:val="32"/>
        </w:rPr>
        <w:t>补偿范围和面积与林权证不吻合的，以本次</w:t>
      </w:r>
      <w:r>
        <w:rPr>
          <w:rFonts w:hint="default" w:ascii="Times New Roman" w:hAnsi="Times New Roman" w:eastAsia="方正仿宋_GBK" w:cs="Times New Roman"/>
          <w:sz w:val="32"/>
          <w:szCs w:val="32"/>
          <w:lang w:val="en-US" w:eastAsia="zh-CN"/>
        </w:rPr>
        <w:t>2017年林地变更数据</w:t>
      </w:r>
      <w:r>
        <w:rPr>
          <w:rFonts w:hint="default" w:ascii="Times New Roman" w:hAnsi="Times New Roman" w:eastAsia="方正仿宋_GBK" w:cs="Times New Roman"/>
          <w:sz w:val="32"/>
          <w:szCs w:val="32"/>
        </w:rPr>
        <w:t>提供的数据和图纸为准。</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（二）林权属于集体所有未分到户的，要召开村民会议确定利益分配方案，按照分股不分山原则，将公益林</w:t>
      </w:r>
      <w:r>
        <w:rPr>
          <w:rFonts w:hint="default" w:ascii="Times New Roman" w:hAnsi="Times New Roman" w:eastAsia="方正仿宋_GBK" w:cs="Times New Roman"/>
          <w:sz w:val="32"/>
          <w:szCs w:val="32"/>
          <w:lang w:eastAsia="zh-CN"/>
        </w:rPr>
        <w:t>、天然商品林</w:t>
      </w:r>
      <w:r>
        <w:rPr>
          <w:rFonts w:hint="default" w:ascii="Times New Roman" w:hAnsi="Times New Roman" w:eastAsia="方正仿宋_GBK" w:cs="Times New Roman"/>
          <w:sz w:val="32"/>
          <w:szCs w:val="32"/>
        </w:rPr>
        <w:t>面积落实到户，再进行登记补偿；</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（三）对有争议的林地，按林权争议调处程序处理结束后，再进行登记补偿；争议未得到解决的，暂不予补偿。</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（四）林地林木发生流转或地权林权分离的，按双方协议约定实施补偿。</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lang w:val="en-US" w:eastAsia="zh-CN"/>
        </w:rPr>
        <w:t>对暂不能直补到户的，统一由委托村（居）委会代管（参考</w:t>
      </w: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，其补偿资金一律由属地乡镇（街道）政府财政所监管，但</w:t>
      </w:r>
      <w:r>
        <w:rPr>
          <w:rFonts w:hint="default" w:ascii="Times New Roman" w:hAnsi="Times New Roman" w:eastAsia="方正仿宋_GBK" w:cs="Times New Roman"/>
          <w:sz w:val="32"/>
          <w:szCs w:val="32"/>
          <w:lang w:eastAsia="zh-CN"/>
        </w:rPr>
        <w:t>资金使用必须与相关权利人商议后形成正式方案，报属地乡镇（街道）政府审核同意后实施</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）有下列情况之一的，不予进行补偿：一是违法征占用</w:t>
      </w:r>
      <w:r>
        <w:rPr>
          <w:rFonts w:hint="default" w:ascii="Times New Roman" w:hAnsi="Times New Roman" w:eastAsia="方正仿宋_GBK" w:cs="Times New Roman"/>
          <w:sz w:val="32"/>
          <w:szCs w:val="32"/>
          <w:lang w:eastAsia="zh-CN"/>
        </w:rPr>
        <w:t>林地</w:t>
      </w:r>
      <w:r>
        <w:rPr>
          <w:rFonts w:hint="default" w:ascii="Times New Roman" w:hAnsi="Times New Roman" w:eastAsia="方正仿宋_GBK" w:cs="Times New Roman"/>
          <w:sz w:val="32"/>
          <w:szCs w:val="32"/>
        </w:rPr>
        <w:t>的；二是违反天保管理规定，导致森林火灾、乱砍滥伐、乱捕乱猎及发生森林病虫害未及时上报处理和防治的；三是有其他违反林业法律法规行为的。</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、工作步骤及时间安排</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（一）准备阶段(</w:t>
      </w:r>
      <w:r>
        <w:rPr>
          <w:rFonts w:hint="eastAsia" w:ascii="方正楷体_GBK" w:hAnsi="方正楷体_GBK" w:eastAsia="方正楷体_GBK" w:cs="方正楷体_GBK"/>
          <w:sz w:val="32"/>
          <w:szCs w:val="32"/>
          <w:lang w:val="en-US" w:eastAsia="zh-CN"/>
        </w:rPr>
        <w:t>1</w:t>
      </w:r>
      <w:r>
        <w:rPr>
          <w:rFonts w:hint="eastAsia" w:ascii="方正楷体_GBK" w:hAnsi="方正楷体_GBK" w:eastAsia="方正楷体_GBK" w:cs="方正楷体_GBK"/>
          <w:sz w:val="32"/>
          <w:szCs w:val="32"/>
        </w:rPr>
        <w:t>月</w:t>
      </w:r>
      <w:r>
        <w:rPr>
          <w:rFonts w:hint="eastAsia" w:ascii="方正楷体_GBK" w:hAnsi="方正楷体_GBK" w:eastAsia="方正楷体_GBK" w:cs="方正楷体_GBK"/>
          <w:sz w:val="32"/>
          <w:szCs w:val="32"/>
          <w:lang w:val="en-US" w:eastAsia="zh-CN"/>
        </w:rPr>
        <w:t>7</w:t>
      </w:r>
      <w:r>
        <w:rPr>
          <w:rFonts w:hint="eastAsia" w:ascii="方正楷体_GBK" w:hAnsi="方正楷体_GBK" w:eastAsia="方正楷体_GBK" w:cs="方正楷体_GBK"/>
          <w:sz w:val="32"/>
          <w:szCs w:val="32"/>
        </w:rPr>
        <w:t>日—</w:t>
      </w:r>
      <w:r>
        <w:rPr>
          <w:rFonts w:hint="eastAsia" w:ascii="方正楷体_GBK" w:hAnsi="方正楷体_GBK" w:eastAsia="方正楷体_GBK" w:cs="方正楷体_GBK"/>
          <w:sz w:val="32"/>
          <w:szCs w:val="32"/>
          <w:lang w:val="en-US" w:eastAsia="zh-CN"/>
        </w:rPr>
        <w:t>1</w:t>
      </w:r>
      <w:r>
        <w:rPr>
          <w:rFonts w:hint="eastAsia" w:ascii="方正楷体_GBK" w:hAnsi="方正楷体_GBK" w:eastAsia="方正楷体_GBK" w:cs="方正楷体_GBK"/>
          <w:sz w:val="32"/>
          <w:szCs w:val="32"/>
        </w:rPr>
        <w:t>月</w:t>
      </w:r>
      <w:r>
        <w:rPr>
          <w:rFonts w:hint="eastAsia" w:ascii="方正楷体_GBK" w:hAnsi="方正楷体_GBK" w:eastAsia="方正楷体_GBK" w:cs="方正楷体_GBK"/>
          <w:sz w:val="32"/>
          <w:szCs w:val="32"/>
          <w:lang w:val="en-US" w:eastAsia="zh-CN"/>
        </w:rPr>
        <w:t>18</w:t>
      </w:r>
      <w:r>
        <w:rPr>
          <w:rFonts w:hint="eastAsia" w:ascii="方正楷体_GBK" w:hAnsi="方正楷体_GBK" w:eastAsia="方正楷体_GBK" w:cs="方正楷体_GBK"/>
          <w:sz w:val="32"/>
          <w:szCs w:val="32"/>
        </w:rPr>
        <w:t>日)。</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街道）召开公益林生态补偿及天然商品林停伐管护补助会议，安排部署辖区内公益林生态补偿及天然商品林停伐管护补助工作，落实各村各组具体工作人员。要深入召开村组干部会议、村民大会，采取多种有效方式大力宣传相关政策，明确公益林生态补偿及天然商品林停伐管护补助的具体操作办法，做到家喻户晓。</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（二）分户登记、签订合同阶段（</w:t>
      </w:r>
      <w:r>
        <w:rPr>
          <w:rFonts w:hint="eastAsia" w:ascii="方正楷体_GBK" w:hAnsi="方正楷体_GBK" w:eastAsia="方正楷体_GBK" w:cs="方正楷体_GBK"/>
          <w:sz w:val="32"/>
          <w:szCs w:val="32"/>
          <w:lang w:val="en-US" w:eastAsia="zh-CN"/>
        </w:rPr>
        <w:t>1</w:t>
      </w:r>
      <w:r>
        <w:rPr>
          <w:rFonts w:hint="eastAsia" w:ascii="方正楷体_GBK" w:hAnsi="方正楷体_GBK" w:eastAsia="方正楷体_GBK" w:cs="方正楷体_GBK"/>
          <w:sz w:val="32"/>
          <w:szCs w:val="32"/>
        </w:rPr>
        <w:t>月</w:t>
      </w:r>
      <w:r>
        <w:rPr>
          <w:rFonts w:hint="eastAsia" w:ascii="方正楷体_GBK" w:hAnsi="方正楷体_GBK" w:eastAsia="方正楷体_GBK" w:cs="方正楷体_GBK"/>
          <w:sz w:val="32"/>
          <w:szCs w:val="32"/>
          <w:lang w:val="en-US" w:eastAsia="zh-CN"/>
        </w:rPr>
        <w:t>18</w:t>
      </w:r>
      <w:r>
        <w:rPr>
          <w:rFonts w:hint="eastAsia" w:ascii="方正楷体_GBK" w:hAnsi="方正楷体_GBK" w:eastAsia="方正楷体_GBK" w:cs="方正楷体_GBK"/>
          <w:sz w:val="32"/>
          <w:szCs w:val="32"/>
        </w:rPr>
        <w:t>日—</w:t>
      </w:r>
      <w:r>
        <w:rPr>
          <w:rFonts w:hint="eastAsia" w:ascii="方正楷体_GBK" w:hAnsi="方正楷体_GBK" w:eastAsia="方正楷体_GBK" w:cs="方正楷体_GBK"/>
          <w:sz w:val="32"/>
          <w:szCs w:val="32"/>
          <w:lang w:val="en-US" w:eastAsia="zh-CN"/>
        </w:rPr>
        <w:t>2</w:t>
      </w:r>
      <w:r>
        <w:rPr>
          <w:rFonts w:hint="eastAsia" w:ascii="方正楷体_GBK" w:hAnsi="方正楷体_GBK" w:eastAsia="方正楷体_GBK" w:cs="方正楷体_GBK"/>
          <w:sz w:val="32"/>
          <w:szCs w:val="32"/>
        </w:rPr>
        <w:t>月</w:t>
      </w:r>
      <w:r>
        <w:rPr>
          <w:rFonts w:hint="eastAsia" w:ascii="方正楷体_GBK" w:hAnsi="方正楷体_GBK" w:eastAsia="方正楷体_GBK" w:cs="方正楷体_GBK"/>
          <w:sz w:val="32"/>
          <w:szCs w:val="32"/>
          <w:lang w:val="en-US" w:eastAsia="zh-CN"/>
        </w:rPr>
        <w:t>17</w:t>
      </w:r>
      <w:r>
        <w:rPr>
          <w:rFonts w:hint="eastAsia" w:ascii="方正楷体_GBK" w:hAnsi="方正楷体_GBK" w:eastAsia="方正楷体_GBK" w:cs="方正楷体_GBK"/>
          <w:sz w:val="32"/>
          <w:szCs w:val="32"/>
        </w:rPr>
        <w:t>日）。</w:t>
      </w:r>
    </w:p>
    <w:p>
      <w:pPr>
        <w:keepNext w:val="0"/>
        <w:keepLines w:val="0"/>
        <w:pageBreakBefore w:val="0"/>
        <w:widowControl w:val="0"/>
        <w:tabs>
          <w:tab w:val="left" w:pos="1701"/>
          <w:tab w:val="left" w:pos="2127"/>
        </w:tabs>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街道）工作人员进村入组，与村组具体登记人员及广大林主现场勘界，明确公益林及天然商品林小班号、小地名、地类、四至界限、面积等，将面积落实到具体山头地块。在落实面积的基础上，开展逐户登记，准确填写林主姓名、小地名、林权证号、面积、身份证号、银行卡号等信息，填写《秀山县公益林生态补偿及天然商品林停伐管护补助面积落户确认表》（</w:t>
      </w:r>
      <w:r>
        <w:rPr>
          <w:rFonts w:hint="default" w:ascii="Times New Roman" w:hAnsi="Times New Roman" w:eastAsia="方正仿宋_GBK" w:cs="Times New Roman"/>
          <w:color w:val="auto"/>
          <w:sz w:val="32"/>
          <w:szCs w:val="32"/>
        </w:rPr>
        <w:t>见附</w:t>
      </w:r>
      <w:r>
        <w:rPr>
          <w:rFonts w:hint="default" w:ascii="Times New Roman" w:hAnsi="Times New Roman" w:eastAsia="方正仿宋_GBK" w:cs="Times New Roman"/>
          <w:color w:val="auto"/>
          <w:sz w:val="32"/>
          <w:szCs w:val="32"/>
          <w:lang w:eastAsia="zh-CN"/>
        </w:rPr>
        <w:t>件</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sz w:val="32"/>
          <w:szCs w:val="32"/>
        </w:rPr>
        <w:t>），登记完毕经审核无误后，填写《</w:t>
      </w:r>
      <w:r>
        <w:rPr>
          <w:rFonts w:hint="default" w:ascii="Times New Roman" w:hAnsi="Times New Roman" w:eastAsia="方正仿宋_GBK" w:cs="Times New Roman"/>
          <w:color w:val="auto"/>
          <w:sz w:val="32"/>
          <w:szCs w:val="32"/>
        </w:rPr>
        <w:t>秀山县公益林生态补偿及天然商品林停伐管护补助</w:t>
      </w:r>
      <w:r>
        <w:rPr>
          <w:rFonts w:hint="default" w:ascii="Times New Roman" w:hAnsi="Times New Roman" w:eastAsia="方正仿宋_GBK" w:cs="Times New Roman"/>
          <w:color w:val="auto"/>
          <w:sz w:val="32"/>
          <w:szCs w:val="32"/>
          <w:lang w:eastAsia="zh-CN"/>
        </w:rPr>
        <w:t>公示</w:t>
      </w:r>
      <w:r>
        <w:rPr>
          <w:rFonts w:hint="default" w:ascii="Times New Roman" w:hAnsi="Times New Roman" w:eastAsia="方正仿宋_GBK" w:cs="Times New Roman"/>
          <w:color w:val="auto"/>
          <w:sz w:val="32"/>
          <w:szCs w:val="32"/>
        </w:rPr>
        <w:t>表》（见附</w:t>
      </w:r>
      <w:r>
        <w:rPr>
          <w:rFonts w:hint="default" w:ascii="Times New Roman" w:hAnsi="Times New Roman" w:eastAsia="方正仿宋_GBK" w:cs="Times New Roman"/>
          <w:color w:val="auto"/>
          <w:sz w:val="32"/>
          <w:szCs w:val="32"/>
          <w:lang w:eastAsia="zh-CN"/>
        </w:rPr>
        <w:t>件</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sz w:val="32"/>
          <w:szCs w:val="32"/>
        </w:rPr>
        <w:t>）在村民小组予以公示，公示内容为管护补偿对象的姓名、管护合格面积、补偿标准和补偿金额，公示时间不得少于</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天。公示期满后，群众无异议，乡镇（街道）与林主签订公益林生态补偿和天然商品林停伐管护补助合同，明确双方权利义务。生态补偿合同一式三份，乡镇政府和林主各执一份，报县林业局存档一份。</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（三）汇总直补阶段（</w:t>
      </w:r>
      <w:r>
        <w:rPr>
          <w:rFonts w:hint="eastAsia" w:ascii="方正楷体_GBK" w:hAnsi="方正楷体_GBK" w:eastAsia="方正楷体_GBK" w:cs="方正楷体_GBK"/>
          <w:sz w:val="32"/>
          <w:szCs w:val="32"/>
          <w:lang w:val="en-US" w:eastAsia="zh-CN"/>
        </w:rPr>
        <w:t>2</w:t>
      </w:r>
      <w:r>
        <w:rPr>
          <w:rFonts w:hint="eastAsia" w:ascii="方正楷体_GBK" w:hAnsi="方正楷体_GBK" w:eastAsia="方正楷体_GBK" w:cs="方正楷体_GBK"/>
          <w:sz w:val="32"/>
          <w:szCs w:val="32"/>
        </w:rPr>
        <w:t>月</w:t>
      </w:r>
      <w:r>
        <w:rPr>
          <w:rFonts w:hint="eastAsia" w:ascii="方正楷体_GBK" w:hAnsi="方正楷体_GBK" w:eastAsia="方正楷体_GBK" w:cs="方正楷体_GBK"/>
          <w:sz w:val="32"/>
          <w:szCs w:val="32"/>
          <w:lang w:val="en-US" w:eastAsia="zh-CN"/>
        </w:rPr>
        <w:t>17</w:t>
      </w:r>
      <w:r>
        <w:rPr>
          <w:rFonts w:hint="eastAsia" w:ascii="方正楷体_GBK" w:hAnsi="方正楷体_GBK" w:eastAsia="方正楷体_GBK" w:cs="方正楷体_GBK"/>
          <w:sz w:val="32"/>
          <w:szCs w:val="32"/>
        </w:rPr>
        <w:t>日—</w:t>
      </w:r>
      <w:r>
        <w:rPr>
          <w:rFonts w:hint="eastAsia" w:ascii="方正楷体_GBK" w:hAnsi="方正楷体_GBK" w:eastAsia="方正楷体_GBK" w:cs="方正楷体_GBK"/>
          <w:sz w:val="32"/>
          <w:szCs w:val="32"/>
          <w:lang w:val="en-US" w:eastAsia="zh-CN"/>
        </w:rPr>
        <w:t>2</w:t>
      </w:r>
      <w:r>
        <w:rPr>
          <w:rFonts w:hint="eastAsia" w:ascii="方正楷体_GBK" w:hAnsi="方正楷体_GBK" w:eastAsia="方正楷体_GBK" w:cs="方正楷体_GBK"/>
          <w:sz w:val="32"/>
          <w:szCs w:val="32"/>
        </w:rPr>
        <w:t>月</w:t>
      </w:r>
      <w:r>
        <w:rPr>
          <w:rFonts w:hint="eastAsia" w:ascii="方正楷体_GBK" w:hAnsi="方正楷体_GBK" w:eastAsia="方正楷体_GBK" w:cs="方正楷体_GBK"/>
          <w:sz w:val="32"/>
          <w:szCs w:val="32"/>
          <w:lang w:val="en-US" w:eastAsia="zh-CN"/>
        </w:rPr>
        <w:t>29</w:t>
      </w:r>
      <w:r>
        <w:rPr>
          <w:rFonts w:hint="eastAsia" w:ascii="方正楷体_GBK" w:hAnsi="方正楷体_GBK" w:eastAsia="方正楷体_GBK" w:cs="方正楷体_GBK"/>
          <w:sz w:val="32"/>
          <w:szCs w:val="32"/>
        </w:rPr>
        <w:t>日）。</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乡镇（街道）根据与林主签订的</w:t>
      </w:r>
      <w:r>
        <w:rPr>
          <w:rFonts w:hint="default" w:ascii="Times New Roman" w:hAnsi="Times New Roman" w:eastAsia="方正仿宋_GBK" w:cs="Times New Roman"/>
          <w:sz w:val="32"/>
          <w:szCs w:val="32"/>
          <w:lang w:eastAsia="zh-CN"/>
        </w:rPr>
        <w:t>补偿</w:t>
      </w:r>
      <w:r>
        <w:rPr>
          <w:rFonts w:hint="default" w:ascii="Times New Roman" w:hAnsi="Times New Roman" w:eastAsia="方正仿宋_GBK" w:cs="Times New Roman"/>
          <w:sz w:val="32"/>
          <w:szCs w:val="32"/>
        </w:rPr>
        <w:t>合同，乡镇（街道）</w:t>
      </w:r>
      <w:r>
        <w:rPr>
          <w:rFonts w:hint="default" w:ascii="Times New Roman" w:hAnsi="Times New Roman" w:eastAsia="方正仿宋_GBK" w:cs="Times New Roman"/>
          <w:color w:val="auto"/>
          <w:sz w:val="32"/>
          <w:szCs w:val="32"/>
        </w:rPr>
        <w:t>填写到户的《秀山县生态补偿及天然商品林停伐管护补助资金发放清册》（见附表</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rPr>
        <w:t>同时导入公益林生态补偿和天然商品林停伐管护补助网络系统</w:t>
      </w:r>
      <w:r>
        <w:rPr>
          <w:rFonts w:hint="default" w:ascii="Times New Roman" w:hAnsi="Times New Roman" w:eastAsia="方正仿宋_GBK" w:cs="Times New Roman"/>
          <w:color w:val="auto"/>
          <w:sz w:val="32"/>
          <w:szCs w:val="32"/>
          <w:lang w:eastAsia="zh-CN"/>
        </w:rPr>
        <w:t>，并</w:t>
      </w:r>
      <w:r>
        <w:rPr>
          <w:rFonts w:hint="default" w:ascii="Times New Roman" w:hAnsi="Times New Roman" w:eastAsia="方正仿宋_GBK" w:cs="Times New Roman"/>
          <w:sz w:val="32"/>
          <w:szCs w:val="32"/>
        </w:rPr>
        <w:t>及时提交资金发放清册、补偿合同等表册到县林业局，经审核无误后通过农业银行直补兑付，提供的表册均要求提供纸质件与电子件。</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（四）立卷归档阶段（</w:t>
      </w:r>
      <w:r>
        <w:rPr>
          <w:rFonts w:hint="eastAsia" w:ascii="方正楷体_GBK" w:hAnsi="方正楷体_GBK" w:eastAsia="方正楷体_GBK" w:cs="方正楷体_GBK"/>
          <w:sz w:val="32"/>
          <w:szCs w:val="32"/>
          <w:lang w:val="en-US" w:eastAsia="zh-CN"/>
        </w:rPr>
        <w:t>3</w:t>
      </w:r>
      <w:r>
        <w:rPr>
          <w:rFonts w:hint="eastAsia" w:ascii="方正楷体_GBK" w:hAnsi="方正楷体_GBK" w:eastAsia="方正楷体_GBK" w:cs="方正楷体_GBK"/>
          <w:sz w:val="32"/>
          <w:szCs w:val="32"/>
        </w:rPr>
        <w:t>月</w:t>
      </w:r>
      <w:r>
        <w:rPr>
          <w:rFonts w:hint="eastAsia" w:ascii="方正楷体_GBK" w:hAnsi="方正楷体_GBK" w:eastAsia="方正楷体_GBK" w:cs="方正楷体_GBK"/>
          <w:sz w:val="32"/>
          <w:szCs w:val="32"/>
          <w:lang w:val="en-US" w:eastAsia="zh-CN"/>
        </w:rPr>
        <w:t>1</w:t>
      </w:r>
      <w:r>
        <w:rPr>
          <w:rFonts w:hint="eastAsia" w:ascii="方正楷体_GBK" w:hAnsi="方正楷体_GBK" w:eastAsia="方正楷体_GBK" w:cs="方正楷体_GBK"/>
          <w:sz w:val="32"/>
          <w:szCs w:val="32"/>
        </w:rPr>
        <w:t>日至</w:t>
      </w:r>
      <w:r>
        <w:rPr>
          <w:rFonts w:hint="eastAsia" w:ascii="方正楷体_GBK" w:hAnsi="方正楷体_GBK" w:eastAsia="方正楷体_GBK" w:cs="方正楷体_GBK"/>
          <w:sz w:val="32"/>
          <w:szCs w:val="32"/>
          <w:lang w:val="en-US" w:eastAsia="zh-CN"/>
        </w:rPr>
        <w:t>3</w:t>
      </w:r>
      <w:r>
        <w:rPr>
          <w:rFonts w:hint="eastAsia" w:ascii="方正楷体_GBK" w:hAnsi="方正楷体_GBK" w:eastAsia="方正楷体_GBK" w:cs="方正楷体_GBK"/>
          <w:sz w:val="32"/>
          <w:szCs w:val="32"/>
        </w:rPr>
        <w:t>月</w:t>
      </w:r>
      <w:r>
        <w:rPr>
          <w:rFonts w:hint="eastAsia" w:ascii="方正楷体_GBK" w:hAnsi="方正楷体_GBK" w:eastAsia="方正楷体_GBK" w:cs="方正楷体_GBK"/>
          <w:sz w:val="32"/>
          <w:szCs w:val="32"/>
          <w:lang w:val="en-US" w:eastAsia="zh-CN"/>
        </w:rPr>
        <w:t>6</w:t>
      </w:r>
      <w:r>
        <w:rPr>
          <w:rFonts w:hint="eastAsia" w:ascii="方正楷体_GBK" w:hAnsi="方正楷体_GBK" w:eastAsia="方正楷体_GBK" w:cs="方正楷体_GBK"/>
          <w:sz w:val="32"/>
          <w:szCs w:val="32"/>
        </w:rPr>
        <w:t>日）</w:t>
      </w:r>
      <w:r>
        <w:rPr>
          <w:rFonts w:hint="eastAsia"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补偿兑现结束后，各乡镇（街道）将公益林生态补偿兑现资料收集整理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装订成册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永久备查。资料包括公益林生态补偿和天然商品林停伐管护补助小班分户登记表、公益林生态补偿和天然商品林停伐管护补助资金发放清册、委托管护书、现场调查勘界资料、</w:t>
      </w:r>
      <w:r>
        <w:rPr>
          <w:rFonts w:hint="default" w:ascii="Times New Roman" w:hAnsi="Times New Roman" w:eastAsia="方正仿宋_GBK" w:cs="Times New Roman"/>
          <w:color w:val="auto"/>
          <w:sz w:val="32"/>
          <w:szCs w:val="32"/>
        </w:rPr>
        <w:t>村民会议记录、公益林生态补偿和天然商品林停伐管护补助合同、公益林生态补偿和天然商品林停伐管护补助直补网络系统数据库及各类电子数据等。</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、工作要求</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（一）加强组织领导，落实目标责任。</w:t>
      </w:r>
      <w:r>
        <w:rPr>
          <w:rFonts w:hint="default" w:ascii="Times New Roman" w:hAnsi="Times New Roman" w:eastAsia="方正仿宋_GBK" w:cs="Times New Roman"/>
          <w:sz w:val="32"/>
          <w:szCs w:val="32"/>
        </w:rPr>
        <w:t>为确保公益林生态补偿</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天然商品林停伐管护补助</w:t>
      </w:r>
      <w:r>
        <w:rPr>
          <w:rFonts w:hint="default" w:ascii="Times New Roman" w:hAnsi="Times New Roman" w:eastAsia="方正仿宋_GBK" w:cs="Times New Roman"/>
          <w:sz w:val="32"/>
          <w:szCs w:val="32"/>
          <w:lang w:eastAsia="zh-CN"/>
        </w:rPr>
        <w:t>资</w:t>
      </w:r>
      <w:r>
        <w:rPr>
          <w:rFonts w:hint="default" w:ascii="Times New Roman" w:hAnsi="Times New Roman" w:eastAsia="方正仿宋_GBK" w:cs="Times New Roman"/>
          <w:sz w:val="32"/>
          <w:szCs w:val="32"/>
        </w:rPr>
        <w:t>金及时足额发放到位，县政府成立工作领导小组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关部门要落实责任，加强领导。各乡镇（街道）也要成立由政府主要领导任组长的公益林生态补偿和天然商品林停伐管护补助工作领导小组，组织乡镇、村、组干部力量，集中时间和精力开展工作。要充分认识公益林生态补偿是一项量大面广的艰巨复杂工作，把公益林生态补偿和天然商品林停伐管护补助纳入目标管理，制定切实可行的工作方案,确保工作积极稳妥推进。</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（二）加大宣传力度，营造良好氛围。</w:t>
      </w:r>
      <w:r>
        <w:rPr>
          <w:rFonts w:hint="default" w:ascii="Times New Roman" w:hAnsi="Times New Roman" w:eastAsia="方正仿宋_GBK" w:cs="Times New Roman"/>
          <w:sz w:val="32"/>
          <w:szCs w:val="32"/>
        </w:rPr>
        <w:t>公益林生态补偿和天然商品林停伐管护补助涉及人多面广，各乡镇（街道）要采取群众大会、院坝会、宣传车、宣传标语、专栏等多种形式大力宣传公益林生态补偿和天然商品林停伐管护补助制度的重大意义和相关政策法规，把公益林生态补偿和天然商品林停伐管护补助政策措施宣传到基层、宣传到群众之中，使广大群众了解和掌握公益林生态补偿和天然商品林停伐管护补助政策，争取群众的广泛理解和支持。</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（三）调处林权纠纷，维护林区稳定。</w:t>
      </w:r>
      <w:r>
        <w:rPr>
          <w:rFonts w:hint="default" w:ascii="Times New Roman" w:hAnsi="Times New Roman" w:eastAsia="方正仿宋_GBK" w:cs="Times New Roman"/>
          <w:sz w:val="32"/>
          <w:szCs w:val="32"/>
        </w:rPr>
        <w:t>各乡镇（街道）要高度重视林权纠纷调处工作，组建专门班子，按照“属地管理、分级负责”的原则，通过民主协商，行政、司法等手段，妥善解决在公益林生态补偿和天然商品林停伐管护补助中出现的林权纠纷，力求发现一起、调处一起、化解一起，切实维护林区治安稳定。</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（四）严肃工作纪律，严格依法操作。</w:t>
      </w:r>
      <w:r>
        <w:rPr>
          <w:rFonts w:hint="default" w:ascii="Times New Roman" w:hAnsi="Times New Roman" w:eastAsia="方正仿宋_GBK" w:cs="Times New Roman"/>
          <w:sz w:val="32"/>
          <w:szCs w:val="32"/>
        </w:rPr>
        <w:t>在公益林</w:t>
      </w:r>
      <w:r>
        <w:rPr>
          <w:rFonts w:hint="default" w:ascii="Times New Roman" w:hAnsi="Times New Roman" w:eastAsia="方正仿宋_GBK" w:cs="Times New Roman"/>
          <w:sz w:val="32"/>
          <w:szCs w:val="32"/>
          <w:lang w:eastAsia="zh-CN"/>
        </w:rPr>
        <w:t>、天然商品林</w:t>
      </w:r>
      <w:r>
        <w:rPr>
          <w:rFonts w:hint="default" w:ascii="Times New Roman" w:hAnsi="Times New Roman" w:eastAsia="方正仿宋_GBK" w:cs="Times New Roman"/>
          <w:sz w:val="32"/>
          <w:szCs w:val="32"/>
        </w:rPr>
        <w:t>面积到户和公益林生态补偿和天然商品林停伐管护补助</w:t>
      </w:r>
      <w:r>
        <w:rPr>
          <w:rFonts w:hint="default" w:ascii="Times New Roman" w:hAnsi="Times New Roman" w:eastAsia="方正仿宋_GBK" w:cs="Times New Roman"/>
          <w:sz w:val="32"/>
          <w:szCs w:val="32"/>
          <w:lang w:eastAsia="zh-CN"/>
        </w:rPr>
        <w:t>资</w:t>
      </w:r>
      <w:r>
        <w:rPr>
          <w:rFonts w:hint="default" w:ascii="Times New Roman" w:hAnsi="Times New Roman" w:eastAsia="方正仿宋_GBK" w:cs="Times New Roman"/>
          <w:sz w:val="32"/>
          <w:szCs w:val="32"/>
        </w:rPr>
        <w:t>金兑现过程中，严禁闭门造车、弄虚作假，严禁优亲厚友搞人情分摊，严禁将他人的林地划归自己所有，必须严格依照法律、法规操作。如因上述情况影响公益林生态补偿和天然商品林停伐管护补助建设进度、损害群众利益或引发群体性上访事件的，将按有关规定严肃处理。</w:t>
      </w:r>
    </w:p>
    <w:p>
      <w:pPr>
        <w:keepNext w:val="0"/>
        <w:keepLines w:val="0"/>
        <w:pageBreakBefore w:val="0"/>
        <w:widowControl w:val="0"/>
        <w:tabs>
          <w:tab w:val="left" w:pos="1701"/>
          <w:tab w:val="left" w:pos="2127"/>
        </w:tabs>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tabs>
          <w:tab w:val="left" w:pos="1701"/>
          <w:tab w:val="left" w:pos="2127"/>
        </w:tabs>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 公益林生态补偿和天然商品林停伐管护补助合同</w:t>
      </w:r>
    </w:p>
    <w:p>
      <w:pPr>
        <w:keepNext w:val="0"/>
        <w:keepLines w:val="0"/>
        <w:pageBreakBefore w:val="0"/>
        <w:widowControl w:val="0"/>
        <w:tabs>
          <w:tab w:val="left" w:pos="1701"/>
          <w:tab w:val="left" w:pos="2127"/>
        </w:tabs>
        <w:kinsoku/>
        <w:wordWrap/>
        <w:overflowPunct/>
        <w:topLinePunct w:val="0"/>
        <w:bidi w:val="0"/>
        <w:spacing w:line="560" w:lineRule="exact"/>
        <w:ind w:left="1896" w:leftChars="500" w:right="0" w:rightChars="0" w:hanging="316" w:hanging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 难落户公益林生态补偿和天然商品林停伐管护补助合同</w:t>
      </w:r>
    </w:p>
    <w:p>
      <w:pPr>
        <w:keepNext w:val="0"/>
        <w:keepLines w:val="0"/>
        <w:pageBreakBefore w:val="0"/>
        <w:widowControl w:val="0"/>
        <w:tabs>
          <w:tab w:val="left" w:pos="1701"/>
          <w:tab w:val="left" w:pos="2127"/>
        </w:tabs>
        <w:kinsoku/>
        <w:wordWrap/>
        <w:overflowPunct/>
        <w:topLinePunct w:val="0"/>
        <w:bidi w:val="0"/>
        <w:spacing w:line="560" w:lineRule="exact"/>
        <w:ind w:left="1896" w:leftChars="500" w:right="0" w:rightChars="0" w:hanging="316" w:hanging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3. </w:t>
      </w:r>
      <w:r>
        <w:rPr>
          <w:rFonts w:hint="default" w:ascii="Times New Roman" w:hAnsi="Times New Roman" w:eastAsia="方正仿宋_GBK" w:cs="Times New Roman"/>
          <w:sz w:val="32"/>
          <w:szCs w:val="32"/>
        </w:rPr>
        <w:t>公益林生态补偿及天然商品林停伐管护补助面积落户确认表</w:t>
      </w:r>
    </w:p>
    <w:p>
      <w:pPr>
        <w:keepNext w:val="0"/>
        <w:keepLines w:val="0"/>
        <w:pageBreakBefore w:val="0"/>
        <w:widowControl w:val="0"/>
        <w:tabs>
          <w:tab w:val="left" w:pos="1701"/>
          <w:tab w:val="left" w:pos="2127"/>
        </w:tabs>
        <w:kinsoku/>
        <w:wordWrap/>
        <w:overflowPunct/>
        <w:topLinePunct w:val="0"/>
        <w:bidi w:val="0"/>
        <w:spacing w:line="560" w:lineRule="exact"/>
        <w:ind w:left="2212" w:leftChars="500" w:right="0" w:rightChars="0" w:hanging="632" w:hanging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 公益林生态补偿及天然商品林停伐管护补助公示表</w:t>
      </w:r>
    </w:p>
    <w:p>
      <w:pPr>
        <w:keepNext w:val="0"/>
        <w:keepLines w:val="0"/>
        <w:pageBreakBefore w:val="0"/>
        <w:widowControl w:val="0"/>
        <w:kinsoku/>
        <w:wordWrap/>
        <w:overflowPunct/>
        <w:topLinePunct w:val="0"/>
        <w:bidi w:val="0"/>
        <w:spacing w:line="560" w:lineRule="exact"/>
        <w:ind w:right="0" w:rightChars="0" w:firstLine="632" w:firstLineChars="200"/>
        <w:textAlignment w:val="auto"/>
        <w:rPr>
          <w:rFonts w:hint="default" w:ascii="Times New Roman" w:hAnsi="Times New Roman" w:eastAsia="方正仿宋_GBK" w:cs="Times New Roman"/>
          <w:sz w:val="32"/>
          <w:szCs w:val="32"/>
          <w:lang w:eastAsia="zh-CN"/>
        </w:rPr>
      </w:pPr>
    </w:p>
    <w:p>
      <w:pPr>
        <w:pStyle w:val="7"/>
      </w:pPr>
    </w:p>
    <w:p>
      <w:pPr>
        <w:pStyle w:val="7"/>
      </w:pPr>
    </w:p>
    <w:p>
      <w:pPr>
        <w:pStyle w:val="7"/>
      </w:pPr>
    </w:p>
    <w:p>
      <w:pPr>
        <w:pStyle w:val="7"/>
      </w:pPr>
    </w:p>
    <w:p>
      <w:pPr>
        <w:pStyle w:val="7"/>
      </w:pPr>
    </w:p>
    <w:p>
      <w:pPr>
        <w:pStyle w:val="7"/>
      </w:pPr>
    </w:p>
    <w:p>
      <w:pPr>
        <w:pStyle w:val="7"/>
        <w:rPr>
          <w:rFonts w:hint="eastAsia" w:eastAsia="方正黑体_GBK"/>
          <w:lang w:eastAsia="zh-CN"/>
        </w:rPr>
      </w:pPr>
      <w:r>
        <w:t>附件</w:t>
      </w:r>
      <w:r>
        <w:rPr>
          <w:rFonts w:hint="eastAsia"/>
          <w:lang w:val="en-US" w:eastAsia="zh-CN"/>
        </w:rPr>
        <w:t>1</w:t>
      </w:r>
    </w:p>
    <w:p>
      <w:pPr>
        <w:pStyle w:val="8"/>
        <w:snapToGrid w:val="0"/>
        <w:spacing w:before="240" w:line="620" w:lineRule="exact"/>
      </w:pPr>
      <w:r>
        <w:t>公益林生态补偿和天然商品林停伐管护补助</w:t>
      </w:r>
    </w:p>
    <w:p>
      <w:pPr>
        <w:pStyle w:val="8"/>
        <w:snapToGrid w:val="0"/>
        <w:spacing w:line="620" w:lineRule="exact"/>
      </w:pPr>
      <w:r>
        <w:t>合同（参考文本）</w:t>
      </w:r>
    </w:p>
    <w:p>
      <w:pPr>
        <w:ind w:right="641"/>
        <w:rPr>
          <w:szCs w:val="32"/>
        </w:rPr>
      </w:pPr>
    </w:p>
    <w:p>
      <w:pPr>
        <w:spacing w:line="400" w:lineRule="exact"/>
        <w:ind w:right="640"/>
        <w:jc w:val="center"/>
        <w:rPr>
          <w:sz w:val="24"/>
          <w:szCs w:val="24"/>
        </w:rPr>
      </w:pPr>
      <w:r>
        <w:rPr>
          <w:sz w:val="24"/>
          <w:szCs w:val="24"/>
        </w:rPr>
        <w:t xml:space="preserve">                            合同编号：</w:t>
      </w:r>
    </w:p>
    <w:p>
      <w:pPr>
        <w:rPr>
          <w:sz w:val="24"/>
          <w:szCs w:val="24"/>
        </w:rPr>
      </w:pPr>
      <w:r>
        <w:rPr>
          <w:sz w:val="24"/>
          <w:szCs w:val="24"/>
        </w:rPr>
        <w:t>甲方：      乡镇人民政府（街道办事处）</w:t>
      </w:r>
    </w:p>
    <w:p>
      <w:pPr>
        <w:rPr>
          <w:sz w:val="24"/>
          <w:szCs w:val="24"/>
        </w:rPr>
      </w:pPr>
      <w:r>
        <w:rPr>
          <w:sz w:val="24"/>
          <w:szCs w:val="24"/>
        </w:rPr>
        <w:t>乙方：姓名      性别    年龄   所在      村（居）   社（组）</w:t>
      </w:r>
    </w:p>
    <w:p>
      <w:pPr>
        <w:rPr>
          <w:sz w:val="24"/>
          <w:szCs w:val="24"/>
        </w:rPr>
      </w:pPr>
      <w:r>
        <w:rPr>
          <w:sz w:val="24"/>
          <w:szCs w:val="24"/>
        </w:rPr>
        <w:t xml:space="preserve">身份证号码：      </w:t>
      </w:r>
    </w:p>
    <w:p>
      <w:pPr>
        <w:rPr>
          <w:sz w:val="24"/>
          <w:szCs w:val="24"/>
        </w:rPr>
      </w:pPr>
      <w:r>
        <w:rPr>
          <w:sz w:val="24"/>
          <w:szCs w:val="24"/>
        </w:rPr>
        <w:t>住址：</w:t>
      </w:r>
    </w:p>
    <w:p>
      <w:pPr>
        <w:spacing w:line="400" w:lineRule="exact"/>
        <w:jc w:val="center"/>
        <w:rPr>
          <w:sz w:val="24"/>
          <w:szCs w:val="24"/>
        </w:rPr>
      </w:pPr>
    </w:p>
    <w:p>
      <w:pPr>
        <w:spacing w:line="400" w:lineRule="exact"/>
        <w:ind w:firstLine="472" w:firstLineChars="200"/>
        <w:rPr>
          <w:sz w:val="24"/>
          <w:szCs w:val="24"/>
        </w:rPr>
      </w:pPr>
      <w:r>
        <w:rPr>
          <w:sz w:val="24"/>
          <w:szCs w:val="24"/>
        </w:rPr>
        <w:t>为实施好公益林和天然商品林自主管护补偿（补助），规范管护及补偿（补助）行为，明确双方的权利、义务和责任，依据《中华人民共和国合同法》《森林法》等规定，经双方协商一致，依法签订本合同。</w:t>
      </w:r>
    </w:p>
    <w:p>
      <w:pPr>
        <w:spacing w:line="400" w:lineRule="exact"/>
        <w:ind w:firstLine="472" w:firstLineChars="200"/>
        <w:rPr>
          <w:sz w:val="24"/>
          <w:szCs w:val="24"/>
        </w:rPr>
      </w:pPr>
      <w:r>
        <w:rPr>
          <w:sz w:val="24"/>
          <w:szCs w:val="24"/>
        </w:rPr>
        <w:t>一、自主管护公益林或天然商品林的面积和范围：公益林面积     亩，天然商品林面积  亩，合计     亩。公益林和天然商品林共有   块，即：</w:t>
      </w:r>
      <w:r>
        <w:rPr>
          <w:i/>
          <w:sz w:val="24"/>
          <w:szCs w:val="24"/>
        </w:rPr>
        <w:t>（分别用小地名描述）</w:t>
      </w:r>
    </w:p>
    <w:p>
      <w:pPr>
        <w:spacing w:line="400" w:lineRule="exact"/>
        <w:ind w:firstLine="472" w:firstLineChars="200"/>
        <w:rPr>
          <w:sz w:val="24"/>
          <w:szCs w:val="24"/>
        </w:rPr>
      </w:pPr>
      <w:r>
        <w:rPr>
          <w:sz w:val="24"/>
          <w:szCs w:val="24"/>
        </w:rPr>
        <w:t xml:space="preserve"> </w:t>
      </w:r>
    </w:p>
    <w:p>
      <w:pPr>
        <w:spacing w:line="400" w:lineRule="exact"/>
        <w:ind w:firstLine="472" w:firstLineChars="200"/>
        <w:rPr>
          <w:sz w:val="24"/>
          <w:szCs w:val="24"/>
        </w:rPr>
      </w:pPr>
      <w:r>
        <w:rPr>
          <w:sz w:val="24"/>
          <w:szCs w:val="24"/>
        </w:rPr>
        <w:t>二、合同期限：自    年  月  日，至 　 年　月　 日止，有效期    年</w:t>
      </w:r>
      <w:r>
        <w:rPr>
          <w:i/>
          <w:sz w:val="24"/>
          <w:szCs w:val="24"/>
        </w:rPr>
        <w:t>（一般5年一签）</w:t>
      </w:r>
      <w:r>
        <w:rPr>
          <w:sz w:val="24"/>
          <w:szCs w:val="24"/>
        </w:rPr>
        <w:t>。</w:t>
      </w:r>
    </w:p>
    <w:p>
      <w:pPr>
        <w:spacing w:line="400" w:lineRule="exact"/>
        <w:ind w:firstLine="472" w:firstLineChars="200"/>
        <w:rPr>
          <w:sz w:val="24"/>
          <w:szCs w:val="24"/>
        </w:rPr>
      </w:pPr>
      <w:r>
        <w:rPr>
          <w:sz w:val="24"/>
          <w:szCs w:val="24"/>
        </w:rPr>
        <w:t>三、补偿（补助）标准及金额：补偿（补助）标准随经济水平实行动态管理，每年标准在公示内容中公布</w:t>
      </w:r>
      <w:r>
        <w:rPr>
          <w:i/>
          <w:sz w:val="24"/>
          <w:szCs w:val="24"/>
        </w:rPr>
        <w:t>（2019年标准为12.75元/亩）</w:t>
      </w:r>
      <w:r>
        <w:rPr>
          <w:sz w:val="24"/>
          <w:szCs w:val="24"/>
        </w:rPr>
        <w:t xml:space="preserve">。金额依据本合同自主管护面积或林主签字确认的面积与公布标准计算而得，每年结算一次，通过指定银行打卡一次性支付。 </w:t>
      </w:r>
    </w:p>
    <w:p>
      <w:pPr>
        <w:spacing w:line="400" w:lineRule="exact"/>
        <w:ind w:firstLine="472" w:firstLineChars="200"/>
        <w:rPr>
          <w:sz w:val="24"/>
          <w:szCs w:val="24"/>
        </w:rPr>
      </w:pPr>
      <w:r>
        <w:rPr>
          <w:sz w:val="24"/>
          <w:szCs w:val="24"/>
        </w:rPr>
        <w:t>四、甲方权利和义务</w:t>
      </w:r>
    </w:p>
    <w:p>
      <w:pPr>
        <w:spacing w:line="400" w:lineRule="exact"/>
        <w:ind w:firstLine="472" w:firstLineChars="200"/>
        <w:rPr>
          <w:sz w:val="24"/>
          <w:szCs w:val="24"/>
        </w:rPr>
      </w:pPr>
      <w:r>
        <w:rPr>
          <w:sz w:val="24"/>
          <w:szCs w:val="24"/>
        </w:rPr>
        <w:t>1.及时向乙方贯彻传达各级有关公益林和天然商品林的政策规定。</w:t>
      </w:r>
    </w:p>
    <w:p>
      <w:pPr>
        <w:spacing w:line="400" w:lineRule="exact"/>
        <w:ind w:firstLine="472" w:firstLineChars="200"/>
        <w:rPr>
          <w:sz w:val="24"/>
          <w:szCs w:val="24"/>
        </w:rPr>
      </w:pPr>
      <w:r>
        <w:rPr>
          <w:sz w:val="24"/>
          <w:szCs w:val="24"/>
        </w:rPr>
        <w:t>2.组织和指导公益林或天然林商品林面积落地落户。</w:t>
      </w:r>
    </w:p>
    <w:p>
      <w:pPr>
        <w:spacing w:line="400" w:lineRule="exact"/>
        <w:ind w:firstLine="472" w:firstLineChars="200"/>
        <w:rPr>
          <w:sz w:val="24"/>
          <w:szCs w:val="24"/>
        </w:rPr>
      </w:pPr>
      <w:r>
        <w:rPr>
          <w:sz w:val="24"/>
          <w:szCs w:val="24"/>
        </w:rPr>
        <w:t>3.及时掌握森林山火、病虫害等影响森林的情况，并及时组织森林火灾预防性扑救以及森林病虫害监测、预防和除治。。</w:t>
      </w:r>
    </w:p>
    <w:p>
      <w:pPr>
        <w:spacing w:line="400" w:lineRule="exact"/>
        <w:ind w:firstLine="472" w:firstLineChars="200"/>
        <w:rPr>
          <w:sz w:val="24"/>
          <w:szCs w:val="24"/>
        </w:rPr>
      </w:pPr>
      <w:r>
        <w:rPr>
          <w:sz w:val="24"/>
          <w:szCs w:val="24"/>
        </w:rPr>
        <w:t>4.对公益林和天然商品林管护工作进行监督指导。</w:t>
      </w:r>
    </w:p>
    <w:p>
      <w:pPr>
        <w:spacing w:line="400" w:lineRule="exact"/>
        <w:ind w:firstLine="472" w:firstLineChars="200"/>
        <w:rPr>
          <w:sz w:val="24"/>
          <w:szCs w:val="24"/>
        </w:rPr>
      </w:pPr>
      <w:r>
        <w:rPr>
          <w:sz w:val="24"/>
          <w:szCs w:val="24"/>
        </w:rPr>
        <w:t>5.对林业行政、刑事案件及时报告主管部门进行查处。</w:t>
      </w:r>
    </w:p>
    <w:p>
      <w:pPr>
        <w:spacing w:line="400" w:lineRule="exact"/>
        <w:ind w:firstLine="472" w:firstLineChars="200"/>
        <w:rPr>
          <w:sz w:val="24"/>
          <w:szCs w:val="24"/>
        </w:rPr>
      </w:pPr>
      <w:r>
        <w:rPr>
          <w:sz w:val="24"/>
          <w:szCs w:val="24"/>
        </w:rPr>
        <w:t>6.对乙方不尽责或监守自盗造成公益林或天然商品林破坏的，有权按约定扣减或取消当年补偿（补助）。</w:t>
      </w:r>
    </w:p>
    <w:p>
      <w:pPr>
        <w:spacing w:line="400" w:lineRule="exact"/>
        <w:ind w:firstLine="472" w:firstLineChars="200"/>
        <w:rPr>
          <w:sz w:val="24"/>
          <w:szCs w:val="24"/>
        </w:rPr>
      </w:pPr>
      <w:r>
        <w:rPr>
          <w:sz w:val="24"/>
          <w:szCs w:val="24"/>
        </w:rPr>
        <w:t>7.及时组织补偿（补助）资金兑付。</w:t>
      </w:r>
    </w:p>
    <w:p>
      <w:pPr>
        <w:spacing w:line="400" w:lineRule="exact"/>
        <w:ind w:firstLine="472" w:firstLineChars="200"/>
        <w:rPr>
          <w:sz w:val="24"/>
          <w:szCs w:val="24"/>
        </w:rPr>
      </w:pPr>
      <w:r>
        <w:rPr>
          <w:sz w:val="24"/>
          <w:szCs w:val="24"/>
        </w:rPr>
        <w:t>8.及时组织补偿（补助）分户主要数据上传到规定的网络数据库。</w:t>
      </w:r>
    </w:p>
    <w:p>
      <w:pPr>
        <w:spacing w:line="400" w:lineRule="exact"/>
        <w:ind w:firstLine="472" w:firstLineChars="200"/>
        <w:rPr>
          <w:sz w:val="24"/>
          <w:szCs w:val="24"/>
        </w:rPr>
      </w:pPr>
      <w:r>
        <w:rPr>
          <w:sz w:val="24"/>
          <w:szCs w:val="24"/>
        </w:rPr>
        <w:t>五、乙方义务和权利</w:t>
      </w:r>
    </w:p>
    <w:p>
      <w:pPr>
        <w:spacing w:line="400" w:lineRule="exact"/>
        <w:ind w:firstLine="472" w:firstLineChars="200"/>
        <w:rPr>
          <w:sz w:val="24"/>
          <w:szCs w:val="24"/>
        </w:rPr>
      </w:pPr>
      <w:r>
        <w:rPr>
          <w:sz w:val="24"/>
          <w:szCs w:val="24"/>
        </w:rPr>
        <w:t>1.完成公益林和天然商品林的自主管护和委托他人管护，确保不出现监守自盗等毁林事件。</w:t>
      </w:r>
    </w:p>
    <w:p>
      <w:pPr>
        <w:spacing w:line="400" w:lineRule="exact"/>
        <w:ind w:firstLine="472" w:firstLineChars="200"/>
        <w:rPr>
          <w:sz w:val="24"/>
          <w:szCs w:val="24"/>
        </w:rPr>
      </w:pPr>
      <w:r>
        <w:rPr>
          <w:sz w:val="24"/>
          <w:szCs w:val="24"/>
        </w:rPr>
        <w:t>2.及时发现并制止盗伐、滥伐林木、毁林开垦、乱捕滥猎野生保护动物、乱采滥挖重点野生保护植物等违法行为。</w:t>
      </w:r>
    </w:p>
    <w:p>
      <w:pPr>
        <w:spacing w:line="400" w:lineRule="exact"/>
        <w:ind w:firstLine="472" w:firstLineChars="200"/>
        <w:rPr>
          <w:sz w:val="24"/>
          <w:szCs w:val="24"/>
        </w:rPr>
      </w:pPr>
      <w:r>
        <w:rPr>
          <w:sz w:val="24"/>
          <w:szCs w:val="24"/>
        </w:rPr>
        <w:t>3.配合、协助甲方或有关林政执法单位查处破坏公益林或天然商品林的案件。</w:t>
      </w:r>
    </w:p>
    <w:p>
      <w:pPr>
        <w:spacing w:line="400" w:lineRule="exact"/>
        <w:ind w:firstLine="472" w:firstLineChars="200"/>
        <w:rPr>
          <w:sz w:val="24"/>
          <w:szCs w:val="24"/>
        </w:rPr>
      </w:pPr>
      <w:r>
        <w:rPr>
          <w:sz w:val="24"/>
          <w:szCs w:val="24"/>
        </w:rPr>
        <w:t>4.向甲方提供指定银行的卡（折）号等要件，有权依据合同约定按时足额获得补偿（补助）。</w:t>
      </w:r>
    </w:p>
    <w:p>
      <w:pPr>
        <w:spacing w:line="400" w:lineRule="exact"/>
        <w:ind w:firstLine="472" w:firstLineChars="200"/>
        <w:rPr>
          <w:sz w:val="24"/>
          <w:szCs w:val="24"/>
        </w:rPr>
      </w:pPr>
      <w:r>
        <w:rPr>
          <w:sz w:val="24"/>
          <w:szCs w:val="24"/>
        </w:rPr>
        <w:t>六、违约责任</w:t>
      </w:r>
    </w:p>
    <w:p>
      <w:pPr>
        <w:spacing w:line="400" w:lineRule="exact"/>
        <w:ind w:firstLine="472" w:firstLineChars="200"/>
        <w:rPr>
          <w:sz w:val="24"/>
          <w:szCs w:val="24"/>
        </w:rPr>
      </w:pPr>
      <w:r>
        <w:rPr>
          <w:sz w:val="24"/>
          <w:szCs w:val="24"/>
        </w:rPr>
        <w:t>1.因乙方违规野外用火造成公益林或天然商品林山火以及乙方监守自盗造成公益林或天然商品林损毁的，甲方可取消当年补偿（补助）资金兑现。</w:t>
      </w:r>
    </w:p>
    <w:p>
      <w:pPr>
        <w:spacing w:line="400" w:lineRule="exact"/>
        <w:ind w:firstLine="472" w:firstLineChars="200"/>
        <w:rPr>
          <w:sz w:val="24"/>
          <w:szCs w:val="24"/>
        </w:rPr>
      </w:pPr>
      <w:r>
        <w:rPr>
          <w:sz w:val="24"/>
          <w:szCs w:val="24"/>
        </w:rPr>
        <w:t>2.发生擅自改变林地用途、盗伐和滥伐林木、捕猎野生动物、乱采乱挖野生保护植物、移植古大珍稀植物等违法行为，乙方未制止或制止不力或不及时报告，造成森林资源损失的，甲方可扣发当年补偿（补助）金额的50%。</w:t>
      </w:r>
    </w:p>
    <w:p>
      <w:pPr>
        <w:spacing w:line="400" w:lineRule="exact"/>
        <w:ind w:firstLine="472" w:firstLineChars="200"/>
        <w:rPr>
          <w:sz w:val="24"/>
          <w:szCs w:val="24"/>
        </w:rPr>
      </w:pPr>
      <w:r>
        <w:rPr>
          <w:sz w:val="24"/>
          <w:szCs w:val="24"/>
        </w:rPr>
        <w:t>3.乙方认真履行合同，甲方不按时支付补偿（补助）的，乙方可向当地区县林业主管部门反映。</w:t>
      </w:r>
    </w:p>
    <w:p>
      <w:pPr>
        <w:spacing w:line="400" w:lineRule="exact"/>
        <w:ind w:firstLine="472" w:firstLineChars="200"/>
        <w:rPr>
          <w:sz w:val="24"/>
          <w:szCs w:val="24"/>
        </w:rPr>
      </w:pPr>
      <w:r>
        <w:rPr>
          <w:sz w:val="24"/>
          <w:szCs w:val="24"/>
        </w:rPr>
        <w:t>4.乙方不能将合同转让、转租、转包、抵押给他人。</w:t>
      </w:r>
    </w:p>
    <w:p>
      <w:pPr>
        <w:spacing w:line="400" w:lineRule="exact"/>
        <w:ind w:firstLine="472" w:firstLineChars="200"/>
        <w:rPr>
          <w:sz w:val="24"/>
          <w:szCs w:val="24"/>
        </w:rPr>
      </w:pPr>
      <w:r>
        <w:rPr>
          <w:sz w:val="24"/>
          <w:szCs w:val="24"/>
        </w:rPr>
        <w:t xml:space="preserve">七、其他 </w:t>
      </w:r>
    </w:p>
    <w:p>
      <w:pPr>
        <w:spacing w:line="400" w:lineRule="exact"/>
        <w:ind w:firstLine="472" w:firstLineChars="200"/>
        <w:rPr>
          <w:sz w:val="24"/>
          <w:szCs w:val="24"/>
        </w:rPr>
      </w:pPr>
      <w:r>
        <w:rPr>
          <w:sz w:val="24"/>
          <w:szCs w:val="24"/>
        </w:rPr>
        <w:t>1.本合同未尽事宜，以及在履行合同中发生的争议问题，双方协商解决。协商不能解决的，按照法律途径解决。</w:t>
      </w:r>
    </w:p>
    <w:p>
      <w:pPr>
        <w:spacing w:line="400" w:lineRule="exact"/>
        <w:ind w:firstLine="472" w:firstLineChars="200"/>
        <w:rPr>
          <w:sz w:val="24"/>
          <w:szCs w:val="24"/>
        </w:rPr>
      </w:pPr>
      <w:r>
        <w:rPr>
          <w:sz w:val="24"/>
          <w:szCs w:val="24"/>
        </w:rPr>
        <w:t>2.本合同一式二份，甲乙双方各执一份。</w:t>
      </w:r>
    </w:p>
    <w:p>
      <w:pPr>
        <w:ind w:right="641" w:firstLine="590" w:firstLineChars="250"/>
        <w:rPr>
          <w:sz w:val="24"/>
          <w:szCs w:val="24"/>
        </w:rPr>
      </w:pPr>
      <w:r>
        <w:rPr>
          <w:sz w:val="24"/>
          <w:szCs w:val="24"/>
        </w:rPr>
        <w:t>甲方（签字盖章）                   乙方（签字）</w:t>
      </w:r>
    </w:p>
    <w:p>
      <w:pPr>
        <w:ind w:right="641" w:firstLine="590" w:firstLineChars="250"/>
        <w:rPr>
          <w:sz w:val="24"/>
          <w:szCs w:val="24"/>
        </w:rPr>
      </w:pPr>
    </w:p>
    <w:p>
      <w:pPr>
        <w:ind w:right="641" w:firstLine="590" w:firstLineChars="250"/>
        <w:rPr>
          <w:sz w:val="24"/>
          <w:szCs w:val="24"/>
        </w:rPr>
      </w:pPr>
      <w:r>
        <w:rPr>
          <w:sz w:val="24"/>
          <w:szCs w:val="24"/>
        </w:rPr>
        <w:t>20  年  月  日                     20  年  月  日</w:t>
      </w:r>
    </w:p>
    <w:p>
      <w:pPr>
        <w:pStyle w:val="7"/>
        <w:rPr>
          <w:rFonts w:hint="eastAsia" w:eastAsia="方正黑体_GBK"/>
          <w:lang w:val="en-US" w:eastAsia="zh-CN"/>
        </w:rPr>
      </w:pPr>
      <w:r>
        <w:t>附件</w:t>
      </w:r>
      <w:r>
        <w:rPr>
          <w:rFonts w:hint="eastAsia"/>
          <w:lang w:val="en-US" w:eastAsia="zh-CN"/>
        </w:rPr>
        <w:t>2</w:t>
      </w:r>
    </w:p>
    <w:p>
      <w:pPr>
        <w:pStyle w:val="8"/>
      </w:pPr>
      <w:r>
        <w:t>难落户公益林生态补偿和天然商品林</w:t>
      </w:r>
    </w:p>
    <w:p>
      <w:pPr>
        <w:pStyle w:val="8"/>
      </w:pPr>
      <w:r>
        <w:t>停伐管护补助合同（参考文本）</w:t>
      </w:r>
    </w:p>
    <w:p>
      <w:pPr>
        <w:ind w:right="641"/>
        <w:rPr>
          <w:szCs w:val="32"/>
        </w:rPr>
      </w:pPr>
    </w:p>
    <w:p>
      <w:pPr>
        <w:spacing w:line="400" w:lineRule="exact"/>
        <w:ind w:right="640"/>
        <w:jc w:val="center"/>
        <w:rPr>
          <w:sz w:val="24"/>
          <w:szCs w:val="24"/>
        </w:rPr>
      </w:pPr>
      <w:r>
        <w:rPr>
          <w:sz w:val="24"/>
          <w:szCs w:val="24"/>
        </w:rPr>
        <w:t xml:space="preserve">                               </w:t>
      </w:r>
      <w:r>
        <w:rPr>
          <w:rFonts w:hint="eastAsia"/>
          <w:sz w:val="24"/>
          <w:szCs w:val="24"/>
        </w:rPr>
        <w:t xml:space="preserve">    </w:t>
      </w:r>
      <w:r>
        <w:rPr>
          <w:sz w:val="24"/>
          <w:szCs w:val="24"/>
        </w:rPr>
        <w:t>合同编号：</w:t>
      </w:r>
    </w:p>
    <w:p>
      <w:pPr>
        <w:spacing w:line="400" w:lineRule="exact"/>
        <w:rPr>
          <w:sz w:val="24"/>
          <w:szCs w:val="24"/>
        </w:rPr>
      </w:pPr>
      <w:r>
        <w:rPr>
          <w:sz w:val="24"/>
          <w:szCs w:val="24"/>
        </w:rPr>
        <w:t>甲方：      乡镇人民政府（街道办事处）</w:t>
      </w:r>
    </w:p>
    <w:p>
      <w:pPr>
        <w:spacing w:line="400" w:lineRule="exact"/>
        <w:rPr>
          <w:sz w:val="24"/>
          <w:szCs w:val="24"/>
        </w:rPr>
      </w:pPr>
      <w:r>
        <w:rPr>
          <w:sz w:val="24"/>
          <w:szCs w:val="24"/>
        </w:rPr>
        <w:t>乙方：（难落户涉及的林农姓名，可附清单）</w:t>
      </w:r>
    </w:p>
    <w:p>
      <w:pPr>
        <w:spacing w:line="400" w:lineRule="exact"/>
        <w:rPr>
          <w:sz w:val="24"/>
          <w:szCs w:val="24"/>
        </w:rPr>
      </w:pPr>
      <w:r>
        <w:rPr>
          <w:sz w:val="24"/>
          <w:szCs w:val="24"/>
        </w:rPr>
        <w:t>受托方：</w:t>
      </w:r>
    </w:p>
    <w:p>
      <w:pPr>
        <w:spacing w:line="400" w:lineRule="exact"/>
        <w:rPr>
          <w:sz w:val="24"/>
          <w:szCs w:val="24"/>
        </w:rPr>
      </w:pPr>
    </w:p>
    <w:p>
      <w:pPr>
        <w:spacing w:line="400" w:lineRule="exact"/>
        <w:ind w:firstLine="472" w:firstLineChars="200"/>
        <w:rPr>
          <w:sz w:val="24"/>
          <w:szCs w:val="24"/>
        </w:rPr>
      </w:pPr>
      <w:r>
        <w:rPr>
          <w:sz w:val="24"/>
          <w:szCs w:val="24"/>
        </w:rPr>
        <w:t>为实施好难落户公益林和天然商品林自主委托管护补偿（补助），规范受托管护及补偿（补助）行为，明确双方的权利、义务和责任，依据《中华人民共和国合同法》、《森林法》等规定，经双方及受托方协商一致，依法签订本合同。</w:t>
      </w:r>
    </w:p>
    <w:p>
      <w:pPr>
        <w:spacing w:line="400" w:lineRule="exact"/>
        <w:ind w:firstLine="472" w:firstLineChars="200"/>
        <w:rPr>
          <w:sz w:val="24"/>
          <w:szCs w:val="24"/>
        </w:rPr>
      </w:pPr>
      <w:r>
        <w:rPr>
          <w:sz w:val="24"/>
          <w:szCs w:val="24"/>
        </w:rPr>
        <w:t>一、委托及受托管护公益林或天然商品林的面积和范围：公益林面积      亩，天然商品林面积     亩，合计    亩。公益林和天然商品林共有    块，即：</w:t>
      </w:r>
      <w:r>
        <w:rPr>
          <w:i/>
          <w:sz w:val="24"/>
          <w:szCs w:val="24"/>
        </w:rPr>
        <w:t>（分别用小地名描述）</w:t>
      </w:r>
    </w:p>
    <w:p>
      <w:pPr>
        <w:spacing w:line="400" w:lineRule="exact"/>
        <w:ind w:firstLine="472" w:firstLineChars="200"/>
        <w:rPr>
          <w:sz w:val="24"/>
          <w:szCs w:val="24"/>
        </w:rPr>
      </w:pPr>
      <w:r>
        <w:rPr>
          <w:sz w:val="24"/>
          <w:szCs w:val="24"/>
        </w:rPr>
        <w:t xml:space="preserve"> </w:t>
      </w:r>
    </w:p>
    <w:p>
      <w:pPr>
        <w:spacing w:line="400" w:lineRule="exact"/>
        <w:ind w:firstLine="472" w:firstLineChars="200"/>
        <w:rPr>
          <w:sz w:val="24"/>
          <w:szCs w:val="24"/>
        </w:rPr>
      </w:pPr>
      <w:r>
        <w:rPr>
          <w:sz w:val="24"/>
          <w:szCs w:val="24"/>
        </w:rPr>
        <w:t>二、合同期限：自    年  月  日，至 　 年　月　 日止，有效期    年</w:t>
      </w:r>
      <w:r>
        <w:rPr>
          <w:i/>
          <w:sz w:val="24"/>
          <w:szCs w:val="24"/>
        </w:rPr>
        <w:t>（一般5年一签）</w:t>
      </w:r>
      <w:r>
        <w:rPr>
          <w:sz w:val="24"/>
          <w:szCs w:val="24"/>
        </w:rPr>
        <w:t>。</w:t>
      </w:r>
    </w:p>
    <w:p>
      <w:pPr>
        <w:spacing w:line="400" w:lineRule="exact"/>
        <w:ind w:firstLine="472" w:firstLineChars="200"/>
        <w:rPr>
          <w:sz w:val="24"/>
          <w:szCs w:val="24"/>
        </w:rPr>
      </w:pPr>
      <w:r>
        <w:rPr>
          <w:sz w:val="24"/>
          <w:szCs w:val="24"/>
        </w:rPr>
        <w:t>三、补偿（补助）标准及金额：补偿（补助）标准随经济水平实行动态管理，每年标准在公示内容中公布</w:t>
      </w:r>
      <w:r>
        <w:rPr>
          <w:i/>
          <w:sz w:val="24"/>
          <w:szCs w:val="24"/>
        </w:rPr>
        <w:t>（2019年标准为12.75元/亩）</w:t>
      </w:r>
      <w:r>
        <w:rPr>
          <w:sz w:val="24"/>
          <w:szCs w:val="24"/>
        </w:rPr>
        <w:t xml:space="preserve">。金额依据本合同委托受托管护面积或林主签字确认的委托受托管护面积与公布标准计算而得，每年结算一次，通过指定银行打卡一次性支付。 </w:t>
      </w:r>
    </w:p>
    <w:p>
      <w:pPr>
        <w:spacing w:line="400" w:lineRule="exact"/>
        <w:ind w:firstLine="472" w:firstLineChars="200"/>
        <w:rPr>
          <w:sz w:val="24"/>
          <w:szCs w:val="24"/>
        </w:rPr>
      </w:pPr>
      <w:r>
        <w:rPr>
          <w:sz w:val="24"/>
          <w:szCs w:val="24"/>
        </w:rPr>
        <w:t>四、甲方权利和义务</w:t>
      </w:r>
    </w:p>
    <w:p>
      <w:pPr>
        <w:spacing w:line="400" w:lineRule="exact"/>
        <w:ind w:firstLine="472" w:firstLineChars="200"/>
        <w:rPr>
          <w:sz w:val="24"/>
          <w:szCs w:val="24"/>
        </w:rPr>
      </w:pPr>
      <w:r>
        <w:rPr>
          <w:sz w:val="24"/>
          <w:szCs w:val="24"/>
        </w:rPr>
        <w:t>1.及时向乙方贯彻传达各级有关公益林和天然商品林的政策规定。</w:t>
      </w:r>
    </w:p>
    <w:p>
      <w:pPr>
        <w:spacing w:line="400" w:lineRule="exact"/>
        <w:ind w:firstLine="472" w:firstLineChars="200"/>
        <w:rPr>
          <w:sz w:val="24"/>
          <w:szCs w:val="24"/>
        </w:rPr>
      </w:pPr>
      <w:r>
        <w:rPr>
          <w:sz w:val="24"/>
          <w:szCs w:val="24"/>
        </w:rPr>
        <w:t>2.组织和指导公益林或天然林商品林面积落地。</w:t>
      </w:r>
    </w:p>
    <w:p>
      <w:pPr>
        <w:spacing w:line="400" w:lineRule="exact"/>
        <w:ind w:firstLine="472" w:firstLineChars="200"/>
        <w:rPr>
          <w:sz w:val="24"/>
          <w:szCs w:val="24"/>
        </w:rPr>
      </w:pPr>
      <w:r>
        <w:rPr>
          <w:sz w:val="24"/>
          <w:szCs w:val="24"/>
        </w:rPr>
        <w:t>3.及时掌握森林山火、病虫害等影响森林的情况，并及时组织森林火灾预防性扑救以及森林病虫害监测、预防和除治。</w:t>
      </w:r>
    </w:p>
    <w:p>
      <w:pPr>
        <w:spacing w:line="400" w:lineRule="exact"/>
        <w:ind w:firstLine="472" w:firstLineChars="200"/>
        <w:rPr>
          <w:sz w:val="24"/>
          <w:szCs w:val="24"/>
        </w:rPr>
      </w:pPr>
      <w:r>
        <w:rPr>
          <w:sz w:val="24"/>
          <w:szCs w:val="24"/>
        </w:rPr>
        <w:t>4.对公益林和天然商品林管护工作进行监督指导。</w:t>
      </w:r>
    </w:p>
    <w:p>
      <w:pPr>
        <w:spacing w:line="400" w:lineRule="exact"/>
        <w:ind w:firstLine="472" w:firstLineChars="200"/>
        <w:rPr>
          <w:sz w:val="24"/>
          <w:szCs w:val="24"/>
        </w:rPr>
      </w:pPr>
      <w:r>
        <w:rPr>
          <w:sz w:val="24"/>
          <w:szCs w:val="24"/>
        </w:rPr>
        <w:t>5.对林业行政、刑事案件及时报告主管部门进行查处。</w:t>
      </w:r>
    </w:p>
    <w:p>
      <w:pPr>
        <w:spacing w:line="400" w:lineRule="exact"/>
        <w:ind w:firstLine="472" w:firstLineChars="200"/>
        <w:rPr>
          <w:sz w:val="24"/>
          <w:szCs w:val="24"/>
        </w:rPr>
      </w:pPr>
      <w:r>
        <w:rPr>
          <w:sz w:val="24"/>
          <w:szCs w:val="24"/>
        </w:rPr>
        <w:t>6.对乙方及受托方不尽责或监守自盗造成公益林或天然商品林破坏的，有权按约定扣减或取消当年补偿（补助）。</w:t>
      </w:r>
    </w:p>
    <w:p>
      <w:pPr>
        <w:spacing w:line="400" w:lineRule="exact"/>
        <w:ind w:left="158" w:leftChars="50" w:firstLine="354" w:firstLineChars="150"/>
        <w:rPr>
          <w:sz w:val="24"/>
          <w:szCs w:val="24"/>
        </w:rPr>
      </w:pPr>
      <w:r>
        <w:rPr>
          <w:sz w:val="24"/>
          <w:szCs w:val="24"/>
        </w:rPr>
        <w:t>7.及时组织补偿（补助）资金兑付，且监督受托方按权利人确定的补偿（补助）资金使用方案进行使用管理。</w:t>
      </w:r>
    </w:p>
    <w:p>
      <w:pPr>
        <w:spacing w:line="400" w:lineRule="exact"/>
        <w:ind w:firstLine="472" w:firstLineChars="200"/>
        <w:rPr>
          <w:sz w:val="24"/>
          <w:szCs w:val="24"/>
        </w:rPr>
      </w:pPr>
      <w:r>
        <w:rPr>
          <w:sz w:val="24"/>
          <w:szCs w:val="24"/>
        </w:rPr>
        <w:t>8.及时组织补偿（补助）主要数据上传到规定的网络数据库。</w:t>
      </w:r>
    </w:p>
    <w:p>
      <w:pPr>
        <w:spacing w:line="400" w:lineRule="exact"/>
        <w:ind w:firstLine="472" w:firstLineChars="200"/>
        <w:rPr>
          <w:sz w:val="24"/>
          <w:szCs w:val="24"/>
        </w:rPr>
      </w:pPr>
      <w:r>
        <w:rPr>
          <w:sz w:val="24"/>
          <w:szCs w:val="24"/>
        </w:rPr>
        <w:t>五、乙方及受托方义务和权利</w:t>
      </w:r>
    </w:p>
    <w:p>
      <w:pPr>
        <w:spacing w:line="400" w:lineRule="exact"/>
        <w:ind w:firstLine="472" w:firstLineChars="200"/>
        <w:rPr>
          <w:sz w:val="24"/>
          <w:szCs w:val="24"/>
        </w:rPr>
      </w:pPr>
      <w:r>
        <w:rPr>
          <w:sz w:val="24"/>
          <w:szCs w:val="24"/>
        </w:rPr>
        <w:t>1.完成公益林和天然商品林的委托管护及委托接受和管理补偿（补助）资金的单位（集体经济组织），确保不出现权利人及受托人监守自盗等毁林事件。</w:t>
      </w:r>
    </w:p>
    <w:p>
      <w:pPr>
        <w:spacing w:line="400" w:lineRule="exact"/>
        <w:ind w:firstLine="472" w:firstLineChars="200"/>
        <w:rPr>
          <w:sz w:val="24"/>
          <w:szCs w:val="24"/>
        </w:rPr>
      </w:pPr>
      <w:r>
        <w:rPr>
          <w:sz w:val="24"/>
          <w:szCs w:val="24"/>
        </w:rPr>
        <w:t>2.及时发现并制止盗伐、滥伐林木、毁林开垦、乱捕滥猎野生保护动物、乱采滥挖重点野生保护植物等违法行为。</w:t>
      </w:r>
    </w:p>
    <w:p>
      <w:pPr>
        <w:spacing w:line="400" w:lineRule="exact"/>
        <w:ind w:firstLine="472" w:firstLineChars="200"/>
        <w:rPr>
          <w:sz w:val="24"/>
          <w:szCs w:val="24"/>
        </w:rPr>
      </w:pPr>
      <w:r>
        <w:rPr>
          <w:sz w:val="24"/>
          <w:szCs w:val="24"/>
        </w:rPr>
        <w:t>3.配合、协助甲方或有关林政执法单位查处破坏公益林或天然商品林的案件。</w:t>
      </w:r>
    </w:p>
    <w:p>
      <w:pPr>
        <w:spacing w:line="400" w:lineRule="exact"/>
        <w:ind w:firstLine="472" w:firstLineChars="200"/>
        <w:rPr>
          <w:sz w:val="24"/>
          <w:szCs w:val="24"/>
        </w:rPr>
      </w:pPr>
      <w:r>
        <w:rPr>
          <w:sz w:val="24"/>
          <w:szCs w:val="24"/>
        </w:rPr>
        <w:t>4.签字同意受托方向甲方提供接受补偿（补助）的账号及补偿（补助）资金使用方案等要件，有权监管受托方接受的补偿（补助）资金的用途。</w:t>
      </w:r>
    </w:p>
    <w:p>
      <w:pPr>
        <w:spacing w:line="400" w:lineRule="exact"/>
        <w:ind w:firstLine="472" w:firstLineChars="200"/>
        <w:rPr>
          <w:sz w:val="24"/>
          <w:szCs w:val="24"/>
        </w:rPr>
      </w:pPr>
      <w:r>
        <w:rPr>
          <w:sz w:val="24"/>
          <w:szCs w:val="24"/>
        </w:rPr>
        <w:t>六、违约责任</w:t>
      </w:r>
    </w:p>
    <w:p>
      <w:pPr>
        <w:spacing w:line="400" w:lineRule="exact"/>
        <w:ind w:firstLine="472" w:firstLineChars="200"/>
        <w:rPr>
          <w:sz w:val="24"/>
          <w:szCs w:val="24"/>
        </w:rPr>
      </w:pPr>
      <w:r>
        <w:rPr>
          <w:sz w:val="24"/>
          <w:szCs w:val="24"/>
        </w:rPr>
        <w:t>1.因乙方或受托方违规野外用火造成公益林或天然商品林山火以及乙方或受托方监守自盗造成公益林或天然商品林损毁的，甲方可取消当年补偿（补助）资金兑现。</w:t>
      </w:r>
    </w:p>
    <w:p>
      <w:pPr>
        <w:spacing w:line="400" w:lineRule="exact"/>
        <w:ind w:firstLine="472" w:firstLineChars="200"/>
        <w:rPr>
          <w:sz w:val="24"/>
          <w:szCs w:val="24"/>
        </w:rPr>
      </w:pPr>
      <w:r>
        <w:rPr>
          <w:sz w:val="24"/>
          <w:szCs w:val="24"/>
        </w:rPr>
        <w:t>2.发生擅自改变林地用途、盗伐和滥伐林木、捕猎野生动物、乱采乱挖野生保护植物、移植古大珍稀植物等违法行为，受托方未制止或制止不力或不及时报告，造成森林资源损失的，甲方可扣发当年补偿（补助）金额的50%。</w:t>
      </w:r>
    </w:p>
    <w:p>
      <w:pPr>
        <w:spacing w:line="400" w:lineRule="exact"/>
        <w:ind w:firstLine="472" w:firstLineChars="200"/>
        <w:rPr>
          <w:sz w:val="24"/>
          <w:szCs w:val="24"/>
        </w:rPr>
      </w:pPr>
      <w:r>
        <w:rPr>
          <w:sz w:val="24"/>
          <w:szCs w:val="24"/>
        </w:rPr>
        <w:t>3.乙方及受托方认真履行合同，甲方不按时支付补偿（补助）的，乙方可向当地区县林业主管部门反映。</w:t>
      </w:r>
    </w:p>
    <w:p>
      <w:pPr>
        <w:spacing w:line="400" w:lineRule="exact"/>
        <w:ind w:firstLine="472" w:firstLineChars="200"/>
        <w:rPr>
          <w:sz w:val="24"/>
          <w:szCs w:val="24"/>
        </w:rPr>
      </w:pPr>
      <w:r>
        <w:rPr>
          <w:sz w:val="24"/>
          <w:szCs w:val="24"/>
        </w:rPr>
        <w:t>4.乙方及受托方不能将合同转让、转租、转包、抵押给他人。</w:t>
      </w:r>
    </w:p>
    <w:p>
      <w:pPr>
        <w:spacing w:line="400" w:lineRule="exact"/>
        <w:ind w:firstLine="472" w:firstLineChars="200"/>
        <w:rPr>
          <w:sz w:val="24"/>
          <w:szCs w:val="24"/>
        </w:rPr>
      </w:pPr>
      <w:r>
        <w:rPr>
          <w:sz w:val="24"/>
          <w:szCs w:val="24"/>
        </w:rPr>
        <w:t xml:space="preserve">七、其他 </w:t>
      </w:r>
    </w:p>
    <w:p>
      <w:pPr>
        <w:spacing w:line="400" w:lineRule="exact"/>
        <w:ind w:firstLine="472" w:firstLineChars="200"/>
        <w:rPr>
          <w:sz w:val="24"/>
          <w:szCs w:val="24"/>
        </w:rPr>
      </w:pPr>
      <w:r>
        <w:rPr>
          <w:sz w:val="24"/>
          <w:szCs w:val="24"/>
        </w:rPr>
        <w:t>1.本合同未尽事宜，以及在履行合同中发生的争议问题，双方及受托方协商解决。协商不能解决的，按照法律途径解决。</w:t>
      </w:r>
    </w:p>
    <w:p>
      <w:pPr>
        <w:spacing w:line="400" w:lineRule="exact"/>
        <w:ind w:firstLine="472" w:firstLineChars="200"/>
        <w:rPr>
          <w:sz w:val="24"/>
          <w:szCs w:val="24"/>
        </w:rPr>
      </w:pPr>
      <w:r>
        <w:rPr>
          <w:sz w:val="24"/>
          <w:szCs w:val="24"/>
        </w:rPr>
        <w:t>2.本合同一式二份，甲方及受托方各执一份。</w:t>
      </w:r>
    </w:p>
    <w:p>
      <w:pPr>
        <w:spacing w:line="400" w:lineRule="exact"/>
        <w:ind w:firstLine="472" w:firstLineChars="200"/>
        <w:rPr>
          <w:b/>
          <w:bCs/>
          <w:kern w:val="0"/>
          <w:sz w:val="24"/>
          <w:szCs w:val="24"/>
        </w:rPr>
      </w:pPr>
      <w:r>
        <w:rPr>
          <w:sz w:val="24"/>
          <w:szCs w:val="24"/>
        </w:rPr>
        <w:t>3.乙方权利人签字同意由受托方代其组织管护并接受和管理补偿（补助）资金的委托书及经乙方签字确认的补偿（补助）资金使用方案作为合同附件。</w:t>
      </w:r>
    </w:p>
    <w:p>
      <w:pPr>
        <w:spacing w:line="400" w:lineRule="exact"/>
        <w:ind w:right="641"/>
        <w:rPr>
          <w:sz w:val="24"/>
          <w:szCs w:val="24"/>
        </w:rPr>
      </w:pPr>
    </w:p>
    <w:p>
      <w:pPr>
        <w:spacing w:line="400" w:lineRule="exact"/>
        <w:ind w:right="641" w:firstLine="708" w:firstLineChars="300"/>
        <w:rPr>
          <w:sz w:val="24"/>
          <w:szCs w:val="24"/>
        </w:rPr>
      </w:pPr>
      <w:r>
        <w:rPr>
          <w:sz w:val="24"/>
          <w:szCs w:val="24"/>
        </w:rPr>
        <w:t>甲方（签字盖章）                   受托方（签字）</w:t>
      </w:r>
    </w:p>
    <w:p>
      <w:pPr>
        <w:spacing w:line="400" w:lineRule="exact"/>
        <w:ind w:right="641" w:firstLine="708" w:firstLineChars="300"/>
        <w:rPr>
          <w:kern w:val="0"/>
        </w:rPr>
      </w:pPr>
      <w:r>
        <w:rPr>
          <w:sz w:val="24"/>
          <w:szCs w:val="24"/>
        </w:rPr>
        <w:t>20  年  月  日                     20  年  月  日</w:t>
      </w:r>
    </w:p>
    <w:p>
      <w:pPr>
        <w:widowControl/>
        <w:jc w:val="left"/>
        <w:rPr>
          <w:rFonts w:eastAsia="方正楷体_GBK"/>
          <w:szCs w:val="32"/>
        </w:rPr>
        <w:sectPr>
          <w:footerReference r:id="rId3" w:type="default"/>
          <w:footerReference r:id="rId4" w:type="even"/>
          <w:pgSz w:w="11906" w:h="16838"/>
          <w:pgMar w:top="2098" w:right="1531" w:bottom="1985" w:left="1531" w:header="851" w:footer="1474" w:gutter="0"/>
          <w:cols w:space="425" w:num="1"/>
          <w:docGrid w:type="linesAndChars" w:linePitch="579" w:charSpace="-849"/>
        </w:sectPr>
      </w:pPr>
    </w:p>
    <w:p>
      <w:pPr>
        <w:pStyle w:val="7"/>
        <w:rPr>
          <w:rFonts w:hint="eastAsia" w:eastAsia="方正黑体_GBK"/>
          <w:lang w:val="en-US" w:eastAsia="zh-CN"/>
        </w:rPr>
      </w:pPr>
      <w:r>
        <w:t>附件</w:t>
      </w:r>
      <w:r>
        <w:rPr>
          <w:rFonts w:hint="eastAsia"/>
          <w:lang w:val="en-US" w:eastAsia="zh-CN"/>
        </w:rPr>
        <w:t>3</w:t>
      </w:r>
    </w:p>
    <w:p>
      <w:pPr>
        <w:pStyle w:val="8"/>
        <w:spacing w:before="240"/>
        <w:rPr>
          <w:sz w:val="40"/>
          <w:szCs w:val="40"/>
        </w:rPr>
      </w:pPr>
      <w:r>
        <w:rPr>
          <w:rFonts w:hint="eastAsia"/>
          <w:sz w:val="40"/>
          <w:szCs w:val="40"/>
          <w:lang w:eastAsia="zh-CN"/>
        </w:rPr>
        <w:t>秀山县</w:t>
      </w:r>
      <w:r>
        <w:rPr>
          <w:sz w:val="40"/>
          <w:szCs w:val="40"/>
        </w:rPr>
        <w:t>公益林生态补偿及天然商品林停伐管护补助面积落户确认表</w:t>
      </w:r>
    </w:p>
    <w:p>
      <w:pPr>
        <w:spacing w:before="240" w:after="240" w:line="600" w:lineRule="exact"/>
        <w:rPr>
          <w:szCs w:val="32"/>
        </w:rPr>
      </w:pPr>
      <w:r>
        <w:rPr>
          <w:szCs w:val="32"/>
        </w:rPr>
        <w:t>乡镇（街道）：                 村（居）：                                单位：亩</w:t>
      </w:r>
    </w:p>
    <w:tbl>
      <w:tblPr>
        <w:tblStyle w:val="6"/>
        <w:tblW w:w="12870" w:type="dxa"/>
        <w:jc w:val="center"/>
        <w:tblInd w:w="0" w:type="dxa"/>
        <w:tblLayout w:type="fixed"/>
        <w:tblCellMar>
          <w:top w:w="0" w:type="dxa"/>
          <w:left w:w="108" w:type="dxa"/>
          <w:bottom w:w="0" w:type="dxa"/>
          <w:right w:w="108" w:type="dxa"/>
        </w:tblCellMar>
      </w:tblPr>
      <w:tblGrid>
        <w:gridCol w:w="1192"/>
        <w:gridCol w:w="1134"/>
        <w:gridCol w:w="2467"/>
        <w:gridCol w:w="1084"/>
        <w:gridCol w:w="1084"/>
        <w:gridCol w:w="1084"/>
        <w:gridCol w:w="1227"/>
        <w:gridCol w:w="1559"/>
        <w:gridCol w:w="993"/>
        <w:gridCol w:w="1046"/>
      </w:tblGrid>
      <w:tr>
        <w:tblPrEx>
          <w:tblLayout w:type="fixed"/>
          <w:tblCellMar>
            <w:top w:w="0" w:type="dxa"/>
            <w:left w:w="108" w:type="dxa"/>
            <w:bottom w:w="0" w:type="dxa"/>
            <w:right w:w="108" w:type="dxa"/>
          </w:tblCellMar>
        </w:tblPrEx>
        <w:trPr>
          <w:trHeight w:val="1909" w:hRule="atLeast"/>
          <w:jc w:val="center"/>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eastAsia="方正黑体_GBK"/>
                <w:sz w:val="24"/>
                <w:szCs w:val="32"/>
              </w:rPr>
            </w:pPr>
            <w:r>
              <w:rPr>
                <w:rFonts w:eastAsia="方正黑体_GBK"/>
                <w:sz w:val="24"/>
                <w:szCs w:val="32"/>
              </w:rPr>
              <w:t>社（组）</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600" w:lineRule="exact"/>
              <w:jc w:val="center"/>
              <w:rPr>
                <w:rFonts w:eastAsia="方正黑体_GBK"/>
                <w:sz w:val="24"/>
                <w:szCs w:val="32"/>
              </w:rPr>
            </w:pPr>
            <w:r>
              <w:rPr>
                <w:rFonts w:eastAsia="方正黑体_GBK"/>
                <w:sz w:val="24"/>
                <w:szCs w:val="32"/>
              </w:rPr>
              <w:t>姓名</w:t>
            </w:r>
          </w:p>
        </w:tc>
        <w:tc>
          <w:tcPr>
            <w:tcW w:w="2467" w:type="dxa"/>
            <w:tcBorders>
              <w:top w:val="single" w:color="auto" w:sz="4" w:space="0"/>
              <w:left w:val="nil"/>
              <w:bottom w:val="single" w:color="auto" w:sz="4" w:space="0"/>
              <w:right w:val="single" w:color="auto" w:sz="4" w:space="0"/>
            </w:tcBorders>
            <w:shd w:val="clear" w:color="auto" w:fill="auto"/>
            <w:vAlign w:val="center"/>
          </w:tcPr>
          <w:p>
            <w:pPr>
              <w:spacing w:line="600" w:lineRule="exact"/>
              <w:jc w:val="center"/>
              <w:rPr>
                <w:rFonts w:eastAsia="方正黑体_GBK"/>
                <w:sz w:val="24"/>
                <w:szCs w:val="32"/>
              </w:rPr>
            </w:pPr>
            <w:r>
              <w:rPr>
                <w:rFonts w:eastAsia="方正黑体_GBK"/>
                <w:sz w:val="24"/>
                <w:szCs w:val="32"/>
              </w:rPr>
              <w:t>身份证号</w:t>
            </w:r>
          </w:p>
        </w:tc>
        <w:tc>
          <w:tcPr>
            <w:tcW w:w="1084" w:type="dxa"/>
            <w:tcBorders>
              <w:top w:val="single" w:color="auto" w:sz="4" w:space="0"/>
              <w:left w:val="nil"/>
              <w:bottom w:val="single" w:color="auto" w:sz="4" w:space="0"/>
              <w:right w:val="single" w:color="auto" w:sz="4" w:space="0"/>
            </w:tcBorders>
            <w:shd w:val="clear" w:color="auto" w:fill="auto"/>
            <w:vAlign w:val="center"/>
          </w:tcPr>
          <w:p>
            <w:pPr>
              <w:snapToGrid w:val="0"/>
              <w:spacing w:line="440" w:lineRule="exact"/>
              <w:jc w:val="center"/>
              <w:rPr>
                <w:rFonts w:eastAsia="方正黑体_GBK"/>
                <w:sz w:val="24"/>
                <w:szCs w:val="32"/>
              </w:rPr>
            </w:pPr>
            <w:r>
              <w:rPr>
                <w:rFonts w:eastAsia="方正黑体_GBK"/>
                <w:sz w:val="24"/>
                <w:szCs w:val="32"/>
              </w:rPr>
              <w:t>补偿补助面积合计</w:t>
            </w:r>
          </w:p>
        </w:tc>
        <w:tc>
          <w:tcPr>
            <w:tcW w:w="1084" w:type="dxa"/>
            <w:tcBorders>
              <w:top w:val="single" w:color="auto" w:sz="4" w:space="0"/>
              <w:left w:val="nil"/>
              <w:bottom w:val="single" w:color="auto" w:sz="4" w:space="0"/>
              <w:right w:val="single" w:color="auto" w:sz="4" w:space="0"/>
            </w:tcBorders>
            <w:shd w:val="clear" w:color="auto" w:fill="auto"/>
            <w:vAlign w:val="center"/>
          </w:tcPr>
          <w:p>
            <w:pPr>
              <w:snapToGrid w:val="0"/>
              <w:spacing w:line="440" w:lineRule="exact"/>
              <w:jc w:val="center"/>
              <w:rPr>
                <w:rFonts w:eastAsia="方正黑体_GBK"/>
                <w:sz w:val="24"/>
                <w:szCs w:val="32"/>
              </w:rPr>
            </w:pPr>
            <w:r>
              <w:rPr>
                <w:rFonts w:eastAsia="方正黑体_GBK"/>
                <w:sz w:val="24"/>
                <w:szCs w:val="32"/>
              </w:rPr>
              <w:t>国家级公益林生态补偿面积</w:t>
            </w:r>
          </w:p>
        </w:tc>
        <w:tc>
          <w:tcPr>
            <w:tcW w:w="1084" w:type="dxa"/>
            <w:tcBorders>
              <w:top w:val="single" w:color="auto" w:sz="4" w:space="0"/>
              <w:left w:val="nil"/>
              <w:bottom w:val="single" w:color="auto" w:sz="4" w:space="0"/>
              <w:right w:val="single" w:color="auto" w:sz="4" w:space="0"/>
            </w:tcBorders>
            <w:shd w:val="clear" w:color="auto" w:fill="auto"/>
            <w:vAlign w:val="center"/>
          </w:tcPr>
          <w:p>
            <w:pPr>
              <w:snapToGrid w:val="0"/>
              <w:spacing w:line="440" w:lineRule="exact"/>
              <w:jc w:val="center"/>
              <w:rPr>
                <w:rFonts w:eastAsia="方正黑体_GBK"/>
                <w:sz w:val="24"/>
                <w:szCs w:val="32"/>
              </w:rPr>
            </w:pPr>
            <w:r>
              <w:rPr>
                <w:rFonts w:eastAsia="方正黑体_GBK"/>
                <w:sz w:val="24"/>
                <w:szCs w:val="32"/>
              </w:rPr>
              <w:t>地方公益林生态补偿面积</w:t>
            </w:r>
          </w:p>
        </w:tc>
        <w:tc>
          <w:tcPr>
            <w:tcW w:w="1227" w:type="dxa"/>
            <w:tcBorders>
              <w:top w:val="single" w:color="auto" w:sz="4" w:space="0"/>
              <w:left w:val="nil"/>
              <w:bottom w:val="single" w:color="auto" w:sz="4" w:space="0"/>
              <w:right w:val="single" w:color="auto" w:sz="4" w:space="0"/>
            </w:tcBorders>
            <w:shd w:val="clear" w:color="auto" w:fill="auto"/>
            <w:vAlign w:val="center"/>
          </w:tcPr>
          <w:p>
            <w:pPr>
              <w:snapToGrid w:val="0"/>
              <w:spacing w:line="440" w:lineRule="exact"/>
              <w:jc w:val="center"/>
              <w:rPr>
                <w:rFonts w:eastAsia="方正黑体_GBK"/>
                <w:sz w:val="24"/>
                <w:szCs w:val="32"/>
              </w:rPr>
            </w:pPr>
            <w:r>
              <w:rPr>
                <w:rFonts w:eastAsia="方正黑体_GBK"/>
                <w:sz w:val="24"/>
                <w:szCs w:val="32"/>
              </w:rPr>
              <w:t>天然商品林停伐管护补助面积</w:t>
            </w:r>
          </w:p>
        </w:tc>
        <w:tc>
          <w:tcPr>
            <w:tcW w:w="1559" w:type="dxa"/>
            <w:tcBorders>
              <w:top w:val="single" w:color="auto" w:sz="4" w:space="0"/>
              <w:left w:val="nil"/>
              <w:bottom w:val="single" w:color="auto" w:sz="4" w:space="0"/>
              <w:right w:val="single" w:color="auto" w:sz="4" w:space="0"/>
            </w:tcBorders>
            <w:shd w:val="clear" w:color="auto" w:fill="auto"/>
            <w:vAlign w:val="center"/>
          </w:tcPr>
          <w:p>
            <w:pPr>
              <w:snapToGrid w:val="0"/>
              <w:spacing w:line="440" w:lineRule="exact"/>
              <w:jc w:val="center"/>
              <w:rPr>
                <w:rFonts w:eastAsia="方正黑体_GBK"/>
                <w:sz w:val="24"/>
                <w:szCs w:val="32"/>
              </w:rPr>
            </w:pPr>
            <w:r>
              <w:rPr>
                <w:rFonts w:eastAsia="方正黑体_GBK"/>
                <w:sz w:val="24"/>
                <w:szCs w:val="32"/>
              </w:rPr>
              <w:t>银行卡（折）号</w:t>
            </w:r>
          </w:p>
        </w:tc>
        <w:tc>
          <w:tcPr>
            <w:tcW w:w="993" w:type="dxa"/>
            <w:tcBorders>
              <w:top w:val="single" w:color="auto" w:sz="4" w:space="0"/>
              <w:left w:val="nil"/>
              <w:bottom w:val="single" w:color="auto" w:sz="4" w:space="0"/>
              <w:right w:val="single" w:color="auto" w:sz="4" w:space="0"/>
            </w:tcBorders>
            <w:shd w:val="clear" w:color="auto" w:fill="auto"/>
            <w:vAlign w:val="center"/>
          </w:tcPr>
          <w:p>
            <w:pPr>
              <w:snapToGrid w:val="0"/>
              <w:spacing w:line="440" w:lineRule="exact"/>
              <w:jc w:val="center"/>
              <w:rPr>
                <w:rFonts w:eastAsia="方正黑体_GBK"/>
                <w:sz w:val="24"/>
                <w:szCs w:val="32"/>
              </w:rPr>
            </w:pPr>
            <w:r>
              <w:rPr>
                <w:rFonts w:eastAsia="方正黑体_GBK"/>
                <w:sz w:val="24"/>
                <w:szCs w:val="32"/>
              </w:rPr>
              <w:t>联系</w:t>
            </w:r>
          </w:p>
          <w:p>
            <w:pPr>
              <w:snapToGrid w:val="0"/>
              <w:spacing w:line="440" w:lineRule="exact"/>
              <w:jc w:val="center"/>
              <w:rPr>
                <w:rFonts w:eastAsia="方正黑体_GBK"/>
                <w:sz w:val="24"/>
                <w:szCs w:val="32"/>
              </w:rPr>
            </w:pPr>
            <w:r>
              <w:rPr>
                <w:rFonts w:eastAsia="方正黑体_GBK"/>
                <w:sz w:val="24"/>
                <w:szCs w:val="32"/>
              </w:rPr>
              <w:t>电话</w:t>
            </w:r>
          </w:p>
        </w:tc>
        <w:tc>
          <w:tcPr>
            <w:tcW w:w="1046" w:type="dxa"/>
            <w:tcBorders>
              <w:top w:val="single" w:color="auto" w:sz="4" w:space="0"/>
              <w:left w:val="nil"/>
              <w:bottom w:val="single" w:color="auto" w:sz="4" w:space="0"/>
              <w:right w:val="single" w:color="auto" w:sz="4" w:space="0"/>
            </w:tcBorders>
            <w:shd w:val="clear" w:color="auto" w:fill="auto"/>
            <w:vAlign w:val="center"/>
          </w:tcPr>
          <w:p>
            <w:pPr>
              <w:snapToGrid w:val="0"/>
              <w:spacing w:line="440" w:lineRule="exact"/>
              <w:jc w:val="center"/>
              <w:rPr>
                <w:rFonts w:eastAsia="方正黑体_GBK"/>
                <w:sz w:val="24"/>
                <w:szCs w:val="32"/>
              </w:rPr>
            </w:pPr>
            <w:r>
              <w:rPr>
                <w:rFonts w:eastAsia="方正黑体_GBK"/>
                <w:sz w:val="24"/>
                <w:szCs w:val="32"/>
              </w:rPr>
              <w:t>签名</w:t>
            </w:r>
          </w:p>
          <w:p>
            <w:pPr>
              <w:snapToGrid w:val="0"/>
              <w:spacing w:line="440" w:lineRule="exact"/>
              <w:jc w:val="center"/>
              <w:rPr>
                <w:rFonts w:eastAsia="方正黑体_GBK"/>
                <w:sz w:val="24"/>
                <w:szCs w:val="32"/>
              </w:rPr>
            </w:pPr>
            <w:r>
              <w:rPr>
                <w:rFonts w:eastAsia="方正黑体_GBK"/>
                <w:sz w:val="24"/>
                <w:szCs w:val="32"/>
              </w:rPr>
              <w:t>确认</w:t>
            </w:r>
          </w:p>
        </w:tc>
      </w:tr>
      <w:tr>
        <w:tblPrEx>
          <w:tblLayout w:type="fixed"/>
          <w:tblCellMar>
            <w:top w:w="0" w:type="dxa"/>
            <w:left w:w="108" w:type="dxa"/>
            <w:bottom w:w="0" w:type="dxa"/>
            <w:right w:w="108" w:type="dxa"/>
          </w:tblCellMar>
        </w:tblPrEx>
        <w:trPr>
          <w:trHeight w:val="810" w:hRule="atLeast"/>
          <w:jc w:val="center"/>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szCs w:val="32"/>
              </w:rPr>
            </w:pPr>
            <w:r>
              <w:rPr>
                <w:szCs w:val="32"/>
              </w:rPr>
              <w:t>　</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r>
              <w:rPr>
                <w:szCs w:val="32"/>
              </w:rPr>
              <w:t>　</w:t>
            </w:r>
          </w:p>
        </w:tc>
        <w:tc>
          <w:tcPr>
            <w:tcW w:w="2467"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r>
              <w:rPr>
                <w:szCs w:val="32"/>
              </w:rPr>
              <w:t>　</w:t>
            </w:r>
          </w:p>
        </w:tc>
        <w:tc>
          <w:tcPr>
            <w:tcW w:w="1084"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r>
              <w:rPr>
                <w:szCs w:val="32"/>
              </w:rPr>
              <w:t>　</w:t>
            </w:r>
          </w:p>
        </w:tc>
        <w:tc>
          <w:tcPr>
            <w:tcW w:w="1084"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r>
              <w:rPr>
                <w:szCs w:val="32"/>
              </w:rPr>
              <w:t>　</w:t>
            </w:r>
          </w:p>
        </w:tc>
        <w:tc>
          <w:tcPr>
            <w:tcW w:w="1084"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r>
              <w:rPr>
                <w:szCs w:val="32"/>
              </w:rPr>
              <w:t>　</w:t>
            </w:r>
          </w:p>
        </w:tc>
        <w:tc>
          <w:tcPr>
            <w:tcW w:w="1227"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r>
              <w:rPr>
                <w:szCs w:val="3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r>
              <w:rPr>
                <w:szCs w:val="32"/>
              </w:rPr>
              <w:t>　</w:t>
            </w:r>
          </w:p>
        </w:tc>
        <w:tc>
          <w:tcPr>
            <w:tcW w:w="993"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r>
              <w:rPr>
                <w:szCs w:val="32"/>
              </w:rPr>
              <w:t>　</w:t>
            </w:r>
          </w:p>
        </w:tc>
        <w:tc>
          <w:tcPr>
            <w:tcW w:w="1046"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r>
              <w:rPr>
                <w:szCs w:val="32"/>
              </w:rPr>
              <w:t>　</w:t>
            </w:r>
          </w:p>
        </w:tc>
      </w:tr>
      <w:tr>
        <w:tblPrEx>
          <w:tblLayout w:type="fixed"/>
          <w:tblCellMar>
            <w:top w:w="0" w:type="dxa"/>
            <w:left w:w="108" w:type="dxa"/>
            <w:bottom w:w="0" w:type="dxa"/>
            <w:right w:w="108" w:type="dxa"/>
          </w:tblCellMar>
        </w:tblPrEx>
        <w:trPr>
          <w:trHeight w:val="810" w:hRule="atLeast"/>
          <w:jc w:val="center"/>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p>
        </w:tc>
        <w:tc>
          <w:tcPr>
            <w:tcW w:w="2467"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p>
        </w:tc>
        <w:tc>
          <w:tcPr>
            <w:tcW w:w="1084"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p>
        </w:tc>
        <w:tc>
          <w:tcPr>
            <w:tcW w:w="1084"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p>
        </w:tc>
        <w:tc>
          <w:tcPr>
            <w:tcW w:w="1084"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p>
        </w:tc>
        <w:tc>
          <w:tcPr>
            <w:tcW w:w="1227"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p>
        </w:tc>
        <w:tc>
          <w:tcPr>
            <w:tcW w:w="993"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p>
        </w:tc>
        <w:tc>
          <w:tcPr>
            <w:tcW w:w="1046"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p>
        </w:tc>
      </w:tr>
      <w:tr>
        <w:tblPrEx>
          <w:tblLayout w:type="fixed"/>
          <w:tblCellMar>
            <w:top w:w="0" w:type="dxa"/>
            <w:left w:w="108" w:type="dxa"/>
            <w:bottom w:w="0" w:type="dxa"/>
            <w:right w:w="108" w:type="dxa"/>
          </w:tblCellMar>
        </w:tblPrEx>
        <w:trPr>
          <w:trHeight w:val="810" w:hRule="atLeast"/>
          <w:jc w:val="center"/>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p>
        </w:tc>
        <w:tc>
          <w:tcPr>
            <w:tcW w:w="2467"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p>
        </w:tc>
        <w:tc>
          <w:tcPr>
            <w:tcW w:w="1084"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p>
        </w:tc>
        <w:tc>
          <w:tcPr>
            <w:tcW w:w="1084"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p>
        </w:tc>
        <w:tc>
          <w:tcPr>
            <w:tcW w:w="1084"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p>
        </w:tc>
        <w:tc>
          <w:tcPr>
            <w:tcW w:w="1227"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p>
        </w:tc>
        <w:tc>
          <w:tcPr>
            <w:tcW w:w="993"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p>
        </w:tc>
        <w:tc>
          <w:tcPr>
            <w:tcW w:w="1046" w:type="dxa"/>
            <w:tcBorders>
              <w:top w:val="single" w:color="auto" w:sz="4" w:space="0"/>
              <w:left w:val="nil"/>
              <w:bottom w:val="single" w:color="auto" w:sz="4" w:space="0"/>
              <w:right w:val="single" w:color="auto" w:sz="4" w:space="0"/>
            </w:tcBorders>
            <w:shd w:val="clear" w:color="auto" w:fill="auto"/>
            <w:vAlign w:val="center"/>
          </w:tcPr>
          <w:p>
            <w:pPr>
              <w:spacing w:line="600" w:lineRule="exact"/>
              <w:rPr>
                <w:szCs w:val="32"/>
              </w:rPr>
            </w:pPr>
          </w:p>
        </w:tc>
      </w:tr>
    </w:tbl>
    <w:p>
      <w:pPr>
        <w:spacing w:line="600" w:lineRule="exact"/>
        <w:rPr>
          <w:rFonts w:eastAsia="方正楷体_GBK"/>
          <w:szCs w:val="32"/>
        </w:rPr>
        <w:sectPr>
          <w:pgSz w:w="16838" w:h="11906" w:orient="landscape"/>
          <w:pgMar w:top="1531" w:right="2098" w:bottom="1531" w:left="1985" w:header="851" w:footer="1474" w:gutter="0"/>
          <w:cols w:space="425" w:num="1"/>
          <w:docGrid w:type="linesAndChars" w:linePitch="579" w:charSpace="-849"/>
        </w:sectPr>
      </w:pPr>
    </w:p>
    <w:p>
      <w:pPr>
        <w:pStyle w:val="7"/>
        <w:rPr>
          <w:rFonts w:hint="eastAsia" w:eastAsia="方正黑体_GBK"/>
          <w:lang w:val="en-US" w:eastAsia="zh-CN"/>
        </w:rPr>
      </w:pPr>
      <w:r>
        <w:t>附件</w:t>
      </w:r>
      <w:r>
        <w:rPr>
          <w:rFonts w:hint="eastAsia"/>
          <w:lang w:val="en-US" w:eastAsia="zh-CN"/>
        </w:rPr>
        <w:t>4</w:t>
      </w:r>
    </w:p>
    <w:p>
      <w:pPr>
        <w:pStyle w:val="8"/>
      </w:pPr>
      <w:r>
        <w:t>公益林生态补偿及天然商品林停伐管护补助公示表</w:t>
      </w:r>
    </w:p>
    <w:p>
      <w:pPr>
        <w:spacing w:before="240" w:after="240" w:line="600" w:lineRule="exact"/>
        <w:rPr>
          <w:szCs w:val="32"/>
        </w:rPr>
      </w:pPr>
      <w:r>
        <w:rPr>
          <w:szCs w:val="32"/>
        </w:rPr>
        <w:t>乡镇（街道）:      村（居）:        年度   补偿补助单价：   元/亩    单位：亩、元</w:t>
      </w:r>
    </w:p>
    <w:tbl>
      <w:tblPr>
        <w:tblStyle w:val="6"/>
        <w:tblW w:w="12802" w:type="dxa"/>
        <w:tblInd w:w="93" w:type="dxa"/>
        <w:tblLayout w:type="fixed"/>
        <w:tblCellMar>
          <w:top w:w="0" w:type="dxa"/>
          <w:left w:w="108" w:type="dxa"/>
          <w:bottom w:w="0" w:type="dxa"/>
          <w:right w:w="108" w:type="dxa"/>
        </w:tblCellMar>
      </w:tblPr>
      <w:tblGrid>
        <w:gridCol w:w="1040"/>
        <w:gridCol w:w="1040"/>
        <w:gridCol w:w="1830"/>
        <w:gridCol w:w="1830"/>
        <w:gridCol w:w="1830"/>
        <w:gridCol w:w="1971"/>
        <w:gridCol w:w="1701"/>
        <w:gridCol w:w="1560"/>
      </w:tblGrid>
      <w:tr>
        <w:tblPrEx>
          <w:tblLayout w:type="fixed"/>
          <w:tblCellMar>
            <w:top w:w="0" w:type="dxa"/>
            <w:left w:w="108" w:type="dxa"/>
            <w:bottom w:w="0" w:type="dxa"/>
            <w:right w:w="108" w:type="dxa"/>
          </w:tblCellMar>
        </w:tblPrEx>
        <w:trPr>
          <w:trHeight w:val="1095" w:hRule="atLeast"/>
        </w:trPr>
        <w:tc>
          <w:tcPr>
            <w:tcW w:w="1040"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val="0"/>
              <w:spacing w:line="440" w:lineRule="exact"/>
              <w:jc w:val="center"/>
              <w:rPr>
                <w:rFonts w:eastAsia="方正黑体_GBK"/>
                <w:sz w:val="24"/>
                <w:szCs w:val="32"/>
              </w:rPr>
            </w:pPr>
            <w:r>
              <w:rPr>
                <w:rFonts w:eastAsia="方正黑体_GBK"/>
                <w:sz w:val="24"/>
                <w:szCs w:val="32"/>
              </w:rPr>
              <w:t>社（组）</w:t>
            </w:r>
          </w:p>
        </w:tc>
        <w:tc>
          <w:tcPr>
            <w:tcW w:w="1040" w:type="dxa"/>
            <w:tcBorders>
              <w:top w:val="single" w:color="auto" w:sz="8" w:space="0"/>
              <w:left w:val="nil"/>
              <w:bottom w:val="single" w:color="auto" w:sz="8" w:space="0"/>
              <w:right w:val="single" w:color="auto" w:sz="8" w:space="0"/>
            </w:tcBorders>
            <w:shd w:val="clear" w:color="auto" w:fill="auto"/>
            <w:vAlign w:val="center"/>
          </w:tcPr>
          <w:p>
            <w:pPr>
              <w:snapToGrid w:val="0"/>
              <w:spacing w:line="440" w:lineRule="exact"/>
              <w:jc w:val="center"/>
              <w:rPr>
                <w:rFonts w:eastAsia="方正黑体_GBK"/>
                <w:sz w:val="24"/>
                <w:szCs w:val="32"/>
              </w:rPr>
            </w:pPr>
            <w:r>
              <w:rPr>
                <w:rFonts w:eastAsia="方正黑体_GBK"/>
                <w:sz w:val="24"/>
                <w:szCs w:val="32"/>
              </w:rPr>
              <w:t>姓名</w:t>
            </w:r>
          </w:p>
        </w:tc>
        <w:tc>
          <w:tcPr>
            <w:tcW w:w="1830" w:type="dxa"/>
            <w:tcBorders>
              <w:top w:val="single" w:color="auto" w:sz="8" w:space="0"/>
              <w:left w:val="nil"/>
              <w:bottom w:val="single" w:color="auto" w:sz="8" w:space="0"/>
              <w:right w:val="single" w:color="auto" w:sz="8" w:space="0"/>
            </w:tcBorders>
            <w:shd w:val="clear" w:color="auto" w:fill="auto"/>
            <w:vAlign w:val="center"/>
          </w:tcPr>
          <w:p>
            <w:pPr>
              <w:snapToGrid w:val="0"/>
              <w:spacing w:line="440" w:lineRule="exact"/>
              <w:jc w:val="center"/>
              <w:rPr>
                <w:rFonts w:eastAsia="方正黑体_GBK"/>
                <w:sz w:val="24"/>
                <w:szCs w:val="32"/>
              </w:rPr>
            </w:pPr>
            <w:r>
              <w:rPr>
                <w:rFonts w:eastAsia="方正黑体_GBK"/>
                <w:sz w:val="24"/>
                <w:szCs w:val="32"/>
              </w:rPr>
              <w:t>补偿补助面积合计</w:t>
            </w:r>
          </w:p>
        </w:tc>
        <w:tc>
          <w:tcPr>
            <w:tcW w:w="1830" w:type="dxa"/>
            <w:tcBorders>
              <w:top w:val="single" w:color="auto" w:sz="8" w:space="0"/>
              <w:left w:val="nil"/>
              <w:bottom w:val="single" w:color="auto" w:sz="8" w:space="0"/>
              <w:right w:val="single" w:color="auto" w:sz="8" w:space="0"/>
            </w:tcBorders>
            <w:shd w:val="clear" w:color="auto" w:fill="auto"/>
            <w:vAlign w:val="center"/>
          </w:tcPr>
          <w:p>
            <w:pPr>
              <w:snapToGrid w:val="0"/>
              <w:spacing w:line="440" w:lineRule="exact"/>
              <w:jc w:val="center"/>
              <w:rPr>
                <w:rFonts w:eastAsia="方正黑体_GBK"/>
                <w:sz w:val="24"/>
                <w:szCs w:val="32"/>
              </w:rPr>
            </w:pPr>
            <w:r>
              <w:rPr>
                <w:rFonts w:eastAsia="方正黑体_GBK"/>
                <w:sz w:val="24"/>
                <w:szCs w:val="32"/>
              </w:rPr>
              <w:t>国家级公益林生态补偿面积</w:t>
            </w:r>
          </w:p>
        </w:tc>
        <w:tc>
          <w:tcPr>
            <w:tcW w:w="1830" w:type="dxa"/>
            <w:tcBorders>
              <w:top w:val="single" w:color="auto" w:sz="8" w:space="0"/>
              <w:left w:val="nil"/>
              <w:bottom w:val="single" w:color="auto" w:sz="8" w:space="0"/>
              <w:right w:val="single" w:color="auto" w:sz="8" w:space="0"/>
            </w:tcBorders>
            <w:shd w:val="clear" w:color="auto" w:fill="auto"/>
            <w:vAlign w:val="center"/>
          </w:tcPr>
          <w:p>
            <w:pPr>
              <w:snapToGrid w:val="0"/>
              <w:spacing w:line="440" w:lineRule="exact"/>
              <w:jc w:val="center"/>
              <w:rPr>
                <w:rFonts w:eastAsia="方正黑体_GBK"/>
                <w:sz w:val="24"/>
                <w:szCs w:val="32"/>
              </w:rPr>
            </w:pPr>
            <w:r>
              <w:rPr>
                <w:rFonts w:eastAsia="方正黑体_GBK"/>
                <w:sz w:val="24"/>
                <w:szCs w:val="32"/>
              </w:rPr>
              <w:t>地方公益林生态补偿面积</w:t>
            </w:r>
          </w:p>
        </w:tc>
        <w:tc>
          <w:tcPr>
            <w:tcW w:w="1971" w:type="dxa"/>
            <w:tcBorders>
              <w:top w:val="single" w:color="auto" w:sz="8" w:space="0"/>
              <w:left w:val="nil"/>
              <w:bottom w:val="single" w:color="auto" w:sz="8" w:space="0"/>
              <w:right w:val="single" w:color="auto" w:sz="8" w:space="0"/>
            </w:tcBorders>
            <w:shd w:val="clear" w:color="auto" w:fill="auto"/>
            <w:vAlign w:val="center"/>
          </w:tcPr>
          <w:p>
            <w:pPr>
              <w:snapToGrid w:val="0"/>
              <w:spacing w:line="440" w:lineRule="exact"/>
              <w:jc w:val="center"/>
              <w:rPr>
                <w:rFonts w:eastAsia="方正黑体_GBK"/>
                <w:sz w:val="24"/>
                <w:szCs w:val="32"/>
              </w:rPr>
            </w:pPr>
            <w:r>
              <w:rPr>
                <w:rFonts w:eastAsia="方正黑体_GBK"/>
                <w:sz w:val="24"/>
                <w:szCs w:val="32"/>
              </w:rPr>
              <w:t>天然商品林停伐管护补助面积</w:t>
            </w:r>
          </w:p>
        </w:tc>
        <w:tc>
          <w:tcPr>
            <w:tcW w:w="1701" w:type="dxa"/>
            <w:tcBorders>
              <w:top w:val="single" w:color="auto" w:sz="8" w:space="0"/>
              <w:left w:val="nil"/>
              <w:bottom w:val="single" w:color="auto" w:sz="8" w:space="0"/>
              <w:right w:val="single" w:color="auto" w:sz="8" w:space="0"/>
            </w:tcBorders>
            <w:shd w:val="clear" w:color="auto" w:fill="auto"/>
            <w:vAlign w:val="center"/>
          </w:tcPr>
          <w:p>
            <w:pPr>
              <w:snapToGrid w:val="0"/>
              <w:spacing w:line="440" w:lineRule="exact"/>
              <w:jc w:val="center"/>
              <w:rPr>
                <w:rFonts w:eastAsia="方正黑体_GBK"/>
                <w:sz w:val="24"/>
                <w:szCs w:val="32"/>
              </w:rPr>
            </w:pPr>
            <w:r>
              <w:rPr>
                <w:rFonts w:eastAsia="方正黑体_GBK"/>
                <w:sz w:val="24"/>
                <w:szCs w:val="32"/>
              </w:rPr>
              <w:t>补偿补助金额合计</w:t>
            </w:r>
          </w:p>
        </w:tc>
        <w:tc>
          <w:tcPr>
            <w:tcW w:w="1560" w:type="dxa"/>
            <w:tcBorders>
              <w:top w:val="single" w:color="auto" w:sz="8" w:space="0"/>
              <w:left w:val="nil"/>
              <w:bottom w:val="single" w:color="auto" w:sz="8" w:space="0"/>
              <w:right w:val="single" w:color="auto" w:sz="8" w:space="0"/>
            </w:tcBorders>
            <w:shd w:val="clear" w:color="auto" w:fill="auto"/>
            <w:vAlign w:val="center"/>
          </w:tcPr>
          <w:p>
            <w:pPr>
              <w:snapToGrid w:val="0"/>
              <w:spacing w:line="440" w:lineRule="exact"/>
              <w:jc w:val="center"/>
              <w:rPr>
                <w:rFonts w:eastAsia="方正黑体_GBK"/>
                <w:sz w:val="24"/>
                <w:szCs w:val="32"/>
              </w:rPr>
            </w:pPr>
            <w:r>
              <w:rPr>
                <w:rFonts w:eastAsia="方正黑体_GBK"/>
                <w:sz w:val="24"/>
                <w:szCs w:val="32"/>
              </w:rPr>
              <w:t>说明</w:t>
            </w:r>
          </w:p>
        </w:tc>
      </w:tr>
      <w:tr>
        <w:tblPrEx>
          <w:tblLayout w:type="fixed"/>
          <w:tblCellMar>
            <w:top w:w="0" w:type="dxa"/>
            <w:left w:w="108" w:type="dxa"/>
            <w:bottom w:w="0" w:type="dxa"/>
            <w:right w:w="108" w:type="dxa"/>
          </w:tblCellMar>
        </w:tblPrEx>
        <w:trPr>
          <w:trHeight w:val="630" w:hRule="atLeast"/>
        </w:trPr>
        <w:tc>
          <w:tcPr>
            <w:tcW w:w="1040" w:type="dxa"/>
            <w:tcBorders>
              <w:top w:val="nil"/>
              <w:left w:val="single" w:color="auto" w:sz="8" w:space="0"/>
              <w:bottom w:val="single" w:color="auto" w:sz="8" w:space="0"/>
              <w:right w:val="single" w:color="auto" w:sz="8" w:space="0"/>
            </w:tcBorders>
            <w:shd w:val="clear" w:color="auto" w:fill="auto"/>
            <w:vAlign w:val="center"/>
          </w:tcPr>
          <w:p>
            <w:pPr>
              <w:spacing w:line="600" w:lineRule="exact"/>
              <w:rPr>
                <w:sz w:val="24"/>
                <w:szCs w:val="32"/>
              </w:rPr>
            </w:pPr>
          </w:p>
        </w:tc>
        <w:tc>
          <w:tcPr>
            <w:tcW w:w="1040"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p>
        </w:tc>
        <w:tc>
          <w:tcPr>
            <w:tcW w:w="1830"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p>
        </w:tc>
        <w:tc>
          <w:tcPr>
            <w:tcW w:w="1830"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p>
        </w:tc>
        <w:tc>
          <w:tcPr>
            <w:tcW w:w="1830"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p>
        </w:tc>
        <w:tc>
          <w:tcPr>
            <w:tcW w:w="1971"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p>
        </w:tc>
        <w:tc>
          <w:tcPr>
            <w:tcW w:w="1701"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p>
        </w:tc>
        <w:tc>
          <w:tcPr>
            <w:tcW w:w="1560"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p>
        </w:tc>
      </w:tr>
      <w:tr>
        <w:tblPrEx>
          <w:tblLayout w:type="fixed"/>
          <w:tblCellMar>
            <w:top w:w="0" w:type="dxa"/>
            <w:left w:w="108" w:type="dxa"/>
            <w:bottom w:w="0" w:type="dxa"/>
            <w:right w:w="108" w:type="dxa"/>
          </w:tblCellMar>
        </w:tblPrEx>
        <w:trPr>
          <w:trHeight w:val="630" w:hRule="atLeast"/>
        </w:trPr>
        <w:tc>
          <w:tcPr>
            <w:tcW w:w="1040" w:type="dxa"/>
            <w:tcBorders>
              <w:top w:val="nil"/>
              <w:left w:val="single" w:color="auto" w:sz="8" w:space="0"/>
              <w:bottom w:val="single" w:color="auto" w:sz="8" w:space="0"/>
              <w:right w:val="single" w:color="auto" w:sz="8" w:space="0"/>
            </w:tcBorders>
            <w:shd w:val="clear" w:color="auto" w:fill="auto"/>
            <w:vAlign w:val="center"/>
          </w:tcPr>
          <w:p>
            <w:pPr>
              <w:spacing w:line="600" w:lineRule="exact"/>
              <w:rPr>
                <w:sz w:val="24"/>
                <w:szCs w:val="32"/>
              </w:rPr>
            </w:pPr>
          </w:p>
        </w:tc>
        <w:tc>
          <w:tcPr>
            <w:tcW w:w="1040"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p>
        </w:tc>
        <w:tc>
          <w:tcPr>
            <w:tcW w:w="1830"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p>
        </w:tc>
        <w:tc>
          <w:tcPr>
            <w:tcW w:w="1830"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p>
        </w:tc>
        <w:tc>
          <w:tcPr>
            <w:tcW w:w="1830"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p>
        </w:tc>
        <w:tc>
          <w:tcPr>
            <w:tcW w:w="1971"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p>
        </w:tc>
        <w:tc>
          <w:tcPr>
            <w:tcW w:w="1701"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p>
        </w:tc>
        <w:tc>
          <w:tcPr>
            <w:tcW w:w="1560"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p>
        </w:tc>
      </w:tr>
      <w:tr>
        <w:tblPrEx>
          <w:tblLayout w:type="fixed"/>
          <w:tblCellMar>
            <w:top w:w="0" w:type="dxa"/>
            <w:left w:w="108" w:type="dxa"/>
            <w:bottom w:w="0" w:type="dxa"/>
            <w:right w:w="108" w:type="dxa"/>
          </w:tblCellMar>
        </w:tblPrEx>
        <w:trPr>
          <w:trHeight w:val="630" w:hRule="atLeast"/>
        </w:trPr>
        <w:tc>
          <w:tcPr>
            <w:tcW w:w="1040" w:type="dxa"/>
            <w:tcBorders>
              <w:top w:val="nil"/>
              <w:left w:val="single" w:color="auto" w:sz="8" w:space="0"/>
              <w:bottom w:val="single" w:color="auto" w:sz="8" w:space="0"/>
              <w:right w:val="single" w:color="auto" w:sz="8" w:space="0"/>
            </w:tcBorders>
            <w:shd w:val="clear" w:color="auto" w:fill="auto"/>
            <w:vAlign w:val="center"/>
          </w:tcPr>
          <w:p>
            <w:pPr>
              <w:spacing w:line="600" w:lineRule="exact"/>
              <w:rPr>
                <w:sz w:val="24"/>
                <w:szCs w:val="32"/>
              </w:rPr>
            </w:pPr>
            <w:r>
              <w:rPr>
                <w:sz w:val="24"/>
                <w:szCs w:val="32"/>
              </w:rPr>
              <w:t>　</w:t>
            </w:r>
          </w:p>
        </w:tc>
        <w:tc>
          <w:tcPr>
            <w:tcW w:w="1040"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r>
              <w:rPr>
                <w:sz w:val="24"/>
                <w:szCs w:val="32"/>
              </w:rPr>
              <w:t>　</w:t>
            </w:r>
          </w:p>
        </w:tc>
        <w:tc>
          <w:tcPr>
            <w:tcW w:w="1830"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r>
              <w:rPr>
                <w:sz w:val="24"/>
                <w:szCs w:val="32"/>
              </w:rPr>
              <w:t>　</w:t>
            </w:r>
          </w:p>
        </w:tc>
        <w:tc>
          <w:tcPr>
            <w:tcW w:w="1830"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r>
              <w:rPr>
                <w:sz w:val="24"/>
                <w:szCs w:val="32"/>
              </w:rPr>
              <w:t>　</w:t>
            </w:r>
          </w:p>
        </w:tc>
        <w:tc>
          <w:tcPr>
            <w:tcW w:w="1830"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r>
              <w:rPr>
                <w:sz w:val="24"/>
                <w:szCs w:val="32"/>
              </w:rPr>
              <w:t>　</w:t>
            </w:r>
          </w:p>
        </w:tc>
        <w:tc>
          <w:tcPr>
            <w:tcW w:w="1971"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r>
              <w:rPr>
                <w:sz w:val="24"/>
                <w:szCs w:val="32"/>
              </w:rPr>
              <w:t>　</w:t>
            </w:r>
          </w:p>
        </w:tc>
        <w:tc>
          <w:tcPr>
            <w:tcW w:w="1701"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r>
              <w:rPr>
                <w:sz w:val="24"/>
                <w:szCs w:val="32"/>
              </w:rPr>
              <w:t>　</w:t>
            </w:r>
          </w:p>
        </w:tc>
        <w:tc>
          <w:tcPr>
            <w:tcW w:w="1560" w:type="dxa"/>
            <w:tcBorders>
              <w:top w:val="nil"/>
              <w:left w:val="nil"/>
              <w:bottom w:val="single" w:color="auto" w:sz="8" w:space="0"/>
              <w:right w:val="single" w:color="auto" w:sz="8" w:space="0"/>
            </w:tcBorders>
            <w:shd w:val="clear" w:color="auto" w:fill="auto"/>
            <w:vAlign w:val="center"/>
          </w:tcPr>
          <w:p>
            <w:pPr>
              <w:spacing w:line="600" w:lineRule="exact"/>
              <w:rPr>
                <w:sz w:val="24"/>
                <w:szCs w:val="32"/>
              </w:rPr>
            </w:pPr>
            <w:r>
              <w:rPr>
                <w:sz w:val="24"/>
                <w:szCs w:val="32"/>
              </w:rPr>
              <w:t>　</w:t>
            </w:r>
          </w:p>
        </w:tc>
      </w:tr>
    </w:tbl>
    <w:p>
      <w:pPr>
        <w:spacing w:line="600" w:lineRule="exact"/>
        <w:rPr>
          <w:rFonts w:eastAsia="方正楷体_GBK"/>
          <w:szCs w:val="32"/>
        </w:rPr>
        <w:sectPr>
          <w:pgSz w:w="16838" w:h="11906" w:orient="landscape"/>
          <w:pgMar w:top="1531" w:right="2098" w:bottom="1531" w:left="1985" w:header="851" w:footer="1474" w:gutter="0"/>
          <w:cols w:space="425" w:num="1"/>
          <w:docGrid w:type="linesAndChars" w:linePitch="579" w:charSpace="-849"/>
        </w:sectPr>
      </w:pPr>
      <w:r>
        <w:rPr>
          <w:sz w:val="24"/>
          <w:szCs w:val="32"/>
        </w:rPr>
        <w:t>说明：落户确认后及直补兑现前由社（组）选择当地人流相对集中的一至多个场所张贴公示不少于5天。</w:t>
      </w: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p>
    <w:p>
      <w:pPr>
        <w:keepNext w:val="0"/>
        <w:keepLines w:val="0"/>
        <w:pageBreakBefore w:val="0"/>
        <w:widowControl w:val="0"/>
        <w:kinsoku/>
        <w:wordWrap w:val="0"/>
        <w:overflowPunct/>
        <w:topLinePunct w:val="0"/>
        <w:autoSpaceDE/>
        <w:autoSpaceDN/>
        <w:bidi w:val="0"/>
        <w:adjustRightInd/>
        <w:snapToGrid/>
        <w:spacing w:line="320" w:lineRule="exact"/>
        <w:ind w:right="0" w:firstLine="560" w:firstLineChars="200"/>
        <w:jc w:val="center"/>
        <w:textAlignment w:val="auto"/>
        <w:outlineLvl w:val="9"/>
        <w:rPr>
          <w:rFonts w:hint="default" w:ascii="Times New Roman" w:hAnsi="Times New Roman" w:cs="Times New Roman"/>
          <w:color w:val="auto"/>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141605</wp:posOffset>
                </wp:positionV>
                <wp:extent cx="527367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2736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pt;margin-top:11.15pt;height:0.05pt;width:415.25pt;z-index:251661312;mso-width-relative:page;mso-height-relative:page;" filled="f" stroked="t" coordsize="21600,21600" o:gfxdata="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xKRgt0wAAAAcBAAAPAAAAAAAA&#10;AAEAIAAAACIAAABkcnMvZG93bnJldi54bWxQSwECFAAUAAAACACHTuJAk6h2ut4BAACYAwAADgAA&#10;AAAAAAABACAAAAAiAQAAZHJzL2Uyb0RvYy54bWxQSwUGAAAAAAYABgBZAQAAcgUAAAAA&#10;">
                <v:fill on="f" focussize="0,0"/>
                <v:stroke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320" w:lineRule="exact"/>
        <w:ind w:right="0" w:firstLine="280" w:firstLineChars="100"/>
        <w:jc w:val="both"/>
        <w:textAlignment w:val="auto"/>
        <w:outlineLvl w:val="9"/>
        <w:rPr>
          <w:rFonts w:hint="eastAsia" w:ascii="Times New Roman" w:hAnsi="Times New Roman" w:eastAsia="方正仿宋_GBK" w:cs="Times New Roman"/>
          <w:color w:val="000000"/>
          <w:sz w:val="32"/>
          <w:szCs w:val="32"/>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253365</wp:posOffset>
                </wp:positionV>
                <wp:extent cx="527367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2736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pt;margin-top:19.95pt;height:0.05pt;width:415.25pt;z-index:251660288;mso-width-relative:page;mso-height-relative:page;" filled="f" stroked="t" coordsize="21600,21600" o:gfxdata="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Am/HLUAAAABwEAAA8AAAAAAAAA&#10;AQAgAAAAIgAAAGRycy9kb3ducmV2LnhtbFBLAQIUABQAAAAIAIdO4kA3Xs8z3AEAAJgDAAAOAAAA&#10;AAAAAAEAIAAAACMBAABkcnMvZTJvRG9jLnhtbFBLBQYAAAAABgAGAFkBAABxBQAAAAA=&#10;">
                <v:fill on="f" focussize="0,0"/>
                <v:stroke color="#000000" joinstyle="round"/>
                <v:imagedata o:title=""/>
                <o:lock v:ext="edit" aspectratio="f"/>
              </v:line>
            </w:pict>
          </mc:Fallback>
        </mc:AlternateContent>
      </w:r>
      <w:r>
        <w:rPr>
          <w:rFonts w:hint="default" w:ascii="Times New Roman" w:hAnsi="Times New Roman" w:cs="Times New Roman"/>
          <w:color w:val="auto"/>
          <w:sz w:val="28"/>
          <w:szCs w:val="28"/>
        </w:rPr>
        <w:t xml:space="preserve">秀山县林业局办公室   </w:t>
      </w:r>
      <w:r>
        <w:rPr>
          <w:rFonts w:hint="default" w:ascii="Times New Roman" w:hAnsi="Times New Roman" w:cs="Times New Roman"/>
          <w:color w:val="auto"/>
          <w:sz w:val="28"/>
          <w:szCs w:val="28"/>
          <w:lang w:val="en-US" w:eastAsia="zh-CN"/>
        </w:rPr>
        <w:t xml:space="preserve">   </w:t>
      </w:r>
      <w:r>
        <w:rPr>
          <w:rFonts w:hint="eastAsia"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xml:space="preserve"> </w:t>
      </w:r>
      <w:r>
        <w:rPr>
          <w:rFonts w:hint="eastAsia" w:ascii="Times New Roman" w:hAnsi="Times New Roman" w:cs="Times New Roman"/>
          <w:color w:val="auto"/>
          <w:sz w:val="28"/>
          <w:szCs w:val="28"/>
          <w:lang w:val="en-US" w:eastAsia="zh-CN"/>
        </w:rPr>
        <w:t>2020</w:t>
      </w:r>
      <w:r>
        <w:rPr>
          <w:rFonts w:hint="default" w:ascii="Times New Roman" w:hAnsi="Times New Roman" w:cs="Times New Roman"/>
          <w:color w:val="auto"/>
          <w:sz w:val="28"/>
          <w:szCs w:val="28"/>
        </w:rPr>
        <w:t>年</w:t>
      </w:r>
      <w:r>
        <w:rPr>
          <w:rFonts w:hint="eastAsia" w:ascii="Times New Roman" w:hAnsi="Times New Roman" w:cs="Times New Roman"/>
          <w:color w:val="auto"/>
          <w:sz w:val="28"/>
          <w:szCs w:val="28"/>
          <w:lang w:val="en-US" w:eastAsia="zh-CN"/>
        </w:rPr>
        <w:t>1</w:t>
      </w:r>
      <w:r>
        <w:rPr>
          <w:rFonts w:hint="default" w:ascii="Times New Roman" w:hAnsi="Times New Roman" w:cs="Times New Roman"/>
          <w:color w:val="auto"/>
          <w:sz w:val="28"/>
          <w:szCs w:val="28"/>
        </w:rPr>
        <w:t>月</w:t>
      </w:r>
      <w:r>
        <w:rPr>
          <w:rFonts w:hint="eastAsia" w:ascii="Times New Roman" w:hAnsi="Times New Roman" w:cs="Times New Roman"/>
          <w:color w:val="auto"/>
          <w:sz w:val="28"/>
          <w:szCs w:val="28"/>
          <w:lang w:val="en-US" w:eastAsia="zh-CN"/>
        </w:rPr>
        <w:t>9</w:t>
      </w:r>
      <w:r>
        <w:rPr>
          <w:rFonts w:hint="default" w:ascii="Times New Roman" w:hAnsi="Times New Roman" w:cs="Times New Roman"/>
          <w:color w:val="auto"/>
          <w:sz w:val="28"/>
          <w:szCs w:val="28"/>
        </w:rPr>
        <w:t>日印</w:t>
      </w:r>
    </w:p>
    <w:sectPr>
      <w:headerReference r:id="rId5" w:type="default"/>
      <w:footerReference r:id="rId6" w:type="default"/>
      <w:pgSz w:w="11906" w:h="16838"/>
      <w:pgMar w:top="1440" w:right="1786" w:bottom="1440" w:left="1800" w:header="851" w:footer="1103"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roma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rPr>
        <w:sz w:val="28"/>
      </w:rPr>
    </w:pPr>
    <w:r>
      <w:rPr>
        <w:rStyle w:val="5"/>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3</w:t>
    </w:r>
    <w:r>
      <w:rPr>
        <w:kern w:val="0"/>
        <w:sz w:val="28"/>
      </w:rPr>
      <w:fldChar w:fldCharType="end"/>
    </w:r>
    <w:r>
      <w:rPr>
        <w:kern w:val="0"/>
        <w:sz w:val="28"/>
      </w:rPr>
      <w:t xml:space="preserve"> </w:t>
    </w:r>
    <w:r>
      <w:rPr>
        <w:rStyle w:val="5"/>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sz w:val="28"/>
      </w:rPr>
    </w:pPr>
    <w:r>
      <w:rPr>
        <w:rStyle w:val="5"/>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4</w:t>
    </w:r>
    <w:r>
      <w:rPr>
        <w:kern w:val="0"/>
        <w:sz w:val="28"/>
      </w:rPr>
      <w:fldChar w:fldCharType="end"/>
    </w:r>
    <w:r>
      <w:rPr>
        <w:kern w:val="0"/>
        <w:sz w:val="28"/>
      </w:rPr>
      <w:t xml:space="preserve"> </w:t>
    </w:r>
    <w:r>
      <w:rPr>
        <w:rStyle w:val="5"/>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-73025</wp:posOffset>
              </wp:positionV>
              <wp:extent cx="182880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03200"/>
                      </a:xfrm>
                      <a:prstGeom prst="rect">
                        <a:avLst/>
                      </a:prstGeom>
                      <a:noFill/>
                      <a:ln w="9525">
                        <a:noFill/>
                      </a:ln>
                    </wps:spPr>
                    <wps:txbx>
                      <w:txbxContent>
                        <w:p>
                          <w:pPr>
                            <w:rPr>
                              <w:rFonts w:hint="eastAsia"/>
                            </w:rPr>
                          </w:pPr>
                        </w:p>
                      </w:txbxContent>
                    </wps:txbx>
                    <wps:bodyPr wrap="none" lIns="0" tIns="0" rIns="0" bIns="0" upright="0"/>
                  </wps:wsp>
                </a:graphicData>
              </a:graphic>
            </wp:anchor>
          </w:drawing>
        </mc:Choice>
        <mc:Fallback>
          <w:pict>
            <v:shape id="_x0000_s1026" o:spid="_x0000_s1026" o:spt="202" type="#_x0000_t202" style="position:absolute;left:0pt;margin-top:-5.75pt;height:16pt;width:144pt;mso-position-horizontal:outside;mso-position-horizontal-relative:margin;mso-wrap-style:none;z-index:251660288;mso-width-relative:page;mso-height-relative:page;" filled="f" stroked="f" coordsize="21600,21600" o:gfxdata="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5zA561AAAAAcB&#10;AAAPAAAAAAAAAAEAIAAAACIAAABkcnMvZG93bnJldi54bWxQSwECFAAUAAAACACHTuJAhMff+K0B&#10;AAA5AwAADgAAAAAAAAABACAAAAAjAQAAZHJzL2Uyb0RvYy54bWxQSwUGAAAAAAYABgBZAQAAQgUA&#10;AAAA&#10;">
              <v:fill on="f" focussize="0,0"/>
              <v:stroke on="f"/>
              <v:imagedata o:title=""/>
              <o:lock v:ext="edit" aspectratio="f"/>
              <v:textbox inset="0mm,0mm,0mm,0mm">
                <w:txbxContent>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Yjc2OTk4ZjU0YjQ3NmMxZTliMTQyM2YwNmVjODIifQ=="/>
  </w:docVars>
  <w:rsids>
    <w:rsidRoot w:val="015063DB"/>
    <w:rsid w:val="015063DB"/>
    <w:rsid w:val="02B0695A"/>
    <w:rsid w:val="03604D75"/>
    <w:rsid w:val="03975DFA"/>
    <w:rsid w:val="03FF7ADB"/>
    <w:rsid w:val="0A920D08"/>
    <w:rsid w:val="0BEC23F4"/>
    <w:rsid w:val="0E8B26CD"/>
    <w:rsid w:val="0F542C61"/>
    <w:rsid w:val="0F942EE7"/>
    <w:rsid w:val="10584DF1"/>
    <w:rsid w:val="10F5655C"/>
    <w:rsid w:val="137A5075"/>
    <w:rsid w:val="1CBC5362"/>
    <w:rsid w:val="1D221892"/>
    <w:rsid w:val="20CA2F23"/>
    <w:rsid w:val="21E10530"/>
    <w:rsid w:val="22147ADE"/>
    <w:rsid w:val="2459698D"/>
    <w:rsid w:val="251A73D4"/>
    <w:rsid w:val="2D602359"/>
    <w:rsid w:val="2EE062D1"/>
    <w:rsid w:val="37FC2224"/>
    <w:rsid w:val="418C6CAE"/>
    <w:rsid w:val="4BCF7DD3"/>
    <w:rsid w:val="4BFC2625"/>
    <w:rsid w:val="4CCF3556"/>
    <w:rsid w:val="4D3966B2"/>
    <w:rsid w:val="4E137D42"/>
    <w:rsid w:val="501C4558"/>
    <w:rsid w:val="501E48F1"/>
    <w:rsid w:val="53AC4226"/>
    <w:rsid w:val="5428275B"/>
    <w:rsid w:val="5A603884"/>
    <w:rsid w:val="5BCB2C34"/>
    <w:rsid w:val="6B357DAB"/>
    <w:rsid w:val="6CC93326"/>
    <w:rsid w:val="6D590FCC"/>
    <w:rsid w:val="6D977F9A"/>
    <w:rsid w:val="6DD77718"/>
    <w:rsid w:val="705F69C0"/>
    <w:rsid w:val="753826A4"/>
    <w:rsid w:val="78537475"/>
    <w:rsid w:val="79B93B65"/>
    <w:rsid w:val="7ABB56E0"/>
    <w:rsid w:val="7ACA24C0"/>
    <w:rsid w:val="7F551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rPr>
      <w:sz w:val="28"/>
      <w:szCs w:val="28"/>
    </w:rPr>
  </w:style>
  <w:style w:type="paragraph" w:customStyle="1" w:styleId="7">
    <w:name w:val="黑体顶格"/>
    <w:basedOn w:val="1"/>
    <w:qFormat/>
    <w:uiPriority w:val="0"/>
    <w:pPr>
      <w:jc w:val="left"/>
    </w:pPr>
    <w:rPr>
      <w:rFonts w:eastAsia="方正黑体_GBK"/>
      <w:szCs w:val="32"/>
    </w:rPr>
  </w:style>
  <w:style w:type="paragraph" w:customStyle="1" w:styleId="8">
    <w:name w:val="小标宋标题"/>
    <w:basedOn w:val="1"/>
    <w:qFormat/>
    <w:uiPriority w:val="0"/>
    <w:pPr>
      <w:spacing w:line="640" w:lineRule="exact"/>
      <w:jc w:val="center"/>
    </w:pPr>
    <w:rPr>
      <w:rFonts w:eastAsia="方正小标宋_GBK"/>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2019-12-02T02:45:00Z</dcterms:created>
  <dc:creator>1397136335</dc:creator>
  <cp:lastModifiedBy>WPS_1758599198</cp:lastModifiedBy>
  <cp:lastPrinted>2020-01-09T08:23:00Z</cp:lastPrinted>
  <dcterms:modified xsi:type="dcterms:W3CDTF">2026-03-26T07:20:52Z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8A6BFE65943640BFB4301F0E2FE8B5C2_12</vt:lpwstr>
  </property>
</Properties>
</file>