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秀山土家族苗族自治县钟灵镇退役军人服务站</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（一）职能职责</w:t>
      </w:r>
    </w:p>
    <w:p>
      <w:pPr>
        <w:keepNext w:val="0"/>
        <w:keepLines w:val="0"/>
        <w:pageBreakBefore w:val="0"/>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贯彻执行党和国家的路线、方针、政策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法律法规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依法管理本辖区内公共事务，创新经济社会发展环境，为经济社会发展提供良好发展空间和便捷服务，重点履行社会管理和公共服务职能，促进辖区物质文明、精神文明和政治文明建设协调发展。承办县委、县政府交办的其他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rPr>
        <w:t>主要职责：负责做好面对面、个性化、一对一服务退役军人工作，做好关系转接、联络接待、困难帮扶、信息采集、情况反映、立功喜报、悬挂光荣牌和</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八一</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、春节等节日以及重大变故走访慰问等具体事务，搭建政策咨询、帮扶援助、沟通联系、学习交流等活动场所，把党和政府的关怀温暖送到每一个退役军人身边；完成上级交办的其他任务。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（二）机构设置</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本单位为钟灵镇人民政府统一设置的事业站所之一，单位构成为退役军人服务站。</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34.32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收、支与2023年度相比，增加1.81万元，增长5.6%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工资津贴补贴等开支增加，导致本年收入上涨</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34.32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与2023年度相比，增加1.81万元，增长5.6%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工资津贴补贴等开支增加，导致本年收入上涨。</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34.32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34.32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与2023年度相比，增加1.81万元，增长5.6%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追加工资津贴等开支，导致本年度收支较上年增加。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34.32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主要原因是收支持平，无结转结余</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34.32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财政拨款收、支总计各增加1.81万元，增长5.6%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追加工资津贴等开支，导致本年度收支较上年增加。</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34.32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与2023年度相比，增加1.81万元，增长5.6%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追加工资津贴等开支，导致本年度收支较上年增加。</w:t>
      </w:r>
      <w:r>
        <w:rPr>
          <w:rFonts w:hint="default" w:ascii="Times New Roman" w:hAnsi="Times New Roman" w:eastAsia="方正仿宋_GBK"/>
          <w:sz w:val="32"/>
          <w:szCs w:val="32"/>
          <w:shd w:val="clear" w:color="auto" w:fill="FFFFFF"/>
        </w:rPr>
        <w:t>较年初预算数减少1.24万元，下降3.5%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34.32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与2023年度相比，增加1.81万元，增长5.6%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追加工资津贴等开支，导致本年度收支较上年增加</w:t>
      </w:r>
      <w:r>
        <w:rPr>
          <w:rFonts w:hint="default" w:ascii="Times New Roman" w:hAnsi="Times New Roman" w:eastAsia="方正仿宋_GBK"/>
          <w:sz w:val="32"/>
          <w:szCs w:val="32"/>
          <w:shd w:val="clear" w:color="auto" w:fill="FFFFFF"/>
        </w:rPr>
        <w:t>较年初预算数减少1.24万元，下降3.5%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一般公共服务支出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文化旅游体育与传媒支出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30.41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88.6%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较年初预算数减少1.23万元，下降3.9%</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kern w:val="0"/>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对津贴补贴进行规范，</w:t>
      </w:r>
      <w:r>
        <w:rPr>
          <w:rFonts w:hint="eastAsia" w:ascii="方正仿宋_GBK" w:hAnsi="方正仿宋_GBK" w:eastAsia="方正仿宋_GBK" w:cs="方正仿宋_GBK"/>
          <w:sz w:val="32"/>
          <w:szCs w:val="32"/>
          <w:shd w:val="clear" w:color="auto" w:fill="FFFFFF"/>
          <w:lang w:eastAsia="zh-CN"/>
        </w:rPr>
        <w:t>落实过紧日子政策，人员、公用</w:t>
      </w:r>
      <w:r>
        <w:rPr>
          <w:rFonts w:hint="eastAsia" w:ascii="方正仿宋_GBK" w:hAnsi="方正仿宋_GBK" w:eastAsia="方正仿宋_GBK" w:cs="方正仿宋_GBK"/>
          <w:sz w:val="32"/>
          <w:szCs w:val="32"/>
          <w:shd w:val="clear" w:color="auto" w:fill="FFFFFF"/>
        </w:rPr>
        <w:t>经费</w:t>
      </w:r>
      <w:r>
        <w:rPr>
          <w:rFonts w:hint="eastAsia" w:ascii="方正仿宋_GBK" w:hAnsi="方正仿宋_GBK" w:eastAsia="方正仿宋_GBK" w:cs="方正仿宋_GBK"/>
          <w:sz w:val="32"/>
          <w:szCs w:val="32"/>
          <w:shd w:val="clear" w:color="auto" w:fill="FFFFFF"/>
          <w:lang w:eastAsia="zh-CN"/>
        </w:rPr>
        <w:t>收入</w:t>
      </w:r>
      <w:r>
        <w:rPr>
          <w:rFonts w:hint="eastAsia" w:ascii="方正仿宋_GBK" w:hAnsi="方正仿宋_GBK" w:eastAsia="方正仿宋_GBK" w:cs="方正仿宋_GBK"/>
          <w:sz w:val="32"/>
          <w:szCs w:val="32"/>
          <w:shd w:val="clear" w:color="auto" w:fill="FFFFFF"/>
        </w:rPr>
        <w:t>预算降低。</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kern w:val="0"/>
          <w:sz w:val="32"/>
          <w:szCs w:val="32"/>
          <w:shd w:val="clear" w:color="auto" w:fill="FFFFFF"/>
        </w:rPr>
        <w:t>主要原因是</w:t>
      </w:r>
      <w:r>
        <w:rPr>
          <w:rFonts w:hint="eastAsia" w:ascii="Times New Roman" w:hAnsi="Times New Roman" w:eastAsia="方正仿宋_GBK" w:cs="Times New Roman"/>
          <w:kern w:val="0"/>
          <w:sz w:val="32"/>
          <w:szCs w:val="32"/>
          <w:shd w:val="clear" w:color="auto" w:fill="FFFFFF"/>
          <w:lang w:val="en-US" w:eastAsia="zh-CN"/>
        </w:rPr>
        <w:t>年初根据人员情况精准预算。</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numPr>
          <w:ilvl w:val="0"/>
          <w:numId w:val="2"/>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1.87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年初根据人员精准预算。</w:t>
      </w:r>
    </w:p>
    <w:p>
      <w:pPr>
        <w:pStyle w:val="9"/>
        <w:keepNext w:val="0"/>
        <w:keepLines w:val="0"/>
        <w:pageBreakBefore w:val="0"/>
        <w:numPr>
          <w:ilvl w:val="0"/>
          <w:numId w:val="2"/>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粮油物资储备支出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国有资本经营预算支出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债务还本支出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抗疫特别国债安排的支出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34.32</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31.86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与2023年度相比，增加2.51万元，增长8.6%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基本工资调标、人员晋级晋档等导致人员经费增加。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单位职工工资补贴发放</w:t>
      </w:r>
      <w:r>
        <w:rPr>
          <w:rFonts w:hint="eastAsia" w:ascii="方正仿宋_GBK" w:hAnsi="方正仿宋_GBK" w:eastAsia="方正仿宋_GBK" w:cs="方正仿宋_GBK"/>
          <w:sz w:val="32"/>
          <w:szCs w:val="32"/>
          <w:shd w:val="clear" w:color="auto" w:fill="FFFFFF"/>
          <w:lang w:eastAsia="zh-CN"/>
        </w:rPr>
        <w:t>、保障社保、医保、公积金等方面。</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与2023年度相比，减少0.71万元，下降22.4%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压减一般性开支，并按政策将2024年事业人员通讯费纳入2024年度绩效清算，导致日常公用经减少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办公费、水费、电费、培训费等。</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本单位2024年度无政府性基金预算财政拨款收支</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本单位2024年度无国有资本经营预算财政拨款支出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严格落实过紧日子要求，压减不必要会议开支。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与2023年度相比，增加0.12万元，增长100.0%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为满足工作业务需求，加大对单位职工培训力度，提高个人能力。</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0.53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与2023年度相比，增加0.35万元，增长194.4%</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val="en-US" w:eastAsia="zh-CN"/>
        </w:rPr>
        <w:t>为提高职工</w:t>
      </w:r>
      <w:r>
        <w:rPr>
          <w:rFonts w:hint="eastAsia" w:ascii="Times New Roman" w:hAnsi="Times New Roman" w:eastAsia="方正仿宋_GBK"/>
          <w:sz w:val="32"/>
          <w:szCs w:val="32"/>
          <w:shd w:val="clear" w:color="auto" w:fill="FFFFFF"/>
        </w:rPr>
        <w:t>个人</w:t>
      </w:r>
      <w:r>
        <w:rPr>
          <w:rFonts w:hint="eastAsia" w:ascii="方正仿宋_GBK" w:hAnsi="方正仿宋_GBK" w:eastAsia="方正仿宋_GBK" w:cs="方正仿宋_GBK"/>
          <w:sz w:val="32"/>
          <w:szCs w:val="32"/>
          <w:shd w:val="clear" w:color="auto" w:fill="FFFFFF"/>
        </w:rPr>
        <w:t>能力</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增加外出培训。</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cs="Times New Roman"/>
          <w:kern w:val="2"/>
          <w:sz w:val="32"/>
          <w:szCs w:val="32"/>
          <w:lang w:val="en-US" w:eastAsia="zh-CN" w:bidi="ar-SA"/>
        </w:rPr>
        <w:t>本单位属于事业单位，</w:t>
      </w:r>
      <w:r>
        <w:rPr>
          <w:rFonts w:hint="default" w:ascii="Times New Roman" w:hAnsi="Times New Roman" w:eastAsia="方正仿宋_GBK"/>
          <w:sz w:val="32"/>
          <w:szCs w:val="32"/>
          <w:shd w:val="clear" w:color="auto" w:fill="FFFFFF"/>
        </w:rPr>
        <w:t>按照</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default" w:ascii="Times New Roman" w:hAnsi="Times New Roman" w:eastAsia="方正仿宋_GBK"/>
          <w:sz w:val="32"/>
          <w:szCs w:val="32"/>
          <w:shd w:val="clear" w:color="auto" w:fill="FFFFFF"/>
        </w:rPr>
        <w:t>2024年度我单位未发生政府采购事项，无相关经费支出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eastAsia" w:ascii="黑体" w:hAnsi="黑体" w:eastAsia="黑体" w:cs="黑体"/>
          <w:sz w:val="32"/>
          <w:szCs w:val="32"/>
          <w:shd w:val="clear" w:color="auto" w:fill="FFFFFF"/>
          <w:lang w:val="en-US" w:eastAsia="zh-CN"/>
        </w:rPr>
      </w:pPr>
      <w:r>
        <w:rPr>
          <w:rStyle w:val="11"/>
          <w:rFonts w:hint="eastAsia" w:ascii="黑体" w:hAnsi="黑体" w:eastAsia="黑体" w:cs="黑体"/>
          <w:sz w:val="32"/>
          <w:szCs w:val="32"/>
          <w:shd w:val="clear" w:color="auto" w:fill="FFFFFF"/>
          <w:lang w:val="en-US" w:eastAsia="zh-CN"/>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本单位无财政拨款项目预算和支出，故未组织开展项目绩效自评。</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7"/>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本单位是秀山县钟灵镇人民政府下属二级机构，县财政局未委托第三方对我单位开展绩效评价。</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sz w:val="32"/>
          <w:szCs w:val="32"/>
          <w:shd w:val="clear" w:color="auto" w:fill="FFFFFF"/>
          <w:lang w:eastAsia="zh-CN"/>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七</w:t>
      </w:r>
      <w:r>
        <w:rPr>
          <w:rStyle w:val="11"/>
          <w:rFonts w:ascii="黑体" w:hAnsi="黑体" w:eastAsia="黑体" w:cs="黑体"/>
          <w:sz w:val="32"/>
          <w:szCs w:val="32"/>
          <w:shd w:val="clear" w:color="auto" w:fill="FFFFFF"/>
        </w:rPr>
        <w:t>、决算公开联系方式及信息反馈渠道</w:t>
      </w:r>
    </w:p>
    <w:p>
      <w:pPr>
        <w:pStyle w:val="14"/>
        <w:keepNext w:val="0"/>
        <w:keepLines w:val="0"/>
        <w:pageBreakBefore w:val="0"/>
        <w:kinsoku/>
        <w:wordWrap/>
        <w:overflowPunct/>
        <w:topLinePunct w:val="0"/>
        <w:autoSpaceDE w:val="0"/>
        <w:autoSpaceDN/>
        <w:bidi w:val="0"/>
        <w:adjustRightInd/>
        <w:spacing w:line="560" w:lineRule="exact"/>
        <w:ind w:firstLine="64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p>
    <w:p>
      <w:pPr>
        <w:pStyle w:val="14"/>
        <w:keepNext w:val="0"/>
        <w:keepLines w:val="0"/>
        <w:pageBreakBefore w:val="0"/>
        <w:kinsoku/>
        <w:wordWrap/>
        <w:overflowPunct/>
        <w:topLinePunct w:val="0"/>
        <w:autoSpaceDE w:val="0"/>
        <w:autoSpaceDN/>
        <w:bidi w:val="0"/>
        <w:adjustRightInd/>
        <w:spacing w:line="560" w:lineRule="exact"/>
        <w:ind w:firstLine="640"/>
        <w:jc w:val="both"/>
        <w:textAlignment w:val="auto"/>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rPr>
        <w:t>许人月   023-776628008</w:t>
      </w:r>
    </w:p>
    <w:tbl>
      <w:tblPr>
        <w:tblStyle w:val="12"/>
        <w:tblpPr w:leftFromText="180" w:rightFromText="180" w:vertAnchor="text" w:horzAnchor="page" w:tblpX="1058" w:tblpY="22"/>
        <w:tblOverlap w:val="never"/>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94"/>
        <w:gridCol w:w="3558"/>
        <w:gridCol w:w="404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14737" w:type="dxa"/>
            <w:gridSpan w:val="4"/>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429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7852" w:type="dxa"/>
            <w:gridSpan w:val="2"/>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秀山土家族苗族自治县钟灵镇退役军人服务站</w:t>
            </w: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7852"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34.32</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30.41</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34.32</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34.32</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34.32</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15503" w:type="dxa"/>
            <w:gridSpan w:val="10"/>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sz w:val="20"/>
                <w:szCs w:val="20"/>
              </w:rPr>
              <w:t>：</w:t>
            </w:r>
            <w:r>
              <w:rPr>
                <w:sz w:val="20"/>
                <w:u w:color="auto"/>
              </w:rPr>
              <w:t>秀山土家族苗族自治县钟灵镇退役军人服务站</w:t>
            </w: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 w:hRule="atLeast"/>
        </w:trPr>
        <w:tc>
          <w:tcPr>
            <w:tcW w:w="4552"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4552"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秀山土家族苗族自治县钟灵镇退役军人服务站 </w:t>
            </w: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34.32</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7"/>
        <w:gridCol w:w="1521"/>
        <w:gridCol w:w="3179"/>
        <w:gridCol w:w="1694"/>
        <w:gridCol w:w="1694"/>
        <w:gridCol w:w="1694"/>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4678" w:type="dxa"/>
            <w:gridSpan w:val="7"/>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秀山土家族苗族自治县钟灵镇退役军人服务站</w:t>
            </w: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488"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34.32</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34.32</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34.32</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3895"/>
        <w:gridCol w:w="3306"/>
        <w:gridCol w:w="3300"/>
        <w:gridCol w:w="3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15322" w:type="dxa"/>
            <w:gridSpan w:val="5"/>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8687"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秀山土家族苗族自治县钟灵镇退役军人服务站</w:t>
            </w: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8687"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34.32</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5304" w:type="dxa"/>
            <w:gridSpan w:val="9"/>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秀山土家族苗族自治县钟灵镇退役军人服务站</w:t>
            </w: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704" w:type="dxa"/>
            <w:gridSpan w:val="3"/>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13.02</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0" w:hRule="atLeast"/>
        </w:trPr>
        <w:tc>
          <w:tcPr>
            <w:tcW w:w="3333"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31.86</w:t>
            </w:r>
            <w:r>
              <w:rPr>
                <w:rFonts w:ascii="Times New Roman" w:hAnsi="Times New Roman"/>
                <w:color w:val="000000"/>
                <w:sz w:val="18"/>
                <w:u w:color="auto"/>
              </w:rPr>
              <w:t xml:space="preserve"> </w:t>
            </w:r>
          </w:p>
        </w:tc>
        <w:tc>
          <w:tcPr>
            <w:tcW w:w="8718"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秀山土家族苗族自治县钟灵镇退役军人服务站</w:t>
            </w: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01"/>
        <w:gridCol w:w="2917"/>
        <w:gridCol w:w="3264"/>
        <w:gridCol w:w="199"/>
        <w:gridCol w:w="3463"/>
        <w:gridCol w:w="77"/>
        <w:gridCol w:w="3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0" w:hRule="atLeast"/>
        </w:trPr>
        <w:tc>
          <w:tcPr>
            <w:tcW w:w="15322" w:type="dxa"/>
            <w:gridSpan w:val="7"/>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秀山土家族苗族自治县钟灵镇退役军人服务站</w:t>
            </w: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trPr>
        <w:tc>
          <w:tcPr>
            <w:tcW w:w="4918"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1" w:hRule="atLeast"/>
        </w:trPr>
        <w:tc>
          <w:tcPr>
            <w:tcW w:w="4918"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8" w:hRule="atLeast"/>
        </w:trPr>
        <w:tc>
          <w:tcPr>
            <w:tcW w:w="2001"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
      <w:tblGrid>
        <w:gridCol w:w="3179"/>
        <w:gridCol w:w="2416"/>
        <w:gridCol w:w="2375"/>
        <w:gridCol w:w="3674"/>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5595" w:type="dxa"/>
            <w:gridSpan w:val="2"/>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秀山土家族苗族自治县钟灵镇退役军人服务站</w:t>
            </w: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6"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bookmarkStart w:id="0" w:name="_GoBack"/>
      <w:bookmarkEnd w:id="0"/>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552B9"/>
    <w:multiLevelType w:val="singleLevel"/>
    <w:tmpl w:val="83E552B9"/>
    <w:lvl w:ilvl="0" w:tentative="0">
      <w:start w:val="1"/>
      <w:numFmt w:val="chineseCounting"/>
      <w:suff w:val="nothing"/>
      <w:lvlText w:val="%1、"/>
      <w:lvlJc w:val="left"/>
      <w:rPr>
        <w:rFonts w:hint="eastAsia"/>
      </w:rPr>
    </w:lvl>
  </w:abstractNum>
  <w:abstractNum w:abstractNumId="1">
    <w:nsid w:val="C5038EE7"/>
    <w:multiLevelType w:val="singleLevel"/>
    <w:tmpl w:val="C5038EE7"/>
    <w:lvl w:ilvl="0" w:tentative="0">
      <w:start w:val="1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8D4819"/>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7D447C"/>
    <w:rsid w:val="13871C70"/>
    <w:rsid w:val="139D5716"/>
    <w:rsid w:val="13A71CB4"/>
    <w:rsid w:val="13AF1D43"/>
    <w:rsid w:val="13CE1647"/>
    <w:rsid w:val="13DA0C25"/>
    <w:rsid w:val="13FD55AB"/>
    <w:rsid w:val="14200702"/>
    <w:rsid w:val="14907817"/>
    <w:rsid w:val="163A6CEE"/>
    <w:rsid w:val="16BB2FFC"/>
    <w:rsid w:val="173708E3"/>
    <w:rsid w:val="174C19C7"/>
    <w:rsid w:val="17C374FC"/>
    <w:rsid w:val="189079DC"/>
    <w:rsid w:val="189B0D0B"/>
    <w:rsid w:val="18B43F7C"/>
    <w:rsid w:val="194A1770"/>
    <w:rsid w:val="199F2149"/>
    <w:rsid w:val="19B906A4"/>
    <w:rsid w:val="1A2E0152"/>
    <w:rsid w:val="1B6F15B6"/>
    <w:rsid w:val="1BAA2EDC"/>
    <w:rsid w:val="1C5C0973"/>
    <w:rsid w:val="1CA55E64"/>
    <w:rsid w:val="1D014A01"/>
    <w:rsid w:val="1D022362"/>
    <w:rsid w:val="1D1B04B0"/>
    <w:rsid w:val="1D6534C4"/>
    <w:rsid w:val="1DBD6767"/>
    <w:rsid w:val="1DC52125"/>
    <w:rsid w:val="1DD26311"/>
    <w:rsid w:val="1E374ACB"/>
    <w:rsid w:val="1E5E27E3"/>
    <w:rsid w:val="1E60177F"/>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4E62E9"/>
    <w:rsid w:val="2C6762A3"/>
    <w:rsid w:val="2EBF7B3E"/>
    <w:rsid w:val="2EDE1934"/>
    <w:rsid w:val="2FCA4B37"/>
    <w:rsid w:val="2FE029D7"/>
    <w:rsid w:val="2FF06E00"/>
    <w:rsid w:val="30562E26"/>
    <w:rsid w:val="30586FEC"/>
    <w:rsid w:val="30EC7046"/>
    <w:rsid w:val="31564337"/>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A15641"/>
    <w:rsid w:val="36C9128A"/>
    <w:rsid w:val="372E3953"/>
    <w:rsid w:val="37841E99"/>
    <w:rsid w:val="37BF1123"/>
    <w:rsid w:val="383C3F15"/>
    <w:rsid w:val="38BE4696"/>
    <w:rsid w:val="3939115E"/>
    <w:rsid w:val="39B82A39"/>
    <w:rsid w:val="39C42CA8"/>
    <w:rsid w:val="39DC4FD6"/>
    <w:rsid w:val="39F03D7A"/>
    <w:rsid w:val="39F33306"/>
    <w:rsid w:val="3A2C1C67"/>
    <w:rsid w:val="3B0533D5"/>
    <w:rsid w:val="3B1705E5"/>
    <w:rsid w:val="3B18334B"/>
    <w:rsid w:val="3B36794F"/>
    <w:rsid w:val="3BBB736B"/>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5DF316F"/>
    <w:rsid w:val="465B470D"/>
    <w:rsid w:val="46766809"/>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319381F"/>
    <w:rsid w:val="63236436"/>
    <w:rsid w:val="63303185"/>
    <w:rsid w:val="63C25DC5"/>
    <w:rsid w:val="63C62057"/>
    <w:rsid w:val="643D33F5"/>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855449"/>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5D54C9B"/>
    <w:rsid w:val="75E41733"/>
    <w:rsid w:val="761275E6"/>
    <w:rsid w:val="764F62AB"/>
    <w:rsid w:val="765C45EC"/>
    <w:rsid w:val="768A7619"/>
    <w:rsid w:val="772E1EBA"/>
    <w:rsid w:val="77D522DB"/>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2</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2025-10-28T01:51:09Z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