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kinsoku/>
        <w:wordWrap/>
        <w:overflowPunct/>
        <w:topLinePunct w:val="0"/>
        <w:autoSpaceDN/>
        <w:bidi w:val="0"/>
        <w:adjustRightInd/>
        <w:spacing w:before="0" w:beforeAutospacing="0" w:after="0" w:afterAutospacing="0" w:line="560" w:lineRule="exact"/>
        <w:jc w:val="center"/>
        <w:textAlignment w:val="auto"/>
        <w:rPr>
          <w:rFonts w:hint="default" w:ascii="方正小标宋_GBK" w:hAnsi="方正小标宋_GBK" w:eastAsia="方正小标宋_GBK" w:cs="方正小标宋_GBK"/>
          <w:b w:val="0"/>
          <w:bCs w:val="0"/>
          <w:sz w:val="36"/>
          <w:szCs w:val="36"/>
          <w:shd w:val="clear" w:color="auto" w:fill="FFFFFF"/>
        </w:rPr>
      </w:pPr>
      <w:bookmarkStart w:id="0" w:name="_GoBack"/>
      <w:r>
        <w:rPr>
          <w:rFonts w:ascii="方正小标宋_GBK" w:hAnsi="方正小标宋_GBK" w:eastAsia="方正小标宋_GBK" w:cs="方正小标宋_GBK"/>
          <w:b w:val="0"/>
          <w:bCs w:val="0"/>
          <w:sz w:val="36"/>
          <w:szCs w:val="36"/>
        </w:rPr>
        <w:t>重庆市秀山土家族苗族自治县钟灵镇人民政府</w:t>
      </w:r>
      <w:r>
        <w:rPr>
          <w:rFonts w:hint="default" w:ascii="Times New Roman" w:hAnsi="Times New Roman" w:eastAsia="方正小标宋_GBK"/>
          <w:b w:val="0"/>
          <w:bCs w:val="0"/>
          <w:sz w:val="36"/>
          <w:szCs w:val="36"/>
          <w:shd w:val="clear" w:color="auto" w:fill="FFFFFF"/>
        </w:rPr>
        <w:t>2024</w:t>
      </w:r>
      <w:r>
        <w:rPr>
          <w:rFonts w:ascii="方正小标宋_GBK" w:hAnsi="方正小标宋_GBK" w:eastAsia="方正小标宋_GBK" w:cs="方正小标宋_GBK"/>
          <w:b w:val="0"/>
          <w:bCs w:val="0"/>
          <w:sz w:val="36"/>
          <w:szCs w:val="36"/>
          <w:shd w:val="clear" w:color="auto" w:fill="FFFFFF"/>
        </w:rPr>
        <w:t>年度决算公开说明</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textAlignment w:val="auto"/>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一、</w:t>
      </w:r>
      <w:r>
        <w:rPr>
          <w:rStyle w:val="11"/>
          <w:rFonts w:hint="eastAsia" w:ascii="黑体" w:hAnsi="黑体" w:eastAsia="黑体" w:cs="黑体"/>
          <w:sz w:val="32"/>
          <w:szCs w:val="32"/>
          <w:shd w:val="clear" w:color="auto" w:fill="FFFFFF"/>
          <w:lang w:eastAsia="zh-CN"/>
        </w:rPr>
        <w:t>部门</w:t>
      </w:r>
      <w:r>
        <w:rPr>
          <w:rStyle w:val="11"/>
          <w:rFonts w:ascii="黑体" w:hAnsi="黑体" w:eastAsia="黑体" w:cs="黑体"/>
          <w:sz w:val="32"/>
          <w:szCs w:val="32"/>
          <w:shd w:val="clear" w:color="auto" w:fill="FFFFFF"/>
        </w:rPr>
        <w:t>基本情况</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9"/>
        <w:rPr>
          <w:rStyle w:val="11"/>
          <w:rFonts w:hint="default" w:ascii="Times New Roman" w:hAnsi="Times New Roman" w:eastAsia="方正楷体_GBK" w:cs="Times New Roman"/>
          <w:b w:val="0"/>
          <w:bCs/>
          <w:sz w:val="32"/>
          <w:szCs w:val="32"/>
          <w:shd w:val="clear" w:color="auto" w:fill="FFFFFF"/>
        </w:rPr>
      </w:pPr>
      <w:r>
        <w:rPr>
          <w:rStyle w:val="11"/>
          <w:rFonts w:hint="default" w:ascii="Times New Roman" w:hAnsi="Times New Roman" w:eastAsia="方正楷体_GBK" w:cs="Times New Roman"/>
          <w:b w:val="0"/>
          <w:bCs/>
          <w:sz w:val="32"/>
          <w:szCs w:val="32"/>
          <w:shd w:val="clear" w:color="auto" w:fill="FFFFFF"/>
        </w:rPr>
        <w:t>（一）职能职责</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Times New Roman"/>
          <w:sz w:val="32"/>
          <w:szCs w:val="32"/>
          <w:shd w:val="clear" w:color="auto" w:fill="FFFFFF"/>
          <w:lang w:val="en-US" w:eastAsia="zh-CN"/>
        </w:rPr>
      </w:pPr>
      <w:r>
        <w:rPr>
          <w:rFonts w:hint="eastAsia" w:ascii="Times New Roman" w:hAnsi="Times New Roman" w:eastAsia="方正仿宋_GBK" w:cs="Times New Roman"/>
          <w:sz w:val="32"/>
          <w:szCs w:val="32"/>
          <w:shd w:val="clear" w:color="auto" w:fill="FFFFFF"/>
          <w:lang w:val="en-US" w:eastAsia="zh-CN"/>
        </w:rPr>
        <w:t>钟灵镇人民政府</w:t>
      </w:r>
      <w:r>
        <w:rPr>
          <w:rFonts w:hint="default" w:ascii="Times New Roman" w:hAnsi="Times New Roman" w:eastAsia="方正仿宋_GBK" w:cs="Times New Roman"/>
          <w:sz w:val="32"/>
          <w:szCs w:val="32"/>
          <w:shd w:val="clear" w:color="auto" w:fill="FFFFFF"/>
          <w:lang w:val="en-US" w:eastAsia="zh-CN"/>
        </w:rPr>
        <w:t>依据法律、法规，在辖区内行使政府的管理职能。</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val="en-US" w:eastAsia="zh-CN"/>
        </w:rPr>
        <w:t>1.贯彻执行法律、法规、规章和县人民政府的决策部署、依法管理本辖区内公共事务。</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val="en-US" w:eastAsia="zh-CN"/>
        </w:rPr>
        <w:t>2.协助依法履行安全生产、消防安全、食品安全、环境保护、劳动保障、流动人口及出租房屋监督管理工作，承担辖区应急、防汛和防灾减灾工作。</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val="en-US" w:eastAsia="zh-CN"/>
        </w:rPr>
        <w:t>3.负责本辖区的城市管理工作，承担辖区市容环境卫生、绿化美化的管理工作，推进河长制工作，组织、协调城市管理综合执法和环境秩序综合治理工作，推进城市精细化管理。</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val="en-US" w:eastAsia="zh-CN"/>
        </w:rPr>
        <w:t>4.协同建设主管部门监督施工单位依法施工、防治施工扬尘、扰民；配合建设、施工单位做好居民工作，维护施工秩序。</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Times New Roman"/>
          <w:sz w:val="32"/>
          <w:szCs w:val="32"/>
          <w:shd w:val="clear" w:color="auto" w:fill="FFFFFF"/>
          <w:lang w:val="en-US" w:eastAsia="zh-CN"/>
        </w:rPr>
      </w:pPr>
      <w:r>
        <w:rPr>
          <w:rFonts w:hint="eastAsia" w:ascii="Times New Roman" w:hAnsi="Times New Roman" w:eastAsia="方正仿宋_GBK" w:cs="Times New Roman"/>
          <w:sz w:val="32"/>
          <w:szCs w:val="32"/>
          <w:shd w:val="clear" w:color="auto" w:fill="FFFFFF"/>
          <w:lang w:val="en-US" w:eastAsia="zh-CN"/>
        </w:rPr>
        <w:t>5</w:t>
      </w:r>
      <w:r>
        <w:rPr>
          <w:rFonts w:hint="default" w:ascii="Times New Roman" w:hAnsi="Times New Roman" w:eastAsia="方正仿宋_GBK" w:cs="Times New Roman"/>
          <w:sz w:val="32"/>
          <w:szCs w:val="32"/>
          <w:shd w:val="clear" w:color="auto" w:fill="FFFFFF"/>
          <w:lang w:val="en-US" w:eastAsia="zh-CN"/>
        </w:rPr>
        <w:t>.协助有关部门做好辖区拥军优属、优抚安置、社会救济、殡葬改革、残疾人就业等工作。</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Times New Roman"/>
          <w:sz w:val="32"/>
          <w:szCs w:val="32"/>
          <w:shd w:val="clear" w:color="auto" w:fill="FFFFFF"/>
          <w:lang w:val="en-US" w:eastAsia="zh-CN"/>
        </w:rPr>
      </w:pPr>
      <w:r>
        <w:rPr>
          <w:rFonts w:hint="eastAsia" w:ascii="Times New Roman" w:hAnsi="Times New Roman" w:eastAsia="方正仿宋_GBK" w:cs="Times New Roman"/>
          <w:sz w:val="32"/>
          <w:szCs w:val="32"/>
          <w:shd w:val="clear" w:color="auto" w:fill="FFFFFF"/>
          <w:lang w:val="en-US" w:eastAsia="zh-CN"/>
        </w:rPr>
        <w:t>6</w:t>
      </w:r>
      <w:r>
        <w:rPr>
          <w:rFonts w:hint="default" w:ascii="Times New Roman" w:hAnsi="Times New Roman" w:eastAsia="方正仿宋_GBK" w:cs="Times New Roman"/>
          <w:sz w:val="32"/>
          <w:szCs w:val="32"/>
          <w:shd w:val="clear" w:color="auto" w:fill="FFFFFF"/>
          <w:lang w:val="en-US" w:eastAsia="zh-CN"/>
        </w:rPr>
        <w:t>.负责</w:t>
      </w:r>
      <w:r>
        <w:rPr>
          <w:rFonts w:hint="eastAsia" w:ascii="Times New Roman" w:hAnsi="Times New Roman" w:eastAsia="方正仿宋_GBK" w:cs="Times New Roman"/>
          <w:sz w:val="32"/>
          <w:szCs w:val="32"/>
          <w:shd w:val="clear" w:color="auto" w:fill="FFFFFF"/>
          <w:lang w:val="en-US" w:eastAsia="zh-CN"/>
        </w:rPr>
        <w:t>乡镇</w:t>
      </w:r>
      <w:r>
        <w:rPr>
          <w:rFonts w:hint="default" w:ascii="Times New Roman" w:hAnsi="Times New Roman" w:eastAsia="方正仿宋_GBK" w:cs="Times New Roman"/>
          <w:sz w:val="32"/>
          <w:szCs w:val="32"/>
          <w:shd w:val="clear" w:color="auto" w:fill="FFFFFF"/>
          <w:lang w:val="en-US" w:eastAsia="zh-CN"/>
        </w:rPr>
        <w:t>的人民调解、治安保卫工作，加强对违法青少年的帮助教育。</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Times New Roman"/>
          <w:sz w:val="32"/>
          <w:szCs w:val="32"/>
          <w:shd w:val="clear" w:color="auto" w:fill="FFFFFF"/>
          <w:lang w:val="en-US" w:eastAsia="zh-CN"/>
        </w:rPr>
      </w:pPr>
      <w:r>
        <w:rPr>
          <w:rFonts w:hint="eastAsia" w:ascii="Times New Roman" w:hAnsi="Times New Roman" w:eastAsia="方正仿宋_GBK" w:cs="Times New Roman"/>
          <w:sz w:val="32"/>
          <w:szCs w:val="32"/>
          <w:shd w:val="clear" w:color="auto" w:fill="FFFFFF"/>
          <w:lang w:val="en-US" w:eastAsia="zh-CN"/>
        </w:rPr>
        <w:t>7</w:t>
      </w:r>
      <w:r>
        <w:rPr>
          <w:rFonts w:hint="default" w:ascii="Times New Roman" w:hAnsi="Times New Roman" w:eastAsia="方正仿宋_GBK" w:cs="Times New Roman"/>
          <w:sz w:val="32"/>
          <w:szCs w:val="32"/>
          <w:shd w:val="clear" w:color="auto" w:fill="FFFFFF"/>
          <w:lang w:val="en-US" w:eastAsia="zh-CN"/>
        </w:rPr>
        <w:t>.协助武装部门做好辖区民兵训练和公民服兵役工作。 </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Times New Roman"/>
          <w:sz w:val="32"/>
          <w:szCs w:val="32"/>
          <w:shd w:val="clear" w:color="auto" w:fill="FFFFFF"/>
          <w:lang w:val="en-US" w:eastAsia="zh-CN"/>
        </w:rPr>
      </w:pPr>
      <w:r>
        <w:rPr>
          <w:rFonts w:hint="eastAsia" w:ascii="Times New Roman" w:hAnsi="Times New Roman" w:eastAsia="方正仿宋_GBK" w:cs="Times New Roman"/>
          <w:sz w:val="32"/>
          <w:szCs w:val="32"/>
          <w:shd w:val="clear" w:color="auto" w:fill="FFFFFF"/>
          <w:lang w:val="en-US" w:eastAsia="zh-CN"/>
        </w:rPr>
        <w:t>8</w:t>
      </w:r>
      <w:r>
        <w:rPr>
          <w:rFonts w:hint="default" w:ascii="Times New Roman" w:hAnsi="Times New Roman" w:eastAsia="方正仿宋_GBK" w:cs="Times New Roman"/>
          <w:sz w:val="32"/>
          <w:szCs w:val="32"/>
          <w:shd w:val="clear" w:color="auto" w:fill="FFFFFF"/>
          <w:lang w:val="en-US" w:eastAsia="zh-CN"/>
        </w:rPr>
        <w:t>.负责在辖区开展普法教育工作，做好民事调解，信访维稳，开展法律咨询、服务等工作，维护居民的合法权益，搞好辖区内社会综合治理工作。</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Fonts w:hint="eastAsia" w:ascii="Times New Roman" w:hAnsi="Times New Roman" w:eastAsia="方正仿宋_GBK" w:cs="Times New Roman"/>
          <w:sz w:val="32"/>
          <w:szCs w:val="32"/>
          <w:shd w:val="clear" w:color="auto" w:fill="FFFFFF"/>
          <w:lang w:val="en-US" w:eastAsia="zh-CN"/>
        </w:rPr>
      </w:pPr>
      <w:r>
        <w:rPr>
          <w:rFonts w:hint="eastAsia" w:ascii="Times New Roman" w:hAnsi="Times New Roman" w:eastAsia="方正仿宋_GBK" w:cs="Times New Roman"/>
          <w:sz w:val="32"/>
          <w:szCs w:val="32"/>
          <w:shd w:val="clear" w:color="auto" w:fill="FFFFFF"/>
          <w:lang w:val="en-US" w:eastAsia="zh-CN"/>
        </w:rPr>
        <w:t>9</w:t>
      </w:r>
      <w:r>
        <w:rPr>
          <w:rFonts w:hint="default" w:ascii="Times New Roman" w:hAnsi="Times New Roman" w:eastAsia="方正仿宋_GBK" w:cs="Times New Roman"/>
          <w:sz w:val="32"/>
          <w:szCs w:val="32"/>
          <w:shd w:val="clear" w:color="auto" w:fill="FFFFFF"/>
          <w:lang w:val="en-US" w:eastAsia="zh-CN"/>
        </w:rPr>
        <w:t>.承办县委县政府交办的其他事项</w:t>
      </w:r>
      <w:r>
        <w:rPr>
          <w:rFonts w:hint="eastAsia" w:ascii="Times New Roman" w:hAnsi="Times New Roman" w:eastAsia="方正仿宋_GBK" w:cs="Times New Roman"/>
          <w:sz w:val="32"/>
          <w:szCs w:val="32"/>
          <w:shd w:val="clear" w:color="auto" w:fill="FFFFFF"/>
          <w:lang w:val="en-US" w:eastAsia="zh-CN"/>
        </w:rPr>
        <w:t>。</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Style w:val="11"/>
          <w:rFonts w:hint="eastAsia" w:ascii="Times New Roman" w:hAnsi="Times New Roman" w:eastAsia="方正楷体_GBK" w:cs="Times New Roman"/>
          <w:b w:val="0"/>
          <w:bCs/>
          <w:sz w:val="32"/>
          <w:szCs w:val="32"/>
          <w:shd w:val="clear" w:color="auto" w:fill="FFFFFF"/>
          <w:lang w:val="en-US" w:eastAsia="zh-CN"/>
        </w:rPr>
      </w:pPr>
      <w:r>
        <w:rPr>
          <w:rStyle w:val="11"/>
          <w:rFonts w:hint="eastAsia" w:ascii="Times New Roman" w:hAnsi="Times New Roman" w:eastAsia="方正楷体_GBK" w:cs="Times New Roman"/>
          <w:b w:val="0"/>
          <w:bCs/>
          <w:sz w:val="32"/>
          <w:szCs w:val="32"/>
          <w:shd w:val="clear" w:color="auto" w:fill="FFFFFF"/>
          <w:lang w:val="en-US" w:eastAsia="zh-CN"/>
        </w:rPr>
        <w:t>（二）机构设置</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Times New Roman"/>
          <w:sz w:val="32"/>
          <w:szCs w:val="32"/>
          <w:shd w:val="clear" w:color="auto" w:fill="FFFFFF"/>
          <w:lang w:val="en-US" w:eastAsia="zh-CN"/>
        </w:rPr>
      </w:pPr>
      <w:r>
        <w:rPr>
          <w:rFonts w:hint="eastAsia" w:ascii="Times New Roman" w:hAnsi="Times New Roman" w:eastAsia="方正仿宋_GBK" w:cs="Times New Roman"/>
          <w:sz w:val="32"/>
          <w:szCs w:val="32"/>
          <w:shd w:val="clear" w:color="auto" w:fill="FFFFFF"/>
          <w:lang w:val="en-US" w:eastAsia="zh-CN"/>
        </w:rPr>
        <w:t>重庆市秀山县钟灵镇人民政府，内设10个职能科室，分别是：党政办公室、党建工作办公室、经济发展办公室（挂统计办公室牌子）、民政和社会事务办公室（挂卫生健康办公室）、平安建设办公室、规划建设管理环保办公室、应急管理办公室、社区事务服务中心、社区文化服务中心。6个下属事业单位，包含：财政办公室、退役军人服务站、综合行政执法大队、产业发展服务中心、文化服务中心、便民服务中心（退役军人服务站）。</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textAlignment w:val="auto"/>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二、</w:t>
      </w:r>
      <w:r>
        <w:rPr>
          <w:rStyle w:val="11"/>
          <w:rFonts w:hint="eastAsia" w:ascii="黑体" w:hAnsi="黑体" w:eastAsia="黑体" w:cs="黑体"/>
          <w:sz w:val="32"/>
          <w:szCs w:val="32"/>
          <w:shd w:val="clear" w:color="auto" w:fill="FFFFFF"/>
          <w:lang w:eastAsia="zh-CN"/>
        </w:rPr>
        <w:t>部门</w:t>
      </w:r>
      <w:r>
        <w:rPr>
          <w:rStyle w:val="11"/>
          <w:rFonts w:ascii="黑体" w:hAnsi="黑体" w:eastAsia="黑体" w:cs="黑体"/>
          <w:sz w:val="32"/>
          <w:szCs w:val="32"/>
          <w:shd w:val="clear" w:color="auto" w:fill="FFFFFF"/>
        </w:rPr>
        <w:t>决算</w:t>
      </w:r>
      <w:r>
        <w:rPr>
          <w:rStyle w:val="11"/>
          <w:rFonts w:hint="eastAsia" w:ascii="黑体" w:hAnsi="黑体" w:eastAsia="黑体" w:cs="黑体"/>
          <w:sz w:val="32"/>
          <w:szCs w:val="32"/>
          <w:shd w:val="clear" w:color="auto" w:fill="FFFFFF"/>
          <w:lang w:eastAsia="zh-CN"/>
        </w:rPr>
        <w:t>收支</w:t>
      </w:r>
      <w:r>
        <w:rPr>
          <w:rStyle w:val="11"/>
          <w:rFonts w:ascii="黑体" w:hAnsi="黑体" w:eastAsia="黑体" w:cs="黑体"/>
          <w:sz w:val="32"/>
          <w:szCs w:val="32"/>
          <w:shd w:val="clear" w:color="auto" w:fill="FFFFFF"/>
        </w:rPr>
        <w:t>情况说明</w:t>
      </w:r>
    </w:p>
    <w:p>
      <w:pPr>
        <w:pStyle w:val="14"/>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9"/>
        <w:keepNext w:val="0"/>
        <w:keepLines w:val="0"/>
        <w:pageBreakBefore w:val="0"/>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3512.50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收、支与2023年度相比，减少722.64万元，下降17.1%</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为做到应减尽减，把钱花到刀刃上，精简项目，导致本年收入降低。</w:t>
      </w:r>
    </w:p>
    <w:p>
      <w:pPr>
        <w:pStyle w:val="9"/>
        <w:keepNext w:val="0"/>
        <w:keepLines w:val="0"/>
        <w:pageBreakBefore w:val="0"/>
        <w:shd w:val="clear" w:color="auto" w:fill="FFFFFF"/>
        <w:kinsoku/>
        <w:wordWrap/>
        <w:overflowPunct/>
        <w:topLinePunct w:val="0"/>
        <w:autoSpaceDN/>
        <w:bidi w:val="0"/>
        <w:adjustRightInd/>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shd w:val="clear" w:color="auto" w:fill="FFFFFF"/>
        </w:rPr>
      </w:pPr>
      <w:r>
        <w:rPr>
          <w:rStyle w:val="11"/>
          <w:rFonts w:hint="eastAsia" w:ascii="Times New Roman" w:hAnsi="Times New Roman" w:eastAsia="方正仿宋_GBK"/>
          <w:sz w:val="32"/>
          <w:szCs w:val="32"/>
          <w:shd w:val="clear" w:color="auto" w:fill="FFFFFF"/>
          <w:lang w:val="en-US" w:eastAsia="zh-CN"/>
        </w:rPr>
        <w:t>1</w:t>
      </w:r>
      <w:r>
        <w:rPr>
          <w:rStyle w:val="11"/>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3479.84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与2023年度相比，减少413.20万元，下降10.6%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为做到应减尽减，精简项目，导致本年收入降低。</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3479.84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w:t>
      </w:r>
      <w:r>
        <w:rPr>
          <w:rFonts w:hint="eastAsia" w:ascii="方正仿宋_GBK" w:hAnsi="方正仿宋_GBK" w:eastAsia="方正仿宋_GBK" w:cs="方正仿宋_GBK"/>
          <w:sz w:val="32"/>
          <w:szCs w:val="32"/>
          <w:shd w:val="clear" w:color="auto" w:fill="FFFFFF"/>
        </w:rPr>
        <w:t>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32.66</w:t>
      </w:r>
      <w:r>
        <w:rPr>
          <w:rFonts w:ascii="方正仿宋_GBK" w:hAnsi="方正仿宋_GBK" w:eastAsia="方正仿宋_GBK" w:cs="方正仿宋_GBK"/>
          <w:sz w:val="32"/>
          <w:szCs w:val="32"/>
          <w:shd w:val="clear" w:color="auto" w:fill="FFFFFF"/>
        </w:rPr>
        <w:t>万元。</w:t>
      </w:r>
    </w:p>
    <w:p>
      <w:pPr>
        <w:pStyle w:val="9"/>
        <w:keepNext w:val="0"/>
        <w:keepLines w:val="0"/>
        <w:pageBreakBefore w:val="0"/>
        <w:shd w:val="clear" w:color="auto" w:fill="FFFFFF"/>
        <w:kinsoku/>
        <w:wordWrap/>
        <w:overflowPunct/>
        <w:topLinePunct w:val="0"/>
        <w:autoSpaceDN/>
        <w:bidi w:val="0"/>
        <w:adjustRightInd/>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shd w:val="clear" w:color="auto" w:fill="FFFFFF"/>
        </w:rPr>
      </w:pPr>
      <w:r>
        <w:rPr>
          <w:rStyle w:val="11"/>
          <w:rFonts w:hint="eastAsia" w:ascii="Times New Roman" w:hAnsi="Times New Roman" w:eastAsia="方正仿宋_GBK"/>
          <w:sz w:val="32"/>
          <w:szCs w:val="32"/>
          <w:shd w:val="clear" w:color="auto" w:fill="FFFFFF"/>
          <w:lang w:val="en-US" w:eastAsia="zh-CN"/>
        </w:rPr>
        <w:t>2</w:t>
      </w:r>
      <w:r>
        <w:rPr>
          <w:rStyle w:val="11"/>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3512.50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与2023年度相比，减少689.98万元，下降16.4%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为做到应减尽减，把钱花到刀刃上，精简项目，导致本年收入降低。</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1244.89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35.4%</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2267.61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64.6%</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Style w:val="11"/>
          <w:rFonts w:hint="eastAsia" w:ascii="Times New Roman" w:hAnsi="Times New Roman" w:eastAsia="方正仿宋_GBK"/>
          <w:sz w:val="32"/>
          <w:szCs w:val="32"/>
          <w:shd w:val="clear" w:color="auto" w:fill="FFFFFF"/>
          <w:lang w:val="en-US" w:eastAsia="zh-CN"/>
        </w:rPr>
        <w:t>3</w:t>
      </w:r>
      <w:r>
        <w:rPr>
          <w:rStyle w:val="11"/>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与2023年度相比，减少32.66万元，下降100.0%</w:t>
      </w: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eastAsia="zh-CN"/>
        </w:rPr>
        <w:t>主要原因是收支持平，无结转结余</w:t>
      </w:r>
      <w:r>
        <w:rPr>
          <w:rFonts w:hint="eastAsia" w:ascii="方正仿宋_GBK" w:hAnsi="方正仿宋_GBK" w:eastAsia="方正仿宋_GBK" w:cs="方正仿宋_GBK"/>
          <w:sz w:val="32"/>
          <w:szCs w:val="32"/>
          <w:shd w:val="clear" w:color="auto" w:fill="FFFFFF"/>
          <w:lang w:eastAsia="zh-CN"/>
        </w:rPr>
        <w:t>。</w:t>
      </w:r>
    </w:p>
    <w:p>
      <w:pPr>
        <w:pStyle w:val="14"/>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3512.50</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财政拨款收、支总计各减少722.64万元，下降17.1%</w:t>
      </w: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eastAsia="zh-CN"/>
        </w:rPr>
        <w:t>主要原因是</w:t>
      </w:r>
      <w:r>
        <w:rPr>
          <w:rFonts w:hint="eastAsia" w:ascii="方正仿宋_GBK" w:hAnsi="方正仿宋_GBK" w:eastAsia="方正仿宋_GBK" w:cs="方正仿宋_GBK"/>
          <w:sz w:val="32"/>
          <w:szCs w:val="32"/>
          <w:shd w:val="clear" w:color="auto" w:fill="FFFFFF"/>
        </w:rPr>
        <w:t>为做到应减尽减，把钱花到刀刃上，精简项目，导致</w:t>
      </w:r>
      <w:r>
        <w:rPr>
          <w:rFonts w:hint="default" w:ascii="Times New Roman" w:hAnsi="Times New Roman" w:eastAsia="方正仿宋_GBK"/>
          <w:sz w:val="32"/>
          <w:szCs w:val="32"/>
          <w:shd w:val="clear" w:color="auto" w:fill="FFFFFF"/>
        </w:rPr>
        <w:t>财政拨款收、支</w:t>
      </w:r>
      <w:r>
        <w:rPr>
          <w:rFonts w:hint="eastAsia" w:ascii="方正仿宋_GBK" w:hAnsi="方正仿宋_GBK" w:eastAsia="方正仿宋_GBK" w:cs="方正仿宋_GBK"/>
          <w:sz w:val="32"/>
          <w:szCs w:val="32"/>
          <w:shd w:val="clear" w:color="auto" w:fill="FFFFFF"/>
        </w:rPr>
        <w:t>降低。</w:t>
      </w:r>
    </w:p>
    <w:p>
      <w:pPr>
        <w:pStyle w:val="14"/>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Style w:val="11"/>
          <w:rFonts w:hint="default" w:ascii="Times New Roman" w:hAnsi="Times New Roman" w:eastAsia="方正仿宋_GBK"/>
          <w:sz w:val="32"/>
          <w:szCs w:val="32"/>
          <w:shd w:val="clear" w:color="auto" w:fill="FFFFFF"/>
        </w:rPr>
        <w:t>1</w:t>
      </w:r>
      <w:r>
        <w:rPr>
          <w:rStyle w:val="11"/>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3464.84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与2023年度相比，减少394.88万元，下降10.2%</w:t>
      </w: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eastAsia="zh-CN"/>
        </w:rPr>
        <w:t>主要原因是收支持平，无结转结余</w:t>
      </w:r>
      <w:r>
        <w:rPr>
          <w:rFonts w:hint="eastAsia" w:ascii="方正仿宋_GBK" w:hAnsi="方正仿宋_GBK" w:eastAsia="方正仿宋_GBK" w:cs="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较年初预算数增加1041.91万元，增长43.0%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依据实际需求年中追加钟灵镇2024年山银花管护项目、钟灵镇2024年凯贺村油茶春季管护项目（第五年）等部分项目，有效推进产业建设等发展。</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32.66</w:t>
      </w:r>
      <w:r>
        <w:rPr>
          <w:rFonts w:ascii="方正仿宋_GBK" w:hAnsi="方正仿宋_GBK" w:eastAsia="方正仿宋_GBK" w:cs="方正仿宋_GBK"/>
          <w:sz w:val="32"/>
          <w:szCs w:val="32"/>
          <w:shd w:val="clear" w:color="auto" w:fill="FFFFFF"/>
        </w:rPr>
        <w:t>万元。</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ascii="方正仿宋_GBK" w:hAnsi="方正仿宋_GBK" w:eastAsia="方正仿宋_GBK" w:cs="方正仿宋_GBK"/>
          <w:color w:val="FF0000"/>
          <w:sz w:val="32"/>
          <w:szCs w:val="32"/>
          <w:shd w:val="clear" w:color="auto" w:fill="FFFFFF"/>
        </w:rPr>
      </w:pPr>
      <w:r>
        <w:rPr>
          <w:rStyle w:val="11"/>
          <w:rFonts w:hint="default" w:ascii="Times New Roman" w:hAnsi="Times New Roman" w:eastAsia="方正仿宋_GBK"/>
          <w:sz w:val="32"/>
          <w:szCs w:val="32"/>
          <w:shd w:val="clear" w:color="auto" w:fill="FFFFFF"/>
        </w:rPr>
        <w:t>2</w:t>
      </w:r>
      <w:r>
        <w:rPr>
          <w:rStyle w:val="11"/>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3497.50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与2023年度相比，减少530.05万元，下降13.2%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为做到应减尽减，把钱花到刀刃上，精简项目，导致本年收入降低。</w:t>
      </w:r>
      <w:r>
        <w:rPr>
          <w:rFonts w:hint="default" w:ascii="Times New Roman" w:hAnsi="Times New Roman" w:eastAsia="方正仿宋_GBK"/>
          <w:sz w:val="32"/>
          <w:szCs w:val="32"/>
          <w:shd w:val="clear" w:color="auto" w:fill="FFFFFF"/>
        </w:rPr>
        <w:t>较年初预算数增加1074.57万元，增长44.4%</w:t>
      </w:r>
      <w:r>
        <w:rPr>
          <w:rFonts w:ascii="方正仿宋_GBK" w:hAnsi="方正仿宋_GBK" w:eastAsia="方正仿宋_GBK" w:cs="方正仿宋_GBK"/>
          <w:sz w:val="32"/>
          <w:szCs w:val="32"/>
          <w:shd w:val="clear" w:color="auto" w:fill="FFFFFF"/>
        </w:rPr>
        <w:t>。主要原因</w:t>
      </w:r>
      <w:r>
        <w:rPr>
          <w:rFonts w:hint="default" w:ascii="Times New Roman" w:hAnsi="Times New Roman" w:eastAsia="方正仿宋_GBK"/>
          <w:sz w:val="32"/>
          <w:szCs w:val="32"/>
          <w:shd w:val="clear" w:color="auto" w:fill="FFFFFF"/>
        </w:rPr>
        <w:t>是</w:t>
      </w:r>
      <w:r>
        <w:rPr>
          <w:rFonts w:hint="eastAsia" w:ascii="Times New Roman" w:hAnsi="Times New Roman" w:eastAsia="方正仿宋_GBK"/>
          <w:sz w:val="32"/>
          <w:szCs w:val="32"/>
          <w:shd w:val="clear" w:color="auto" w:fill="FFFFFF"/>
        </w:rPr>
        <w:t>依据实际需求年中追加钟灵镇2024年山银花管护项目、钟灵镇2024年凯贺村油茶春季管护项目（第五年）等部分项目，有效推进产业建设等发展。</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）一般公共服务支出</w:t>
      </w:r>
      <w:r>
        <w:rPr>
          <w:rFonts w:hint="default" w:ascii="Times New Roman" w:hAnsi="Times New Roman" w:eastAsia="方正仿宋_GBK"/>
          <w:sz w:val="32"/>
          <w:szCs w:val="32"/>
          <w:shd w:val="clear" w:color="auto" w:fill="FFFFFF"/>
        </w:rPr>
        <w:t>744.31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21.3%</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较年初预算数增加57.48万元，增长8.4%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依据实际需求年中追加秀山县钟灵镇2023年集镇至钟灵小学进校道路建设等部分项目</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导致支出增加。</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2</w:t>
      </w:r>
      <w:r>
        <w:rPr>
          <w:rFonts w:ascii="方正仿宋_GBK" w:hAnsi="方正仿宋_GBK" w:eastAsia="方正仿宋_GBK" w:cs="方正仿宋_GBK"/>
          <w:sz w:val="32"/>
          <w:szCs w:val="32"/>
          <w:shd w:val="clear" w:color="auto" w:fill="FFFFFF"/>
        </w:rPr>
        <w:t>）外交支出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shd w:val="clear" w:color="auto" w:fill="FFFFFF"/>
        </w:rPr>
        <w:t>外交支出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3</w:t>
      </w:r>
      <w:r>
        <w:rPr>
          <w:rFonts w:ascii="方正仿宋_GBK" w:hAnsi="方正仿宋_GBK" w:eastAsia="方正仿宋_GBK" w:cs="方正仿宋_GBK"/>
          <w:sz w:val="32"/>
          <w:szCs w:val="32"/>
          <w:shd w:val="clear" w:color="auto" w:fill="FFFFFF"/>
        </w:rPr>
        <w:t>）国防支出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shd w:val="clear" w:color="auto" w:fill="FFFFFF"/>
        </w:rPr>
        <w:t>国防支出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4</w:t>
      </w:r>
      <w:r>
        <w:rPr>
          <w:rFonts w:ascii="方正仿宋_GBK" w:hAnsi="方正仿宋_GBK" w:eastAsia="方正仿宋_GBK" w:cs="方正仿宋_GBK"/>
          <w:sz w:val="32"/>
          <w:szCs w:val="32"/>
          <w:shd w:val="clear" w:color="auto" w:fill="FFFFFF"/>
        </w:rPr>
        <w:t>）公共安全支出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shd w:val="clear" w:color="auto" w:fill="FFFFFF"/>
        </w:rPr>
        <w:t>公共安全支出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5</w:t>
      </w:r>
      <w:r>
        <w:rPr>
          <w:rFonts w:ascii="方正仿宋_GBK" w:hAnsi="方正仿宋_GBK" w:eastAsia="方正仿宋_GBK" w:cs="方正仿宋_GBK"/>
          <w:sz w:val="32"/>
          <w:szCs w:val="32"/>
          <w:shd w:val="clear" w:color="auto" w:fill="FFFFFF"/>
        </w:rPr>
        <w:t>）教育支出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shd w:val="clear" w:color="auto" w:fill="FFFFFF"/>
        </w:rPr>
        <w:t>教育支出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6</w:t>
      </w:r>
      <w:r>
        <w:rPr>
          <w:rFonts w:ascii="方正仿宋_GBK" w:hAnsi="方正仿宋_GBK" w:eastAsia="方正仿宋_GBK" w:cs="方正仿宋_GBK"/>
          <w:sz w:val="32"/>
          <w:szCs w:val="32"/>
          <w:shd w:val="clear" w:color="auto" w:fill="FFFFFF"/>
        </w:rPr>
        <w:t>）科学技术支出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shd w:val="clear" w:color="auto" w:fill="FFFFFF"/>
        </w:rPr>
        <w:t>科学技术支出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7</w:t>
      </w:r>
      <w:r>
        <w:rPr>
          <w:rFonts w:ascii="方正仿宋_GBK" w:hAnsi="方正仿宋_GBK" w:eastAsia="方正仿宋_GBK" w:cs="方正仿宋_GBK"/>
          <w:sz w:val="32"/>
          <w:szCs w:val="32"/>
          <w:shd w:val="clear" w:color="auto" w:fill="FFFFFF"/>
        </w:rPr>
        <w:t>）文化旅游体育与传媒支出</w:t>
      </w:r>
      <w:r>
        <w:rPr>
          <w:rFonts w:hint="default" w:ascii="Times New Roman" w:hAnsi="Times New Roman" w:eastAsia="方正仿宋_GBK"/>
          <w:sz w:val="32"/>
          <w:szCs w:val="32"/>
          <w:shd w:val="clear" w:color="auto" w:fill="FFFFFF"/>
        </w:rPr>
        <w:t>43.28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较年初预算数增加3.07万元，增长7.6%</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rPr>
        <w:t>主要原因是美术馆、图书馆、文化馆(站)免费开放专项</w:t>
      </w:r>
      <w:r>
        <w:rPr>
          <w:rFonts w:hint="eastAsia" w:ascii="方正仿宋_GBK" w:hAnsi="方正仿宋_GBK" w:eastAsia="方正仿宋_GBK" w:cs="方正仿宋_GBK"/>
          <w:sz w:val="32"/>
          <w:szCs w:val="32"/>
          <w:shd w:val="clear" w:color="auto" w:fill="FFFFFF"/>
          <w:lang w:val="en-US" w:eastAsia="zh-CN"/>
        </w:rPr>
        <w:t>项目</w:t>
      </w:r>
      <w:r>
        <w:rPr>
          <w:rFonts w:hint="eastAsia" w:ascii="方正仿宋_GBK" w:hAnsi="方正仿宋_GBK" w:eastAsia="方正仿宋_GBK" w:cs="方正仿宋_GBK"/>
          <w:sz w:val="32"/>
          <w:szCs w:val="32"/>
          <w:shd w:val="clear" w:color="auto" w:fill="FFFFFF"/>
        </w:rPr>
        <w:t>支出增加，造成全年支出数较年初预算数增加。</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8</w:t>
      </w:r>
      <w:r>
        <w:rPr>
          <w:rFonts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ascii="方正仿宋_GBK" w:hAnsi="方正仿宋_GBK" w:eastAsia="方正仿宋_GBK" w:cs="方正仿宋_GBK"/>
          <w:sz w:val="32"/>
          <w:szCs w:val="32"/>
          <w:shd w:val="clear" w:color="auto" w:fill="FFFFFF"/>
        </w:rPr>
        <w:t>就业支出</w:t>
      </w:r>
      <w:r>
        <w:rPr>
          <w:rFonts w:hint="default" w:ascii="Times New Roman" w:hAnsi="Times New Roman" w:eastAsia="方正仿宋_GBK"/>
          <w:sz w:val="32"/>
          <w:szCs w:val="32"/>
          <w:shd w:val="clear" w:color="auto" w:fill="FFFFFF"/>
        </w:rPr>
        <w:t>250.50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7.2%</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较年初预算数增加12.24万元，增长5.1%</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社保基数调整</w:t>
      </w:r>
      <w:r>
        <w:rPr>
          <w:rFonts w:hint="eastAsia" w:ascii="方正仿宋_GBK" w:hAnsi="方正仿宋_GBK" w:eastAsia="方正仿宋_GBK" w:cs="方正仿宋_GBK"/>
          <w:sz w:val="32"/>
          <w:szCs w:val="32"/>
          <w:shd w:val="clear" w:color="auto" w:fill="FFFFFF"/>
          <w:lang w:eastAsia="zh-CN"/>
        </w:rPr>
        <w:t>、特困人员安埋费、重度残疾人居家托养经费</w:t>
      </w:r>
      <w:r>
        <w:rPr>
          <w:rFonts w:hint="eastAsia" w:ascii="方正仿宋_GBK" w:hAnsi="方正仿宋_GBK" w:eastAsia="方正仿宋_GBK" w:cs="方正仿宋_GBK"/>
          <w:sz w:val="32"/>
          <w:szCs w:val="32"/>
          <w:shd w:val="clear" w:color="auto" w:fill="FFFFFF"/>
        </w:rPr>
        <w:t>等</w:t>
      </w:r>
      <w:r>
        <w:rPr>
          <w:rFonts w:hint="eastAsia" w:ascii="方正仿宋_GBK" w:hAnsi="方正仿宋_GBK" w:eastAsia="方正仿宋_GBK" w:cs="方正仿宋_GBK"/>
          <w:sz w:val="32"/>
          <w:szCs w:val="32"/>
          <w:shd w:val="clear" w:color="auto" w:fill="FFFFFF"/>
          <w:lang w:val="en-US" w:eastAsia="zh-CN"/>
        </w:rPr>
        <w:t>项目增加</w:t>
      </w:r>
      <w:r>
        <w:rPr>
          <w:rFonts w:hint="eastAsia" w:ascii="方正仿宋_GBK" w:hAnsi="方正仿宋_GBK" w:eastAsia="方正仿宋_GBK" w:cs="方正仿宋_GBK"/>
          <w:sz w:val="32"/>
          <w:szCs w:val="32"/>
          <w:shd w:val="clear" w:color="auto" w:fill="FFFFFF"/>
        </w:rPr>
        <w:t>造成与年初预算数差异</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9</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68.13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较年初预算数增加2.79万元，增长4.3%</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城乡居民合作医疗保险参保筹资工作经费等</w:t>
      </w:r>
      <w:r>
        <w:rPr>
          <w:rFonts w:hint="eastAsia" w:ascii="方正仿宋_GBK" w:hAnsi="方正仿宋_GBK" w:eastAsia="方正仿宋_GBK" w:cs="方正仿宋_GBK"/>
          <w:sz w:val="32"/>
          <w:szCs w:val="32"/>
          <w:shd w:val="clear" w:color="auto" w:fill="FFFFFF"/>
          <w:lang w:val="en-US" w:eastAsia="zh-CN"/>
        </w:rPr>
        <w:t>项目增加</w:t>
      </w:r>
      <w:r>
        <w:rPr>
          <w:rFonts w:hint="eastAsia" w:ascii="方正仿宋_GBK" w:hAnsi="方正仿宋_GBK" w:eastAsia="方正仿宋_GBK" w:cs="方正仿宋_GBK"/>
          <w:sz w:val="32"/>
          <w:szCs w:val="32"/>
          <w:shd w:val="clear" w:color="auto" w:fill="FFFFFF"/>
        </w:rPr>
        <w:t>造成与年初预算数差异</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10</w:t>
      </w:r>
      <w:r>
        <w:rPr>
          <w:rFonts w:ascii="方正仿宋_GBK" w:hAnsi="方正仿宋_GBK" w:eastAsia="方正仿宋_GBK" w:cs="方正仿宋_GBK"/>
          <w:sz w:val="32"/>
          <w:szCs w:val="32"/>
          <w:shd w:val="clear" w:color="auto" w:fill="FFFFFF"/>
        </w:rPr>
        <w:t>）节能环保支出</w:t>
      </w:r>
      <w:r>
        <w:rPr>
          <w:rFonts w:hint="default" w:ascii="Times New Roman" w:hAnsi="Times New Roman" w:eastAsia="方正仿宋_GBK"/>
          <w:sz w:val="32"/>
          <w:szCs w:val="32"/>
          <w:shd w:val="clear" w:color="auto" w:fill="FFFFFF"/>
        </w:rPr>
        <w:t>415.37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11.9%</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较年初预算数增加415.37万元，增长100.0%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钟灵乡锰矿厂淘汰锰行业落后产能关闭资金</w:t>
      </w:r>
      <w:r>
        <w:rPr>
          <w:rFonts w:hint="eastAsia" w:ascii="方正仿宋_GBK" w:hAnsi="方正仿宋_GBK" w:eastAsia="方正仿宋_GBK" w:cs="方正仿宋_GBK"/>
          <w:sz w:val="32"/>
          <w:szCs w:val="32"/>
          <w:shd w:val="clear" w:color="auto" w:fill="FFFFFF"/>
          <w:lang w:eastAsia="zh-CN"/>
        </w:rPr>
        <w:t>、志生矿业有限公司天坪锰矿淘汰奖补资金、大塘锰业大塘锰矿关闭奖补资金</w:t>
      </w:r>
      <w:r>
        <w:rPr>
          <w:rFonts w:hint="eastAsia" w:ascii="方正仿宋_GBK" w:hAnsi="方正仿宋_GBK" w:eastAsia="方正仿宋_GBK" w:cs="方正仿宋_GBK"/>
          <w:sz w:val="32"/>
          <w:szCs w:val="32"/>
          <w:shd w:val="clear" w:color="auto" w:fill="FFFFFF"/>
        </w:rPr>
        <w:t>等</w:t>
      </w:r>
      <w:r>
        <w:rPr>
          <w:rFonts w:hint="eastAsia" w:ascii="方正仿宋_GBK" w:hAnsi="方正仿宋_GBK" w:eastAsia="方正仿宋_GBK" w:cs="方正仿宋_GBK"/>
          <w:sz w:val="32"/>
          <w:szCs w:val="32"/>
          <w:shd w:val="clear" w:color="auto" w:fill="FFFFFF"/>
          <w:lang w:val="en-US" w:eastAsia="zh-CN"/>
        </w:rPr>
        <w:t>项目增加</w:t>
      </w:r>
      <w:r>
        <w:rPr>
          <w:rFonts w:hint="eastAsia" w:ascii="方正仿宋_GBK" w:hAnsi="方正仿宋_GBK" w:eastAsia="方正仿宋_GBK" w:cs="方正仿宋_GBK"/>
          <w:sz w:val="32"/>
          <w:szCs w:val="32"/>
          <w:shd w:val="clear" w:color="auto" w:fill="FFFFFF"/>
        </w:rPr>
        <w:t>造成与年初预算数差异</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11</w:t>
      </w:r>
      <w:r>
        <w:rPr>
          <w:rFonts w:ascii="方正仿宋_GBK" w:hAnsi="方正仿宋_GBK" w:eastAsia="方正仿宋_GBK" w:cs="方正仿宋_GBK"/>
          <w:sz w:val="32"/>
          <w:szCs w:val="32"/>
          <w:shd w:val="clear" w:color="auto" w:fill="FFFFFF"/>
        </w:rPr>
        <w:t>）城乡社区支出</w:t>
      </w:r>
      <w:r>
        <w:rPr>
          <w:rFonts w:hint="default" w:ascii="Times New Roman" w:hAnsi="Times New Roman" w:eastAsia="方正仿宋_GBK"/>
          <w:sz w:val="32"/>
          <w:szCs w:val="32"/>
          <w:shd w:val="clear" w:color="auto" w:fill="FFFFFF"/>
        </w:rPr>
        <w:t>48.51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1.4%</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较年初预算数减少100.89万元，下降67.5%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传统村落集中连片保护利用示范补助资金</w:t>
      </w:r>
      <w:r>
        <w:rPr>
          <w:rFonts w:hint="eastAsia" w:ascii="方正仿宋_GBK" w:hAnsi="方正仿宋_GBK" w:eastAsia="方正仿宋_GBK" w:cs="方正仿宋_GBK"/>
          <w:sz w:val="32"/>
          <w:szCs w:val="32"/>
          <w:shd w:val="clear" w:color="auto" w:fill="FFFFFF"/>
          <w:lang w:val="en-US" w:eastAsia="zh-CN"/>
        </w:rPr>
        <w:t>项目，因工程施工进度问题，未全额拨付</w:t>
      </w:r>
      <w:r>
        <w:rPr>
          <w:rFonts w:hint="eastAsia" w:ascii="方正仿宋_GBK" w:hAnsi="方正仿宋_GBK" w:eastAsia="方正仿宋_GBK" w:cs="方正仿宋_GBK"/>
          <w:sz w:val="32"/>
          <w:szCs w:val="32"/>
          <w:shd w:val="clear" w:color="auto" w:fill="FFFFFF"/>
        </w:rPr>
        <w:t>造成与年初预算数差异</w:t>
      </w:r>
      <w:r>
        <w:rPr>
          <w:rFonts w:hint="eastAsia" w:ascii="方正仿宋_GBK" w:hAnsi="方正仿宋_GBK" w:eastAsia="方正仿宋_GBK" w:cs="方正仿宋_GBK"/>
          <w:sz w:val="32"/>
          <w:szCs w:val="32"/>
          <w:shd w:val="clear" w:color="auto" w:fill="FFFFFF"/>
          <w:lang w:val="en-US" w:eastAsia="zh-CN"/>
        </w:rPr>
        <w:t>。</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）农林水支出</w:t>
      </w:r>
      <w:r>
        <w:rPr>
          <w:rFonts w:hint="default" w:ascii="Times New Roman" w:hAnsi="Times New Roman" w:eastAsia="方正仿宋_GBK"/>
          <w:sz w:val="32"/>
          <w:szCs w:val="32"/>
          <w:shd w:val="clear" w:color="auto" w:fill="FFFFFF"/>
        </w:rPr>
        <w:t>1685.09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48.2%</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较年初预算数增加599.38万元，增长55.2%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钟灵镇2024年山银花管护</w:t>
      </w:r>
      <w:r>
        <w:rPr>
          <w:rFonts w:hint="eastAsia" w:ascii="方正仿宋_GBK" w:hAnsi="方正仿宋_GBK" w:eastAsia="方正仿宋_GBK" w:cs="方正仿宋_GBK"/>
          <w:sz w:val="32"/>
          <w:szCs w:val="32"/>
          <w:shd w:val="clear" w:color="auto" w:fill="FFFFFF"/>
          <w:lang w:eastAsia="zh-CN"/>
        </w:rPr>
        <w:t>、钟灵镇2024年黄精管护</w:t>
      </w:r>
      <w:r>
        <w:rPr>
          <w:rFonts w:hint="eastAsia" w:ascii="方正仿宋_GBK" w:hAnsi="方正仿宋_GBK" w:eastAsia="方正仿宋_GBK" w:cs="方正仿宋_GBK"/>
          <w:sz w:val="32"/>
          <w:szCs w:val="32"/>
          <w:shd w:val="clear" w:color="auto" w:fill="FFFFFF"/>
        </w:rPr>
        <w:t>等</w:t>
      </w:r>
      <w:r>
        <w:rPr>
          <w:rFonts w:hint="eastAsia" w:ascii="方正仿宋_GBK" w:hAnsi="方正仿宋_GBK" w:eastAsia="方正仿宋_GBK" w:cs="方正仿宋_GBK"/>
          <w:sz w:val="32"/>
          <w:szCs w:val="32"/>
          <w:shd w:val="clear" w:color="auto" w:fill="FFFFFF"/>
          <w:lang w:val="en-US" w:eastAsia="zh-CN"/>
        </w:rPr>
        <w:t>项目增加</w:t>
      </w:r>
      <w:r>
        <w:rPr>
          <w:rFonts w:hint="eastAsia" w:ascii="方正仿宋_GBK" w:hAnsi="方正仿宋_GBK" w:eastAsia="方正仿宋_GBK" w:cs="方正仿宋_GBK"/>
          <w:sz w:val="32"/>
          <w:szCs w:val="32"/>
          <w:shd w:val="clear" w:color="auto" w:fill="FFFFFF"/>
        </w:rPr>
        <w:t>造成与年初预算数差异</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13</w:t>
      </w:r>
      <w:r>
        <w:rPr>
          <w:rFonts w:ascii="方正仿宋_GBK" w:hAnsi="方正仿宋_GBK" w:eastAsia="方正仿宋_GBK" w:cs="方正仿宋_GBK"/>
          <w:sz w:val="32"/>
          <w:szCs w:val="32"/>
          <w:shd w:val="clear" w:color="auto" w:fill="FFFFFF"/>
        </w:rPr>
        <w:t>）交通运输支出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shd w:val="clear" w:color="auto" w:fill="FFFFFF"/>
        </w:rPr>
        <w:t>交通运输支出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14</w:t>
      </w:r>
      <w:r>
        <w:rPr>
          <w:rFonts w:ascii="方正仿宋_GBK" w:hAnsi="方正仿宋_GBK" w:eastAsia="方正仿宋_GBK" w:cs="方正仿宋_GBK"/>
          <w:sz w:val="32"/>
          <w:szCs w:val="32"/>
          <w:shd w:val="clear" w:color="auto" w:fill="FFFFFF"/>
        </w:rPr>
        <w:t>）资源勘探信息等支出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shd w:val="clear" w:color="auto" w:fill="FFFFFF"/>
        </w:rPr>
        <w:t>资源勘探信息等支出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15</w:t>
      </w:r>
      <w:r>
        <w:rPr>
          <w:rFonts w:ascii="方正仿宋_GBK" w:hAnsi="方正仿宋_GBK" w:eastAsia="方正仿宋_GBK" w:cs="方正仿宋_GBK"/>
          <w:sz w:val="32"/>
          <w:szCs w:val="32"/>
          <w:shd w:val="clear" w:color="auto" w:fill="FFFFFF"/>
        </w:rPr>
        <w:t>）商业服务业等支出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shd w:val="clear" w:color="auto" w:fill="FFFFFF"/>
        </w:rPr>
        <w:t>商业服务业等支出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16</w:t>
      </w:r>
      <w:r>
        <w:rPr>
          <w:rFonts w:ascii="方正仿宋_GBK" w:hAnsi="方正仿宋_GBK" w:eastAsia="方正仿宋_GBK" w:cs="方正仿宋_GBK"/>
          <w:sz w:val="32"/>
          <w:szCs w:val="32"/>
          <w:shd w:val="clear" w:color="auto" w:fill="FFFFFF"/>
        </w:rPr>
        <w:t>）金融支出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shd w:val="clear" w:color="auto" w:fill="FFFFFF"/>
        </w:rPr>
        <w:t>金融支出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17</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援助其他地区支出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rPr>
        <w:t>援助其他地区支出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18</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自然资源海洋气象等支出</w:t>
      </w:r>
      <w:r>
        <w:rPr>
          <w:rFonts w:hint="default" w:ascii="Times New Roman" w:hAnsi="Times New Roman" w:eastAsia="方正仿宋_GBK"/>
          <w:sz w:val="32"/>
          <w:szCs w:val="32"/>
          <w:shd w:val="clear" w:color="auto" w:fill="FFFFFF"/>
        </w:rPr>
        <w:t>129.50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3.7%</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较年初预算数增加81.50万元，增长169.8%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2023年耕地恢复补足工作奖补资金</w:t>
      </w:r>
      <w:r>
        <w:rPr>
          <w:rFonts w:hint="eastAsia" w:ascii="方正仿宋_GBK" w:hAnsi="方正仿宋_GBK" w:eastAsia="方正仿宋_GBK" w:cs="方正仿宋_GBK"/>
          <w:sz w:val="32"/>
          <w:szCs w:val="32"/>
          <w:shd w:val="clear" w:color="auto" w:fill="FFFFFF"/>
          <w:lang w:val="en-US" w:eastAsia="zh-CN"/>
        </w:rPr>
        <w:t>项目增加</w:t>
      </w:r>
      <w:r>
        <w:rPr>
          <w:rFonts w:hint="eastAsia" w:ascii="方正仿宋_GBK" w:hAnsi="方正仿宋_GBK" w:eastAsia="方正仿宋_GBK" w:cs="方正仿宋_GBK"/>
          <w:sz w:val="32"/>
          <w:szCs w:val="32"/>
          <w:shd w:val="clear" w:color="auto" w:fill="FFFFFF"/>
        </w:rPr>
        <w:t>造成与年初预算数差异</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19</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95.92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2.7%</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较年初预算数增加0.70万元，增长0.7%</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sz w:val="32"/>
          <w:szCs w:val="32"/>
          <w:shd w:val="clear" w:color="auto" w:fill="FFFFFF"/>
          <w:lang w:eastAsia="zh-CN"/>
        </w:rPr>
        <w:t>年中进行职工公积金基数调整造成差异。</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20</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粮油物资储备支出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rPr>
        <w:t>粮油物资储备支出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21</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国有资本经营预算支出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rPr>
        <w:t>国有资本经营预算支出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22</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灾害防治及应急管理支出</w:t>
      </w:r>
      <w:r>
        <w:rPr>
          <w:rFonts w:hint="default" w:ascii="Times New Roman" w:hAnsi="Times New Roman" w:eastAsia="方正仿宋_GBK"/>
          <w:sz w:val="32"/>
          <w:szCs w:val="32"/>
          <w:shd w:val="clear" w:color="auto" w:fill="FFFFFF"/>
        </w:rPr>
        <w:t>16.89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0.5%</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较年初预算数增加2.94万元，增长21.1%</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2023年中央自然灾害救灾补助资金(洪涝灾害资金）</w:t>
      </w:r>
      <w:r>
        <w:rPr>
          <w:rFonts w:hint="eastAsia" w:ascii="方正仿宋_GBK" w:hAnsi="方正仿宋_GBK" w:eastAsia="方正仿宋_GBK" w:cs="方正仿宋_GBK"/>
          <w:sz w:val="32"/>
          <w:szCs w:val="32"/>
          <w:shd w:val="clear" w:color="auto" w:fill="FFFFFF"/>
          <w:lang w:val="en-US" w:eastAsia="zh-CN"/>
        </w:rPr>
        <w:t>项目增加</w:t>
      </w:r>
      <w:r>
        <w:rPr>
          <w:rFonts w:hint="eastAsia" w:ascii="方正仿宋_GBK" w:hAnsi="方正仿宋_GBK" w:eastAsia="方正仿宋_GBK" w:cs="方正仿宋_GBK"/>
          <w:sz w:val="32"/>
          <w:szCs w:val="32"/>
          <w:shd w:val="clear" w:color="auto" w:fill="FFFFFF"/>
        </w:rPr>
        <w:t>造成与年初预算数差异</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23</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其他支出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rPr>
        <w:t>其他支出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24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债务还本支出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rPr>
        <w:t>债务还本支出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25</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债务付息支出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rPr>
        <w:t>债务付息支出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26</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抗疫特别国债安排的支出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rPr>
        <w:t>抗疫特别国债安排的支出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color w:val="FF0000"/>
          <w:sz w:val="32"/>
          <w:szCs w:val="32"/>
          <w:shd w:val="clear" w:color="auto" w:fill="FFFFFF"/>
        </w:rPr>
      </w:pPr>
      <w:r>
        <w:rPr>
          <w:rStyle w:val="11"/>
          <w:rFonts w:hint="default" w:ascii="Times New Roman" w:hAnsi="Times New Roman" w:eastAsia="方正仿宋_GBK"/>
          <w:sz w:val="32"/>
          <w:szCs w:val="32"/>
          <w:shd w:val="clear" w:color="auto" w:fill="FFFFFF"/>
        </w:rPr>
        <w:t>3</w:t>
      </w:r>
      <w:r>
        <w:rPr>
          <w:rStyle w:val="11"/>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与2023年度相比，减少32.66万元，下降100.0%</w:t>
      </w: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eastAsia="zh-CN"/>
        </w:rPr>
        <w:t>主要原因是收支持平，无结转结余</w:t>
      </w:r>
      <w:r>
        <w:rPr>
          <w:rFonts w:hint="eastAsia" w:ascii="方正仿宋_GBK" w:hAnsi="方正仿宋_GBK" w:eastAsia="方正仿宋_GBK" w:cs="方正仿宋_GBK"/>
          <w:sz w:val="32"/>
          <w:szCs w:val="32"/>
          <w:shd w:val="clear" w:color="auto" w:fill="FFFFFF"/>
          <w:lang w:eastAsia="zh-CN"/>
        </w:rPr>
        <w:t>。</w:t>
      </w:r>
    </w:p>
    <w:p>
      <w:pPr>
        <w:pStyle w:val="14"/>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1244.89</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0" w:firstLineChars="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1076.55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与2023年度相比，增加79.73万元，增长8.0%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人员增加</w:t>
      </w:r>
      <w:r>
        <w:rPr>
          <w:rFonts w:hint="eastAsia" w:ascii="方正仿宋_GBK" w:hAnsi="方正仿宋_GBK" w:eastAsia="方正仿宋_GBK" w:cs="方正仿宋_GBK"/>
          <w:sz w:val="32"/>
          <w:szCs w:val="32"/>
          <w:shd w:val="clear" w:color="auto" w:fill="FFFFFF"/>
        </w:rPr>
        <w:t>，导致相应人员经费增加</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人员经费用途主要包括</w:t>
      </w:r>
      <w:r>
        <w:rPr>
          <w:rFonts w:hint="eastAsia" w:ascii="方正仿宋_GBK" w:hAnsi="方正仿宋_GBK" w:eastAsia="方正仿宋_GBK" w:cs="方正仿宋_GBK"/>
          <w:sz w:val="32"/>
          <w:szCs w:val="32"/>
          <w:shd w:val="clear" w:color="auto" w:fill="FFFFFF"/>
        </w:rPr>
        <w:t>单位职工工资补贴发放</w:t>
      </w:r>
      <w:r>
        <w:rPr>
          <w:rFonts w:hint="eastAsia" w:ascii="方正仿宋_GBK" w:hAnsi="方正仿宋_GBK" w:eastAsia="方正仿宋_GBK" w:cs="方正仿宋_GBK"/>
          <w:sz w:val="32"/>
          <w:szCs w:val="32"/>
          <w:shd w:val="clear" w:color="auto" w:fill="FFFFFF"/>
          <w:lang w:eastAsia="zh-CN"/>
        </w:rPr>
        <w:t>、保障社保、医保、公积金等方面。</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168.34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与2023年度相比，减少29.15万元，下降14.8%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严格落实过紧日子要求，厉行节约，压减一般性开支，降低运行成本。</w:t>
      </w:r>
      <w:r>
        <w:rPr>
          <w:rFonts w:ascii="方正仿宋_GBK" w:hAnsi="方正仿宋_GBK" w:eastAsia="方正仿宋_GBK" w:cs="方正仿宋_GBK"/>
          <w:sz w:val="32"/>
          <w:szCs w:val="32"/>
          <w:shd w:val="clear" w:color="auto" w:fill="FFFFFF"/>
        </w:rPr>
        <w:t>公用经费用途主要包括</w:t>
      </w:r>
      <w:r>
        <w:rPr>
          <w:rFonts w:hint="eastAsia" w:ascii="方正仿宋_GBK" w:hAnsi="方正仿宋_GBK" w:eastAsia="方正仿宋_GBK" w:cs="方正仿宋_GBK"/>
          <w:sz w:val="32"/>
          <w:szCs w:val="32"/>
          <w:shd w:val="clear" w:color="auto" w:fill="FFFFFF"/>
          <w:lang w:eastAsia="zh-CN"/>
        </w:rPr>
        <w:t>办公费、水费、电费、培训费等。</w:t>
      </w:r>
    </w:p>
    <w:p>
      <w:pPr>
        <w:pStyle w:val="14"/>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年度政府性基金预算财政拨款年初结转结余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万元，年末结转结余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万元。本年收入</w:t>
      </w:r>
      <w:r>
        <w:rPr>
          <w:rFonts w:hint="default" w:ascii="Times New Roman" w:hAnsi="Times New Roman" w:eastAsia="方正仿宋_GBK"/>
          <w:sz w:val="32"/>
          <w:szCs w:val="32"/>
          <w:shd w:val="clear" w:color="auto" w:fill="FFFFFF"/>
        </w:rPr>
        <w:t>15.00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与2023年度相比，减少18.32万元，下降55.0%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严格落实过紧日子要求</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政府性基金项目减少，导致收入减少。</w:t>
      </w:r>
      <w:r>
        <w:rPr>
          <w:rFonts w:ascii="方正仿宋_GBK" w:hAnsi="方正仿宋_GBK" w:eastAsia="方正仿宋_GBK" w:cs="方正仿宋_GBK"/>
          <w:sz w:val="32"/>
          <w:szCs w:val="32"/>
          <w:shd w:val="clear" w:color="auto" w:fill="FFFFFF"/>
        </w:rPr>
        <w:t>本年支出</w:t>
      </w:r>
      <w:r>
        <w:rPr>
          <w:rFonts w:hint="default" w:ascii="Times New Roman" w:hAnsi="Times New Roman" w:eastAsia="方正仿宋_GBK"/>
          <w:sz w:val="32"/>
          <w:szCs w:val="32"/>
          <w:shd w:val="clear" w:color="auto" w:fill="FFFFFF"/>
        </w:rPr>
        <w:t>15.00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与2023年度相比，减少159.93万元，下降91.4%</w:t>
      </w:r>
      <w:r>
        <w:rPr>
          <w:rFonts w:ascii="方正仿宋_GBK" w:hAnsi="方正仿宋_GBK" w:eastAsia="方正仿宋_GBK" w:cs="方正仿宋_GBK"/>
          <w:sz w:val="32"/>
          <w:szCs w:val="32"/>
          <w:shd w:val="clear" w:color="auto" w:fill="FFFFFF"/>
        </w:rPr>
        <w:t>，主要原因</w:t>
      </w:r>
      <w:r>
        <w:rPr>
          <w:rFonts w:hint="default" w:ascii="Times New Roman" w:hAnsi="Times New Roman" w:eastAsia="方正仿宋_GBK"/>
          <w:sz w:val="32"/>
          <w:szCs w:val="32"/>
          <w:shd w:val="clear" w:color="auto" w:fill="FFFFFF"/>
        </w:rPr>
        <w:t>是</w:t>
      </w:r>
      <w:r>
        <w:rPr>
          <w:rFonts w:hint="eastAsia" w:ascii="Times New Roman" w:hAnsi="Times New Roman" w:eastAsia="方正仿宋_GBK"/>
          <w:sz w:val="32"/>
          <w:szCs w:val="32"/>
          <w:shd w:val="clear" w:color="auto" w:fill="FFFFFF"/>
        </w:rPr>
        <w:t>2020年市级水库移民后期扶持基金（大中型水库）</w:t>
      </w:r>
      <w:r>
        <w:rPr>
          <w:rFonts w:hint="eastAsia" w:ascii="Times New Roman" w:hAnsi="Times New Roman" w:eastAsia="方正仿宋_GBK"/>
          <w:sz w:val="32"/>
          <w:szCs w:val="32"/>
          <w:shd w:val="clear" w:color="auto" w:fill="FFFFFF"/>
          <w:lang w:eastAsia="zh-CN"/>
        </w:rPr>
        <w:t>、2022年市级福彩公益金用于社会福利事业（社区建设）</w:t>
      </w:r>
      <w:r>
        <w:rPr>
          <w:rFonts w:hint="eastAsia" w:ascii="Times New Roman" w:hAnsi="Times New Roman" w:eastAsia="方正仿宋_GBK"/>
          <w:sz w:val="32"/>
          <w:szCs w:val="32"/>
          <w:shd w:val="clear" w:color="auto" w:fill="FFFFFF"/>
          <w:lang w:val="en-US" w:eastAsia="zh-CN"/>
        </w:rPr>
        <w:t>等项目均在2023年度完工，导致</w:t>
      </w:r>
      <w:r>
        <w:rPr>
          <w:rFonts w:hint="eastAsia" w:ascii="方正仿宋_GBK" w:hAnsi="方正仿宋_GBK" w:eastAsia="方正仿宋_GBK" w:cs="方正仿宋_GBK"/>
          <w:sz w:val="32"/>
          <w:szCs w:val="32"/>
          <w:shd w:val="clear" w:color="auto" w:fill="FFFFFF"/>
          <w:lang w:val="en-US" w:eastAsia="zh-CN"/>
        </w:rPr>
        <w:t>政府性基金项目支出减少。</w:t>
      </w:r>
    </w:p>
    <w:p>
      <w:pPr>
        <w:pStyle w:val="14"/>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638" w:leftChars="266" w:firstLine="0" w:firstLineChars="0"/>
        <w:textAlignment w:val="auto"/>
        <w:rPr>
          <w:rStyle w:val="11"/>
          <w:rFonts w:hint="default" w:ascii="黑体" w:hAnsi="黑体" w:eastAsia="黑体" w:cs="黑体"/>
          <w:sz w:val="32"/>
          <w:szCs w:val="32"/>
          <w:shd w:val="clear" w:color="auto" w:fill="FFFFFF"/>
        </w:rPr>
      </w:pPr>
      <w:r>
        <w:rPr>
          <w:rFonts w:hint="eastAsia" w:ascii="Times New Roman" w:hAnsi="Times New Roman" w:eastAsia="方正仿宋_GBK" w:cs="Times New Roman"/>
          <w:sz w:val="32"/>
          <w:szCs w:val="32"/>
          <w:shd w:val="clear" w:color="auto" w:fill="FFFFFF"/>
        </w:rPr>
        <w:t>本</w:t>
      </w:r>
      <w:r>
        <w:rPr>
          <w:rFonts w:hint="eastAsia" w:ascii="Times New Roman" w:hAnsi="Times New Roman" w:eastAsia="方正仿宋_GBK" w:cs="Times New Roman"/>
          <w:sz w:val="32"/>
          <w:szCs w:val="32"/>
          <w:shd w:val="clear" w:color="auto" w:fill="FFFFFF"/>
          <w:lang w:eastAsia="zh-CN"/>
        </w:rPr>
        <w:t>部门</w:t>
      </w:r>
      <w:r>
        <w:rPr>
          <w:rFonts w:hint="eastAsia" w:ascii="Times New Roman" w:hAnsi="Times New Roman" w:eastAsia="方正仿宋_GBK" w:cs="Times New Roman"/>
          <w:sz w:val="32"/>
          <w:szCs w:val="32"/>
          <w:shd w:val="clear" w:color="auto" w:fill="FFFFFF"/>
          <w:lang w:val="en-US" w:eastAsia="zh-CN"/>
        </w:rPr>
        <w:t>2024年度</w:t>
      </w:r>
      <w:r>
        <w:rPr>
          <w:rFonts w:hint="eastAsia" w:ascii="Times New Roman" w:hAnsi="Times New Roman" w:eastAsia="方正仿宋_GBK" w:cs="Times New Roman"/>
          <w:sz w:val="32"/>
          <w:szCs w:val="32"/>
          <w:shd w:val="clear" w:color="auto" w:fill="FFFFFF"/>
        </w:rPr>
        <w:t>无国有资本经营预算财政拨款</w:t>
      </w:r>
      <w:r>
        <w:rPr>
          <w:rFonts w:hint="eastAsia" w:ascii="Times New Roman" w:hAnsi="Times New Roman" w:eastAsia="方正仿宋_GBK" w:cs="Times New Roman"/>
          <w:sz w:val="32"/>
          <w:szCs w:val="32"/>
          <w:shd w:val="clear" w:color="auto" w:fill="FFFFFF"/>
          <w:lang w:eastAsia="zh-CN"/>
        </w:rPr>
        <w:t>支出</w:t>
      </w:r>
      <w:r>
        <w:rPr>
          <w:rFonts w:hint="eastAsia" w:ascii="Times New Roman" w:hAnsi="Times New Roman" w:eastAsia="方正仿宋_GBK" w:cs="Times New Roman"/>
          <w:sz w:val="32"/>
          <w:szCs w:val="32"/>
          <w:shd w:val="clear" w:color="auto" w:fill="FFFFFF"/>
        </w:rPr>
        <w:t>。</w:t>
      </w:r>
      <w:r>
        <w:rPr>
          <w:rStyle w:val="11"/>
          <w:rFonts w:ascii="黑体" w:hAnsi="黑体" w:eastAsia="黑体" w:cs="黑体"/>
          <w:sz w:val="32"/>
          <w:szCs w:val="32"/>
          <w:shd w:val="clear" w:color="auto" w:fill="FFFFFF"/>
        </w:rPr>
        <w:t>三、</w:t>
      </w:r>
      <w:r>
        <w:rPr>
          <w:rStyle w:val="11"/>
          <w:rFonts w:hint="eastAsia" w:ascii="黑体" w:hAnsi="黑体" w:eastAsia="黑体" w:cs="黑体"/>
          <w:sz w:val="32"/>
          <w:szCs w:val="32"/>
          <w:shd w:val="clear" w:color="auto" w:fill="FFFFFF"/>
          <w:lang w:eastAsia="zh-CN"/>
        </w:rPr>
        <w:t>财政拨款</w:t>
      </w:r>
      <w:r>
        <w:rPr>
          <w:rStyle w:val="11"/>
          <w:rFonts w:ascii="黑体" w:hAnsi="黑体" w:eastAsia="黑体" w:cs="黑体"/>
          <w:sz w:val="32"/>
          <w:szCs w:val="32"/>
          <w:shd w:val="clear" w:color="auto" w:fill="FFFFFF"/>
        </w:rPr>
        <w:t>“三公”经费情况说明</w:t>
      </w:r>
    </w:p>
    <w:p>
      <w:pPr>
        <w:pStyle w:val="14"/>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9.00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落实过紧日子政策，三公经费只减不增。</w:t>
      </w:r>
      <w:r>
        <w:rPr>
          <w:rFonts w:hint="default" w:ascii="方正仿宋_GBK" w:hAnsi="方正仿宋_GBK" w:eastAsia="方正仿宋_GBK" w:cs="方正仿宋_GBK"/>
          <w:sz w:val="32"/>
          <w:szCs w:val="32"/>
          <w:shd w:val="clear" w:color="auto" w:fill="FFFFFF"/>
        </w:rPr>
        <w:t>较上年支出数增加</w:t>
      </w:r>
      <w:r>
        <w:rPr>
          <w:rFonts w:hint="default" w:ascii="Times New Roman" w:hAnsi="Times New Roman" w:eastAsia="方正仿宋_GBK"/>
          <w:sz w:val="32"/>
          <w:szCs w:val="32"/>
          <w:shd w:val="clear" w:color="auto" w:fill="FFFFFF"/>
        </w:rPr>
        <w:t>1.32万元，增长17.2%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本单位</w:t>
      </w:r>
      <w:r>
        <w:rPr>
          <w:rFonts w:hint="eastAsia" w:ascii="Times New Roman" w:hAnsi="Times New Roman" w:eastAsia="方正仿宋_GBK"/>
          <w:sz w:val="32"/>
          <w:szCs w:val="32"/>
          <w:shd w:val="clear" w:color="auto" w:fill="FFFFFF"/>
        </w:rPr>
        <w:t>2023</w:t>
      </w:r>
      <w:r>
        <w:rPr>
          <w:rFonts w:hint="eastAsia" w:ascii="方正仿宋_GBK" w:hAnsi="方正仿宋_GBK" w:eastAsia="方正仿宋_GBK" w:cs="方正仿宋_GBK"/>
          <w:sz w:val="32"/>
          <w:szCs w:val="32"/>
          <w:shd w:val="clear" w:color="auto" w:fill="FFFFFF"/>
        </w:rPr>
        <w:t>年有</w:t>
      </w:r>
      <w:r>
        <w:rPr>
          <w:rFonts w:hint="eastAsia" w:ascii="Times New Roman" w:hAnsi="Times New Roman" w:eastAsia="方正仿宋_GBK"/>
          <w:sz w:val="32"/>
          <w:szCs w:val="32"/>
          <w:shd w:val="clear" w:color="auto" w:fill="FFFFFF"/>
        </w:rPr>
        <w:t>2.3</w:t>
      </w:r>
      <w:r>
        <w:rPr>
          <w:rFonts w:hint="eastAsia" w:ascii="方正仿宋_GBK" w:hAnsi="方正仿宋_GBK" w:eastAsia="方正仿宋_GBK" w:cs="方正仿宋_GBK"/>
          <w:sz w:val="32"/>
          <w:szCs w:val="32"/>
          <w:shd w:val="clear" w:color="auto" w:fill="FFFFFF"/>
        </w:rPr>
        <w:t>万元公务车加油费用在</w:t>
      </w:r>
      <w:r>
        <w:rPr>
          <w:rFonts w:hint="eastAsia" w:ascii="Times New Roman" w:hAnsi="Times New Roman" w:eastAsia="方正仿宋_GBK"/>
          <w:sz w:val="32"/>
          <w:szCs w:val="32"/>
          <w:shd w:val="clear" w:color="auto" w:fill="FFFFFF"/>
        </w:rPr>
        <w:t>2024</w:t>
      </w:r>
      <w:r>
        <w:rPr>
          <w:rFonts w:hint="eastAsia" w:ascii="方正仿宋_GBK" w:hAnsi="方正仿宋_GBK" w:eastAsia="方正仿宋_GBK" w:cs="方正仿宋_GBK"/>
          <w:sz w:val="32"/>
          <w:szCs w:val="32"/>
          <w:shd w:val="clear" w:color="auto" w:fill="FFFFFF"/>
        </w:rPr>
        <w:t>年支付。</w:t>
      </w:r>
    </w:p>
    <w:p>
      <w:pPr>
        <w:pStyle w:val="14"/>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年度本部门因公出国（境）费用</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cs="Times New Roman"/>
          <w:sz w:val="32"/>
          <w:szCs w:val="32"/>
          <w:shd w:val="clear" w:color="auto" w:fill="FFFFFF"/>
        </w:rPr>
        <w:t>主要原因是我</w:t>
      </w:r>
      <w:r>
        <w:rPr>
          <w:rFonts w:hint="eastAsia" w:ascii="Times New Roman" w:hAnsi="Times New Roman" w:eastAsia="方正仿宋_GBK" w:cs="Times New Roman"/>
          <w:sz w:val="32"/>
          <w:szCs w:val="32"/>
          <w:shd w:val="clear" w:color="auto" w:fill="FFFFFF"/>
          <w:lang w:eastAsia="zh-CN"/>
        </w:rPr>
        <w:t>部门</w:t>
      </w:r>
      <w:r>
        <w:rPr>
          <w:rFonts w:hint="eastAsia" w:ascii="Times New Roman" w:hAnsi="Times New Roman" w:eastAsia="方正仿宋_GBK" w:cs="Times New Roman"/>
          <w:sz w:val="32"/>
          <w:szCs w:val="32"/>
          <w:shd w:val="clear" w:color="auto" w:fill="FFFFFF"/>
        </w:rPr>
        <w:t>未开展因公出国事宜。</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cs="Times New Roman"/>
          <w:sz w:val="32"/>
          <w:szCs w:val="32"/>
          <w:shd w:val="clear" w:color="auto" w:fill="FFFFFF"/>
        </w:rPr>
        <w:t>主要原因是我</w:t>
      </w:r>
      <w:r>
        <w:rPr>
          <w:rFonts w:hint="eastAsia" w:ascii="Times New Roman" w:hAnsi="Times New Roman" w:eastAsia="方正仿宋_GBK" w:cs="Times New Roman"/>
          <w:sz w:val="32"/>
          <w:szCs w:val="32"/>
          <w:shd w:val="clear" w:color="auto" w:fill="FFFFFF"/>
          <w:lang w:eastAsia="zh-CN"/>
        </w:rPr>
        <w:t>部门</w:t>
      </w:r>
      <w:r>
        <w:rPr>
          <w:rFonts w:hint="eastAsia" w:ascii="Times New Roman" w:hAnsi="Times New Roman" w:eastAsia="方正仿宋_GBK" w:cs="Times New Roman"/>
          <w:sz w:val="32"/>
          <w:szCs w:val="32"/>
          <w:shd w:val="clear" w:color="auto" w:fill="FFFFFF"/>
        </w:rPr>
        <w:t>未开展因公出国事宜。</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sz w:val="32"/>
          <w:szCs w:val="32"/>
          <w:shd w:val="clear" w:color="auto" w:fill="FFFFFF"/>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车购置费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cs="Times New Roman"/>
          <w:sz w:val="32"/>
          <w:szCs w:val="32"/>
          <w:shd w:val="clear" w:color="auto" w:fill="FFFFFF"/>
        </w:rPr>
        <w:t>主要原因是依据实际需求，我</w:t>
      </w:r>
      <w:r>
        <w:rPr>
          <w:rFonts w:hint="eastAsia" w:ascii="Times New Roman" w:hAnsi="Times New Roman" w:eastAsia="方正仿宋_GBK" w:cs="Times New Roman"/>
          <w:sz w:val="32"/>
          <w:szCs w:val="32"/>
          <w:shd w:val="clear" w:color="auto" w:fill="FFFFFF"/>
          <w:lang w:eastAsia="zh-CN"/>
        </w:rPr>
        <w:t>部门</w:t>
      </w:r>
      <w:r>
        <w:rPr>
          <w:rFonts w:hint="eastAsia" w:ascii="Times New Roman" w:hAnsi="Times New Roman" w:eastAsia="方正仿宋_GBK" w:cs="Times New Roman"/>
          <w:sz w:val="32"/>
          <w:szCs w:val="32"/>
          <w:shd w:val="clear" w:color="auto" w:fill="FFFFFF"/>
        </w:rPr>
        <w:t>无购置公车打算。</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cs="Times New Roman"/>
          <w:sz w:val="32"/>
          <w:szCs w:val="32"/>
          <w:shd w:val="clear" w:color="auto" w:fill="FFFFFF"/>
        </w:rPr>
        <w:t>主要原因是依据实际需求，我</w:t>
      </w:r>
      <w:r>
        <w:rPr>
          <w:rFonts w:hint="eastAsia" w:ascii="Times New Roman" w:hAnsi="Times New Roman" w:eastAsia="方正仿宋_GBK" w:cs="Times New Roman"/>
          <w:sz w:val="32"/>
          <w:szCs w:val="32"/>
          <w:shd w:val="clear" w:color="auto" w:fill="FFFFFF"/>
          <w:lang w:eastAsia="zh-CN"/>
        </w:rPr>
        <w:t>部门</w:t>
      </w:r>
      <w:r>
        <w:rPr>
          <w:rFonts w:hint="eastAsia" w:ascii="Times New Roman" w:hAnsi="Times New Roman" w:eastAsia="方正仿宋_GBK" w:cs="Times New Roman"/>
          <w:sz w:val="32"/>
          <w:szCs w:val="32"/>
          <w:shd w:val="clear" w:color="auto" w:fill="FFFFFF"/>
        </w:rPr>
        <w:t>无购置公车打算。</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车运行维护费</w:t>
      </w:r>
      <w:r>
        <w:rPr>
          <w:rFonts w:hint="default" w:ascii="Times New Roman" w:hAnsi="Times New Roman" w:eastAsia="方正仿宋_GBK"/>
          <w:sz w:val="32"/>
          <w:szCs w:val="32"/>
          <w:shd w:val="clear" w:color="auto" w:fill="FFFFFF"/>
        </w:rPr>
        <w:t>9.00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val="en-US" w:eastAsia="zh-CN"/>
        </w:rPr>
        <w:t>主</w:t>
      </w:r>
      <w:r>
        <w:rPr>
          <w:rFonts w:hint="default" w:ascii="Times New Roman" w:hAnsi="Times New Roman" w:eastAsia="方正仿宋_GBK" w:cs="Times New Roman"/>
          <w:sz w:val="32"/>
          <w:szCs w:val="32"/>
          <w:shd w:val="clear" w:color="auto" w:fill="FFFFFF"/>
        </w:rPr>
        <w:t>要用于</w:t>
      </w:r>
      <w:r>
        <w:rPr>
          <w:rFonts w:hint="eastAsia" w:ascii="Times New Roman" w:hAnsi="Times New Roman" w:eastAsia="方正仿宋_GBK" w:cs="Times New Roman"/>
          <w:sz w:val="32"/>
          <w:szCs w:val="32"/>
          <w:shd w:val="clear" w:color="auto" w:fill="FFFFFF"/>
          <w:lang w:eastAsia="zh-CN"/>
        </w:rPr>
        <w:t>公务车维修、加油等方面。</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主要原因是</w:t>
      </w:r>
      <w:r>
        <w:rPr>
          <w:rFonts w:hint="eastAsia" w:ascii="Times New Roman" w:hAnsi="Times New Roman" w:eastAsia="方正仿宋_GBK" w:cs="Times New Roman"/>
          <w:sz w:val="32"/>
          <w:szCs w:val="32"/>
          <w:shd w:val="clear" w:color="auto" w:fill="FFFFFF"/>
          <w:lang w:eastAsia="zh-CN"/>
        </w:rPr>
        <w:t>认真贯彻落实中央八项规定精神和厉行节约要求，从严控制</w:t>
      </w:r>
      <w:r>
        <w:rPr>
          <w:rFonts w:hint="eastAsia" w:ascii="Times New Roman" w:hAnsi="Times New Roman" w:eastAsia="方正楷体_GBK" w:cs="Times New Roman"/>
          <w:b w:val="0"/>
          <w:bCs w:val="0"/>
          <w:sz w:val="32"/>
          <w:szCs w:val="32"/>
          <w:shd w:val="clear" w:color="auto" w:fill="FFFFFF"/>
          <w:lang w:bidi="ar"/>
        </w:rPr>
        <w:t>“三公”</w:t>
      </w:r>
      <w:r>
        <w:rPr>
          <w:rFonts w:hint="default" w:ascii="Times New Roman" w:hAnsi="Times New Roman" w:eastAsia="方正仿宋_GBK" w:cs="Times New Roman"/>
          <w:sz w:val="32"/>
          <w:szCs w:val="32"/>
          <w:shd w:val="clear" w:color="auto" w:fill="FFFFFF"/>
        </w:rPr>
        <w:t>经费</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sz w:val="32"/>
          <w:szCs w:val="32"/>
          <w:shd w:val="clear" w:color="auto" w:fill="FFFFFF"/>
        </w:rPr>
        <w:t>较上年支出数增加1.32万元，增长17.2%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本单位2023年有2.3万元公务车加油费用在2024年支付。</w:t>
      </w:r>
    </w:p>
    <w:p>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主要原因是</w:t>
      </w:r>
      <w:r>
        <w:rPr>
          <w:rFonts w:hint="eastAsia" w:ascii="Times New Roman" w:hAnsi="Times New Roman" w:eastAsia="方正仿宋_GBK" w:cs="Times New Roman"/>
          <w:sz w:val="32"/>
          <w:szCs w:val="32"/>
          <w:shd w:val="clear" w:color="auto" w:fill="FFFFFF"/>
          <w:lang w:eastAsia="zh-CN"/>
        </w:rPr>
        <w:t>强化公务接待支出管理，严格遵守公务接待开支范围和开支标准。</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主要原因是</w:t>
      </w:r>
      <w:r>
        <w:rPr>
          <w:rFonts w:hint="eastAsia" w:ascii="Times New Roman" w:hAnsi="Times New Roman" w:eastAsia="方正仿宋_GBK" w:cs="Times New Roman"/>
          <w:sz w:val="32"/>
          <w:szCs w:val="32"/>
          <w:shd w:val="clear" w:color="auto" w:fill="FFFFFF"/>
          <w:lang w:eastAsia="zh-CN"/>
        </w:rPr>
        <w:t>本年度我部门未开展公务接待。</w:t>
      </w:r>
    </w:p>
    <w:p>
      <w:pPr>
        <w:pStyle w:val="14"/>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2</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年本部门人均接待费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4.50</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textAlignment w:val="auto"/>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四、其他需要说明的事项</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bCs/>
          <w:color w:val="auto"/>
          <w:sz w:val="32"/>
          <w:szCs w:val="32"/>
          <w:highlight w:val="yellow"/>
          <w:lang w:val="en-US"/>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3.19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与2023年度相比，增加1.30万元，增长68.8%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为更好地学习各项文件政策，提高工作效率，召开会议，组织大家一起学习</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2.80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与2023年度相比，增加0.29万元，增长11.6%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为满足工作业务需求，召开培训，加大提高单位职工个人能力。</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3.09</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与2023年度相比，减少2.59万元，下降45.6%</w:t>
      </w:r>
      <w:r>
        <w:rPr>
          <w:rFonts w:ascii="方正仿宋_GBK" w:hAnsi="方正仿宋_GBK" w:eastAsia="方正仿宋_GBK" w:cs="方正仿宋_GBK"/>
          <w:sz w:val="32"/>
          <w:szCs w:val="32"/>
          <w:shd w:val="clear" w:color="auto" w:fill="FFFFFF"/>
        </w:rPr>
        <w:t>，主要原因是主要原因是</w:t>
      </w:r>
      <w:r>
        <w:rPr>
          <w:rFonts w:hint="eastAsia" w:ascii="方正仿宋_GBK" w:hAnsi="方正仿宋_GBK" w:eastAsia="方正仿宋_GBK" w:cs="方正仿宋_GBK"/>
          <w:sz w:val="32"/>
          <w:szCs w:val="32"/>
          <w:shd w:val="clear" w:color="auto" w:fill="FFFFFF"/>
          <w:lang w:val="en-US" w:eastAsia="zh-CN"/>
        </w:rPr>
        <w:t>落实过紧日子政策，减少外出培训。</w:t>
      </w:r>
    </w:p>
    <w:p>
      <w:pPr>
        <w:pStyle w:val="14"/>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highlight w:val="yellow"/>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年度本部门机关运行经费支出</w:t>
      </w:r>
      <w:r>
        <w:rPr>
          <w:rFonts w:hint="default" w:ascii="Times New Roman" w:hAnsi="Times New Roman" w:eastAsia="方正仿宋_GBK"/>
          <w:sz w:val="32"/>
          <w:szCs w:val="32"/>
          <w:shd w:val="clear" w:color="auto" w:fill="FFFFFF"/>
        </w:rPr>
        <w:t>145.02</w:t>
      </w:r>
      <w:r>
        <w:rPr>
          <w:rFonts w:ascii="方正仿宋_GBK" w:hAnsi="方正仿宋_GBK" w:eastAsia="方正仿宋_GBK" w:cs="方正仿宋_GBK"/>
          <w:sz w:val="32"/>
          <w:szCs w:val="32"/>
          <w:shd w:val="clear" w:color="auto" w:fill="FFFFFF"/>
        </w:rPr>
        <w:t>万元，机关运行经费</w:t>
      </w:r>
      <w:r>
        <w:rPr>
          <w:rFonts w:hint="default" w:ascii="Times New Roman" w:hAnsi="Times New Roman" w:eastAsia="方正仿宋_GBK" w:cs="Times New Roman"/>
          <w:sz w:val="32"/>
          <w:szCs w:val="32"/>
          <w:shd w:val="clear" w:color="auto" w:fill="FFFFFF"/>
        </w:rPr>
        <w:t>主要用于开支</w:t>
      </w:r>
      <w:r>
        <w:rPr>
          <w:rFonts w:hint="eastAsia" w:ascii="Times New Roman" w:hAnsi="Times New Roman" w:eastAsia="方正仿宋_GBK" w:cs="Times New Roman"/>
          <w:sz w:val="32"/>
          <w:szCs w:val="32"/>
          <w:shd w:val="clear" w:color="auto" w:fill="FFFFFF"/>
          <w:lang w:eastAsia="zh-CN"/>
        </w:rPr>
        <w:t>办公费、工会经费、水费、电费、邮电费、劳务费、其他交通费用等方面。</w:t>
      </w:r>
      <w:r>
        <w:rPr>
          <w:rFonts w:ascii="方正仿宋_GBK" w:hAnsi="方正仿宋_GBK" w:eastAsia="方正仿宋_GBK" w:cs="方正仿宋_GBK"/>
          <w:sz w:val="32"/>
          <w:szCs w:val="32"/>
          <w:shd w:val="clear" w:color="auto" w:fill="FFFFFF"/>
        </w:rPr>
        <w:t>机关运行经费</w:t>
      </w:r>
      <w:r>
        <w:rPr>
          <w:rFonts w:hint="default" w:ascii="Times New Roman" w:hAnsi="Times New Roman" w:eastAsia="方正仿宋_GBK"/>
          <w:sz w:val="32"/>
          <w:szCs w:val="32"/>
          <w:shd w:val="clear" w:color="auto" w:fill="FFFFFF"/>
        </w:rPr>
        <w:t>较上年支出数减少24.28万元，下降14.3%</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落实过紧日子政策，做到应减尽减。</w:t>
      </w:r>
    </w:p>
    <w:p>
      <w:pPr>
        <w:pStyle w:val="14"/>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日，本部门共有车辆</w:t>
      </w:r>
      <w:r>
        <w:rPr>
          <w:rFonts w:hint="default" w:ascii="Times New Roman" w:hAnsi="Times New Roman" w:eastAsia="方正仿宋_GBK"/>
          <w:sz w:val="32"/>
          <w:szCs w:val="32"/>
          <w:shd w:val="clear" w:color="auto" w:fill="FFFFFF"/>
        </w:rPr>
        <w:t>2</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2</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pPr>
        <w:pStyle w:val="14"/>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年度本部门政府采购支出总额</w:t>
      </w:r>
      <w:r>
        <w:rPr>
          <w:rFonts w:hint="default" w:ascii="Times New Roman" w:hAnsi="Times New Roman" w:eastAsia="方正仿宋_GBK"/>
          <w:sz w:val="32"/>
          <w:szCs w:val="32"/>
          <w:shd w:val="clear" w:color="auto" w:fill="FFFFFF"/>
        </w:rPr>
        <w:t>0.80</w:t>
      </w:r>
      <w:r>
        <w:rPr>
          <w:rFonts w:ascii="方正仿宋_GBK" w:hAnsi="方正仿宋_GBK" w:eastAsia="方正仿宋_GBK" w:cs="方正仿宋_GBK"/>
          <w:sz w:val="32"/>
          <w:szCs w:val="32"/>
          <w:shd w:val="clear" w:color="auto" w:fill="FFFFFF"/>
        </w:rPr>
        <w:t>万元，其中：政府采购货物支出</w:t>
      </w:r>
      <w:r>
        <w:rPr>
          <w:rFonts w:hint="default" w:ascii="Times New Roman" w:hAnsi="Times New Roman" w:eastAsia="方正仿宋_GBK"/>
          <w:sz w:val="32"/>
          <w:szCs w:val="32"/>
          <w:shd w:val="clear" w:color="auto" w:fill="FFFFFF"/>
        </w:rPr>
        <w:t>0.80</w:t>
      </w:r>
      <w:r>
        <w:rPr>
          <w:rFonts w:ascii="方正仿宋_GBK" w:hAnsi="方正仿宋_GBK" w:eastAsia="方正仿宋_GBK" w:cs="方正仿宋_GBK"/>
          <w:sz w:val="32"/>
          <w:szCs w:val="32"/>
          <w:shd w:val="clear" w:color="auto" w:fill="FFFFFF"/>
        </w:rPr>
        <w:t>万元、政府采购工程支出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万元、政府采购服务支出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万元。授予中小企业合同金额</w:t>
      </w:r>
      <w:r>
        <w:rPr>
          <w:rFonts w:hint="default" w:ascii="Times New Roman" w:hAnsi="Times New Roman" w:eastAsia="方正仿宋_GBK"/>
          <w:sz w:val="32"/>
          <w:szCs w:val="32"/>
          <w:shd w:val="clear" w:color="auto" w:fill="FFFFFF"/>
        </w:rPr>
        <w:t>0.80</w:t>
      </w:r>
      <w:r>
        <w:rPr>
          <w:rFonts w:ascii="方正仿宋_GBK" w:hAnsi="方正仿宋_GBK" w:eastAsia="方正仿宋_GBK" w:cs="方正仿宋_GBK"/>
          <w:sz w:val="32"/>
          <w:szCs w:val="32"/>
        </w:rPr>
        <w:t>万</w:t>
      </w:r>
      <w:r>
        <w:rPr>
          <w:rFonts w:ascii="方正仿宋_GBK" w:hAnsi="方正仿宋_GBK" w:eastAsia="方正仿宋_GBK" w:cs="方正仿宋_GBK"/>
          <w:sz w:val="32"/>
          <w:szCs w:val="32"/>
          <w:shd w:val="clear" w:color="auto" w:fill="FFFFFF"/>
        </w:rPr>
        <w:t>元，占政府采购支出总额的</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，其中：授予小微企业合同金额</w:t>
      </w:r>
      <w:r>
        <w:rPr>
          <w:rFonts w:hint="default" w:ascii="Times New Roman" w:hAnsi="Times New Roman" w:eastAsia="方正仿宋_GBK"/>
          <w:sz w:val="32"/>
          <w:szCs w:val="32"/>
          <w:shd w:val="clear" w:color="auto" w:fill="FFFFFF"/>
        </w:rPr>
        <w:t>0.80</w:t>
      </w:r>
      <w:r>
        <w:rPr>
          <w:rFonts w:ascii="方正仿宋_GBK" w:hAnsi="方正仿宋_GBK" w:eastAsia="方正仿宋_GBK" w:cs="方正仿宋_GBK"/>
          <w:sz w:val="32"/>
          <w:szCs w:val="32"/>
          <w:shd w:val="clear" w:color="auto" w:fill="FFFFFF"/>
        </w:rPr>
        <w:t>万元，占政府采购支出总额的</w:t>
      </w:r>
      <w:r>
        <w:rPr>
          <w:rFonts w:hint="default" w:ascii="Times New Roman" w:hAnsi="Times New Roman" w:eastAsia="方正仿宋_GBK"/>
          <w:sz w:val="32"/>
          <w:szCs w:val="32"/>
          <w:shd w:val="clear" w:color="auto" w:fill="FFFFFF"/>
        </w:rPr>
        <w:t>100.0 %</w:t>
      </w:r>
      <w:r>
        <w:rPr>
          <w:rFonts w:ascii="方正仿宋_GBK" w:hAnsi="方正仿宋_GBK" w:eastAsia="方正仿宋_GBK" w:cs="方正仿宋_GBK"/>
          <w:sz w:val="32"/>
          <w:szCs w:val="32"/>
          <w:shd w:val="clear" w:color="auto" w:fill="FFFFFF"/>
        </w:rPr>
        <w:t>。主要用于采购</w:t>
      </w:r>
      <w:r>
        <w:rPr>
          <w:rFonts w:hint="eastAsia" w:ascii="方正仿宋_GBK" w:hAnsi="方正仿宋_GBK" w:eastAsia="方正仿宋_GBK" w:cs="方正仿宋_GBK"/>
          <w:sz w:val="32"/>
          <w:szCs w:val="32"/>
          <w:shd w:val="clear" w:color="auto" w:fill="FFFFFF"/>
          <w:lang w:val="en-US" w:eastAsia="zh-CN"/>
        </w:rPr>
        <w:t>电脑。</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3" w:firstLineChars="200"/>
        <w:textAlignment w:val="auto"/>
        <w:rPr>
          <w:rStyle w:val="11"/>
          <w:rFonts w:hint="eastAsia" w:ascii="黑体" w:hAnsi="黑体" w:eastAsia="黑体" w:cs="黑体"/>
          <w:sz w:val="32"/>
          <w:szCs w:val="32"/>
          <w:shd w:val="clear" w:color="auto" w:fill="FFFFFF"/>
          <w:lang w:eastAsia="zh-CN"/>
        </w:rPr>
      </w:pPr>
      <w:r>
        <w:rPr>
          <w:rStyle w:val="11"/>
          <w:rFonts w:hint="eastAsia" w:ascii="黑体" w:hAnsi="黑体" w:eastAsia="黑体" w:cs="黑体"/>
          <w:sz w:val="32"/>
          <w:szCs w:val="32"/>
          <w:shd w:val="clear" w:color="auto" w:fill="FFFFFF"/>
          <w:lang w:eastAsia="zh-CN"/>
        </w:rPr>
        <w:t>五、预算绩效管理情况说明</w:t>
      </w:r>
    </w:p>
    <w:p>
      <w:pPr>
        <w:pStyle w:val="14"/>
        <w:keepNext w:val="0"/>
        <w:keepLines w:val="0"/>
        <w:pageBreakBefore w:val="0"/>
        <w:kinsoku/>
        <w:wordWrap/>
        <w:overflowPunct/>
        <w:topLinePunct w:val="0"/>
        <w:autoSpaceDE w:val="0"/>
        <w:autoSpaceDN/>
        <w:bidi w:val="0"/>
        <w:adjustRightInd/>
        <w:spacing w:beforeAutospacing="0" w:afterAutospacing="0" w:line="560" w:lineRule="exact"/>
        <w:ind w:firstLine="640"/>
        <w:textAlignment w:val="auto"/>
        <w:rPr>
          <w:rFonts w:hint="eastAsia"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（一）</w:t>
      </w:r>
      <w:r>
        <w:rPr>
          <w:rFonts w:hint="eastAsia" w:ascii="楷体" w:hAnsi="楷体" w:eastAsia="楷体" w:cs="楷体"/>
          <w:b/>
          <w:bCs/>
          <w:sz w:val="32"/>
          <w:szCs w:val="32"/>
          <w:shd w:val="clear" w:color="auto" w:fill="FFFFFF"/>
          <w:lang w:eastAsia="zh-CN" w:bidi="ar"/>
        </w:rPr>
        <w:t>部门</w:t>
      </w:r>
      <w:r>
        <w:rPr>
          <w:rFonts w:hint="eastAsia" w:ascii="楷体" w:hAnsi="楷体" w:eastAsia="楷体" w:cs="楷体"/>
          <w:b/>
          <w:bCs/>
          <w:sz w:val="32"/>
          <w:szCs w:val="32"/>
          <w:shd w:val="clear" w:color="auto" w:fill="FFFFFF"/>
          <w:lang w:bidi="ar"/>
        </w:rPr>
        <w:t>自评情况</w:t>
      </w:r>
    </w:p>
    <w:p>
      <w:pPr>
        <w:pStyle w:val="15"/>
        <w:keepNext w:val="0"/>
        <w:keepLines w:val="0"/>
        <w:pageBreakBefore w:val="0"/>
        <w:widowControl/>
        <w:kinsoku/>
        <w:wordWrap/>
        <w:overflowPunct/>
        <w:topLinePunct w:val="0"/>
        <w:autoSpaceDE w:val="0"/>
        <w:autoSpaceDN/>
        <w:bidi w:val="0"/>
        <w:adjustRightInd/>
        <w:snapToGrid/>
        <w:spacing w:before="0" w:beforeAutospacing="0" w:afterAutospacing="0" w:line="560" w:lineRule="exact"/>
        <w:ind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sz w:val="32"/>
          <w:szCs w:val="32"/>
          <w:shd w:val="clear" w:color="auto" w:fill="FFFFFF"/>
          <w:lang w:val="en-US" w:eastAsia="zh-CN" w:bidi="ar"/>
        </w:rPr>
        <w:t>根据预算绩效管理要求，我部门对部门整体和95个二级项目开展了绩效自评，涉及财政拨款项目支出资金3483.42万元。本部门2024年度部门整体绩效自评表详见附件1，2024年项目支出绩效自评表（二级项目）详见附件2。</w:t>
      </w:r>
    </w:p>
    <w:p>
      <w:pPr>
        <w:pStyle w:val="14"/>
        <w:keepNext w:val="0"/>
        <w:keepLines w:val="0"/>
        <w:pageBreakBefore w:val="0"/>
        <w:kinsoku/>
        <w:wordWrap/>
        <w:overflowPunct/>
        <w:topLinePunct w:val="0"/>
        <w:autoSpaceDE w:val="0"/>
        <w:autoSpaceDN/>
        <w:bidi w:val="0"/>
        <w:adjustRightInd/>
        <w:spacing w:beforeAutospacing="0" w:afterAutospacing="0" w:line="560" w:lineRule="exact"/>
        <w:ind w:firstLine="640"/>
        <w:textAlignment w:val="auto"/>
        <w:rPr>
          <w:rFonts w:hint="eastAsia"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（二）部门绩效评价情况</w:t>
      </w:r>
    </w:p>
    <w:p>
      <w:pPr>
        <w:pStyle w:val="19"/>
        <w:keepNext w:val="0"/>
        <w:keepLines w:val="0"/>
        <w:pageBreakBefore w:val="0"/>
        <w:kinsoku/>
        <w:wordWrap/>
        <w:overflowPunct/>
        <w:topLinePunct w:val="0"/>
        <w:autoSpaceDE w:val="0"/>
        <w:autoSpaceDN/>
        <w:bidi w:val="0"/>
        <w:adjustRightInd/>
        <w:spacing w:beforeAutospacing="0" w:afterAutospacing="0" w:line="560" w:lineRule="exact"/>
        <w:ind w:firstLine="960" w:firstLineChars="300"/>
        <w:textAlignment w:val="auto"/>
        <w:rPr>
          <w:rFonts w:hint="eastAsia" w:ascii="方正仿宋_GBK" w:hAnsi="方正仿宋_GBK" w:eastAsia="方正仿宋_GBK" w:cs="方正仿宋_GBK"/>
          <w:sz w:val="32"/>
          <w:szCs w:val="32"/>
          <w:shd w:val="clear" w:color="auto" w:fill="FFFFFF"/>
          <w:lang w:bidi="ar"/>
        </w:rPr>
      </w:pPr>
      <w:r>
        <w:rPr>
          <w:rFonts w:hint="eastAsia" w:ascii="方正仿宋_GBK" w:hAnsi="方正仿宋_GBK" w:eastAsia="方正仿宋_GBK" w:cs="方正仿宋_GBK"/>
          <w:sz w:val="32"/>
          <w:szCs w:val="32"/>
          <w:shd w:val="clear" w:color="auto" w:fill="FFFFFF"/>
          <w:lang w:bidi="ar"/>
        </w:rPr>
        <w:t>我部门对钟灵镇2024年消费帮扶展销项目[-]-渝财农〔2023〕146号开展了绩效评价，涉及财政拨款项目资金</w:t>
      </w:r>
      <w:r>
        <w:rPr>
          <w:rFonts w:hint="eastAsia" w:ascii="方正仿宋_GBK" w:hAnsi="方正仿宋_GBK" w:eastAsia="方正仿宋_GBK" w:cs="方正仿宋_GBK"/>
          <w:sz w:val="32"/>
          <w:szCs w:val="32"/>
          <w:shd w:val="clear" w:color="auto" w:fill="FFFFFF"/>
          <w:lang w:val="en-US" w:eastAsia="zh-CN" w:bidi="ar"/>
        </w:rPr>
        <w:t>14</w:t>
      </w:r>
      <w:r>
        <w:rPr>
          <w:rFonts w:hint="eastAsia" w:ascii="方正仿宋_GBK" w:hAnsi="方正仿宋_GBK" w:eastAsia="方正仿宋_GBK" w:cs="方正仿宋_GBK"/>
          <w:sz w:val="32"/>
          <w:szCs w:val="32"/>
          <w:shd w:val="clear" w:color="auto" w:fill="FFFFFF"/>
          <w:lang w:bidi="ar"/>
        </w:rPr>
        <w:t>万元，评价得分</w:t>
      </w:r>
      <w:r>
        <w:rPr>
          <w:rFonts w:hint="eastAsia" w:ascii="方正仿宋_GBK" w:hAnsi="方正仿宋_GBK" w:eastAsia="方正仿宋_GBK" w:cs="方正仿宋_GBK"/>
          <w:sz w:val="32"/>
          <w:szCs w:val="32"/>
          <w:shd w:val="clear" w:color="auto" w:fill="FFFFFF"/>
          <w:lang w:val="en-US" w:eastAsia="zh-CN" w:bidi="ar"/>
        </w:rPr>
        <w:t>100</w:t>
      </w:r>
      <w:r>
        <w:rPr>
          <w:rFonts w:hint="eastAsia" w:ascii="方正仿宋_GBK" w:hAnsi="方正仿宋_GBK" w:eastAsia="方正仿宋_GBK" w:cs="方正仿宋_GBK"/>
          <w:sz w:val="32"/>
          <w:szCs w:val="32"/>
          <w:shd w:val="clear" w:color="auto" w:fill="FFFFFF"/>
          <w:lang w:bidi="ar"/>
        </w:rPr>
        <w:t>分，评价等次为</w:t>
      </w:r>
      <w:r>
        <w:rPr>
          <w:rFonts w:hint="eastAsia" w:ascii="方正仿宋_GBK" w:hAnsi="方正仿宋_GBK" w:eastAsia="方正仿宋_GBK" w:cs="方正仿宋_GBK"/>
          <w:sz w:val="32"/>
          <w:szCs w:val="32"/>
          <w:shd w:val="clear" w:color="auto" w:fill="FFFFFF"/>
          <w:lang w:val="en-US" w:eastAsia="zh-CN" w:bidi="ar"/>
        </w:rPr>
        <w:t>优</w:t>
      </w:r>
      <w:r>
        <w:rPr>
          <w:rFonts w:hint="eastAsia" w:ascii="方正仿宋_GBK" w:hAnsi="方正仿宋_GBK" w:eastAsia="方正仿宋_GBK" w:cs="方正仿宋_GBK"/>
          <w:sz w:val="32"/>
          <w:szCs w:val="32"/>
          <w:shd w:val="clear" w:color="auto" w:fill="FFFFFF"/>
          <w:lang w:bidi="ar"/>
        </w:rPr>
        <w:t>，</w:t>
      </w:r>
      <w:r>
        <w:rPr>
          <w:rFonts w:hint="eastAsia" w:ascii="Times New Roman" w:hAnsi="Times New Roman" w:eastAsia="方正仿宋_GBK" w:cs="Times New Roman"/>
          <w:sz w:val="32"/>
          <w:szCs w:val="32"/>
          <w:shd w:val="clear" w:color="auto" w:fill="FFFFFF"/>
          <w:lang w:val="en-US" w:eastAsia="zh-CN" w:bidi="ar"/>
        </w:rPr>
        <w:t>绩效评价未发现问题</w:t>
      </w:r>
      <w:r>
        <w:rPr>
          <w:rFonts w:hint="eastAsia" w:ascii="方正仿宋_GBK" w:hAnsi="方正仿宋_GBK" w:eastAsia="方正仿宋_GBK" w:cs="方正仿宋_GBK"/>
          <w:sz w:val="32"/>
          <w:szCs w:val="32"/>
          <w:shd w:val="clear" w:color="auto" w:fill="FFFFFF"/>
          <w:lang w:bidi="ar"/>
        </w:rPr>
        <w:t>；对钟灵镇2024年凯贺村小型农田水利设施建设项目[-]-渝财农〔2023〕146号开展了绩效评价，涉及财政拨款项目资金</w:t>
      </w:r>
      <w:r>
        <w:rPr>
          <w:rFonts w:hint="eastAsia" w:ascii="方正仿宋_GBK" w:hAnsi="方正仿宋_GBK" w:eastAsia="方正仿宋_GBK" w:cs="方正仿宋_GBK"/>
          <w:sz w:val="32"/>
          <w:szCs w:val="32"/>
          <w:shd w:val="clear" w:color="auto" w:fill="FFFFFF"/>
          <w:lang w:val="en-US" w:eastAsia="zh-CN" w:bidi="ar"/>
        </w:rPr>
        <w:t>9</w:t>
      </w:r>
      <w:r>
        <w:rPr>
          <w:rFonts w:hint="eastAsia" w:ascii="方正仿宋_GBK" w:hAnsi="方正仿宋_GBK" w:eastAsia="方正仿宋_GBK" w:cs="方正仿宋_GBK"/>
          <w:sz w:val="32"/>
          <w:szCs w:val="32"/>
          <w:shd w:val="clear" w:color="auto" w:fill="FFFFFF"/>
          <w:lang w:bidi="ar"/>
        </w:rPr>
        <w:t>万元，评价得分</w:t>
      </w:r>
      <w:r>
        <w:rPr>
          <w:rFonts w:hint="eastAsia" w:ascii="方正仿宋_GBK" w:hAnsi="方正仿宋_GBK" w:eastAsia="方正仿宋_GBK" w:cs="方正仿宋_GBK"/>
          <w:sz w:val="32"/>
          <w:szCs w:val="32"/>
          <w:shd w:val="clear" w:color="auto" w:fill="FFFFFF"/>
          <w:lang w:val="en-US" w:eastAsia="zh-CN" w:bidi="ar"/>
        </w:rPr>
        <w:t>100</w:t>
      </w:r>
      <w:r>
        <w:rPr>
          <w:rFonts w:hint="eastAsia" w:ascii="方正仿宋_GBK" w:hAnsi="方正仿宋_GBK" w:eastAsia="方正仿宋_GBK" w:cs="方正仿宋_GBK"/>
          <w:sz w:val="32"/>
          <w:szCs w:val="32"/>
          <w:shd w:val="clear" w:color="auto" w:fill="FFFFFF"/>
          <w:lang w:bidi="ar"/>
        </w:rPr>
        <w:t>分，评价等次为</w:t>
      </w:r>
      <w:r>
        <w:rPr>
          <w:rFonts w:hint="eastAsia" w:ascii="方正仿宋_GBK" w:hAnsi="方正仿宋_GBK" w:eastAsia="方正仿宋_GBK" w:cs="方正仿宋_GBK"/>
          <w:sz w:val="32"/>
          <w:szCs w:val="32"/>
          <w:shd w:val="clear" w:color="auto" w:fill="FFFFFF"/>
          <w:lang w:val="en-US" w:eastAsia="zh-CN" w:bidi="ar"/>
        </w:rPr>
        <w:t>优</w:t>
      </w:r>
      <w:r>
        <w:rPr>
          <w:rFonts w:hint="eastAsia" w:ascii="Times New Roman" w:hAnsi="Times New Roman" w:eastAsia="方正仿宋_GBK" w:cs="Times New Roman"/>
          <w:sz w:val="32"/>
          <w:szCs w:val="32"/>
          <w:shd w:val="clear" w:color="auto" w:fill="FFFFFF"/>
          <w:lang w:val="en-US" w:eastAsia="zh-CN" w:bidi="ar"/>
        </w:rPr>
        <w:t>绩效评价未发现问题。</w:t>
      </w:r>
    </w:p>
    <w:p>
      <w:pPr>
        <w:pStyle w:val="14"/>
        <w:keepNext w:val="0"/>
        <w:keepLines w:val="0"/>
        <w:pageBreakBefore w:val="0"/>
        <w:kinsoku/>
        <w:wordWrap/>
        <w:overflowPunct/>
        <w:topLinePunct w:val="0"/>
        <w:autoSpaceDE w:val="0"/>
        <w:autoSpaceDN/>
        <w:bidi w:val="0"/>
        <w:adjustRightInd/>
        <w:spacing w:beforeAutospacing="0" w:afterAutospacing="0" w:line="560" w:lineRule="exact"/>
        <w:ind w:firstLine="640"/>
        <w:textAlignment w:val="auto"/>
        <w:rPr>
          <w:rFonts w:hint="eastAsia"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（三）财政绩效评价情况</w:t>
      </w:r>
    </w:p>
    <w:p>
      <w:pPr>
        <w:pStyle w:val="14"/>
        <w:keepNext w:val="0"/>
        <w:keepLines w:val="0"/>
        <w:pageBreakBefore w:val="0"/>
        <w:kinsoku/>
        <w:wordWrap/>
        <w:overflowPunct/>
        <w:topLinePunct w:val="0"/>
        <w:autoSpaceDE w:val="0"/>
        <w:autoSpaceDN/>
        <w:bidi w:val="0"/>
        <w:adjustRightInd/>
        <w:spacing w:beforeAutospacing="0" w:afterAutospacing="0" w:line="560" w:lineRule="exact"/>
        <w:ind w:firstLine="643"/>
        <w:textAlignment w:val="auto"/>
        <w:outlineLvl w:val="9"/>
        <w:rPr>
          <w:rFonts w:hint="default" w:ascii="Times New Roman" w:hAnsi="Times New Roman" w:eastAsia="方正仿宋_GBK" w:cs="Times New Roman"/>
          <w:sz w:val="32"/>
          <w:szCs w:val="32"/>
          <w:shd w:val="clear" w:color="auto" w:fill="FFFFFF"/>
          <w:lang w:val="en-US" w:eastAsia="zh-CN" w:bidi="ar"/>
        </w:rPr>
      </w:pPr>
      <w:r>
        <w:rPr>
          <w:rFonts w:hint="eastAsia" w:ascii="Times New Roman" w:hAnsi="Times New Roman" w:eastAsia="方正仿宋_GBK" w:cs="Times New Roman"/>
          <w:sz w:val="32"/>
          <w:szCs w:val="32"/>
          <w:shd w:val="clear" w:color="auto" w:fill="FFFFFF"/>
          <w:lang w:val="en-US" w:eastAsia="zh-CN" w:bidi="ar"/>
        </w:rPr>
        <w:t>县</w:t>
      </w:r>
      <w:r>
        <w:rPr>
          <w:rFonts w:hint="default" w:ascii="Times New Roman" w:hAnsi="Times New Roman" w:eastAsia="方正仿宋_GBK" w:cs="Times New Roman"/>
          <w:sz w:val="32"/>
          <w:szCs w:val="32"/>
          <w:shd w:val="clear" w:color="auto" w:fill="FFFFFF"/>
          <w:lang w:val="en-US" w:eastAsia="zh-CN" w:bidi="ar"/>
        </w:rPr>
        <w:t>财政局未委托第三方对我</w:t>
      </w:r>
      <w:r>
        <w:rPr>
          <w:rFonts w:hint="eastAsia" w:ascii="Times New Roman" w:hAnsi="Times New Roman" w:eastAsia="方正仿宋_GBK" w:cs="Times New Roman"/>
          <w:sz w:val="32"/>
          <w:szCs w:val="32"/>
          <w:shd w:val="clear" w:color="auto" w:fill="FFFFFF"/>
          <w:lang w:val="en-US" w:eastAsia="zh-CN" w:bidi="ar"/>
        </w:rPr>
        <w:t>部门</w:t>
      </w:r>
      <w:r>
        <w:rPr>
          <w:rFonts w:hint="default" w:ascii="Times New Roman" w:hAnsi="Times New Roman" w:eastAsia="方正仿宋_GBK" w:cs="Times New Roman"/>
          <w:sz w:val="32"/>
          <w:szCs w:val="32"/>
          <w:shd w:val="clear" w:color="auto" w:fill="FFFFFF"/>
          <w:lang w:val="en-US" w:eastAsia="zh-CN" w:bidi="ar"/>
        </w:rPr>
        <w:t>开展绩效评价。</w:t>
      </w:r>
    </w:p>
    <w:p>
      <w:pPr>
        <w:pStyle w:val="9"/>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560" w:lineRule="exact"/>
        <w:ind w:firstLine="643" w:firstLineChars="200"/>
        <w:textAlignment w:val="auto"/>
        <w:rPr>
          <w:rStyle w:val="11"/>
          <w:rFonts w:hint="default" w:ascii="黑体" w:hAnsi="黑体" w:eastAsia="黑体" w:cs="黑体"/>
          <w:sz w:val="32"/>
          <w:szCs w:val="32"/>
          <w:shd w:val="clear" w:color="auto" w:fill="FFFFFF"/>
        </w:rPr>
      </w:pPr>
      <w:r>
        <w:rPr>
          <w:rStyle w:val="11"/>
          <w:rFonts w:hint="eastAsia" w:ascii="黑体" w:hAnsi="黑体" w:eastAsia="黑体" w:cs="黑体"/>
          <w:sz w:val="32"/>
          <w:szCs w:val="32"/>
          <w:shd w:val="clear" w:color="auto" w:fill="FFFFFF"/>
          <w:lang w:eastAsia="zh-CN"/>
        </w:rPr>
        <w:t>六</w:t>
      </w:r>
      <w:r>
        <w:rPr>
          <w:rStyle w:val="11"/>
          <w:rFonts w:ascii="黑体" w:hAnsi="黑体" w:eastAsia="黑体" w:cs="黑体"/>
          <w:sz w:val="32"/>
          <w:szCs w:val="32"/>
          <w:shd w:val="clear" w:color="auto" w:fill="FFFFFF"/>
        </w:rPr>
        <w:t>、专业名词解释</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w:t>
      </w:r>
      <w:r>
        <w:rPr>
          <w:rFonts w:hint="eastAsia" w:ascii="方正仿宋_GBK" w:hAnsi="方正仿宋_GBK" w:eastAsia="方正仿宋_GBK" w:cs="方正仿宋_GBK"/>
          <w:sz w:val="32"/>
          <w:szCs w:val="32"/>
          <w:shd w:val="clear" w:color="auto" w:fill="FFFFFF"/>
          <w:lang w:eastAsia="zh-CN"/>
        </w:rPr>
        <w:t>收入</w:t>
      </w:r>
      <w:r>
        <w:rPr>
          <w:rFonts w:ascii="方正仿宋_GBK" w:hAnsi="方正仿宋_GBK" w:eastAsia="方正仿宋_GBK" w:cs="方正仿宋_GBK"/>
          <w:sz w:val="32"/>
          <w:szCs w:val="32"/>
          <w:shd w:val="clear" w:color="auto" w:fill="FFFFFF"/>
        </w:rPr>
        <w:t>。</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w:t>
      </w:r>
      <w:r>
        <w:rPr>
          <w:rFonts w:hint="eastAsia" w:ascii="方正仿宋_GBK" w:hAnsi="方正仿宋_GBK" w:eastAsia="方正仿宋_GBK" w:cs="方正仿宋_GBK"/>
          <w:sz w:val="32"/>
          <w:szCs w:val="32"/>
          <w:shd w:val="clear" w:color="auto" w:fill="FFFFFF"/>
          <w:lang w:eastAsia="zh-CN"/>
        </w:rPr>
        <w:t>收入</w:t>
      </w:r>
      <w:r>
        <w:rPr>
          <w:rFonts w:ascii="方正仿宋_GBK" w:hAnsi="方正仿宋_GBK" w:eastAsia="方正仿宋_GBK" w:cs="方正仿宋_GBK"/>
          <w:sz w:val="32"/>
          <w:szCs w:val="32"/>
          <w:shd w:val="clear" w:color="auto" w:fill="FFFFFF"/>
        </w:rPr>
        <w:t>。</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（五）使用非财政拨款结余</w:t>
      </w:r>
      <w:r>
        <w:rPr>
          <w:rStyle w:val="11"/>
          <w:rFonts w:hint="eastAsia" w:ascii="楷体" w:hAnsi="楷体" w:eastAsia="楷体" w:cs="楷体"/>
          <w:sz w:val="32"/>
          <w:szCs w:val="32"/>
          <w:shd w:val="clear" w:color="auto" w:fill="FFFFFF"/>
          <w:lang w:eastAsia="zh-CN"/>
        </w:rPr>
        <w:t>（含专用结余）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w:t>
      </w:r>
      <w:r>
        <w:rPr>
          <w:rFonts w:hint="eastAsia" w:ascii="方正仿宋_GBK" w:hAnsi="方正仿宋_GBK" w:eastAsia="方正仿宋_GBK" w:cs="方正仿宋_GBK"/>
          <w:sz w:val="32"/>
          <w:szCs w:val="32"/>
          <w:shd w:val="clear" w:color="auto" w:fill="FFFFFF"/>
          <w:lang w:eastAsia="zh-CN"/>
        </w:rPr>
        <w:t>事业单位按照预算管理要求使用非财政拨款结余弥补收支差额的金额，以及使用专用结余安排支出的金额。</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shd w:val="clear" w:color="auto" w:fill="FFFFFF"/>
        </w:rPr>
      </w:pPr>
      <w:r>
        <w:rPr>
          <w:rStyle w:val="11"/>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3" w:firstLineChars="200"/>
        <w:textAlignment w:val="auto"/>
        <w:rPr>
          <w:rStyle w:val="11"/>
          <w:rFonts w:hint="default" w:ascii="黑体" w:hAnsi="黑体" w:eastAsia="黑体" w:cs="黑体"/>
          <w:sz w:val="32"/>
          <w:szCs w:val="32"/>
          <w:shd w:val="clear" w:color="auto" w:fill="FFFFFF"/>
        </w:rPr>
      </w:pPr>
      <w:r>
        <w:rPr>
          <w:rStyle w:val="11"/>
          <w:rFonts w:hint="eastAsia" w:ascii="黑体" w:hAnsi="黑体" w:eastAsia="黑体" w:cs="黑体"/>
          <w:sz w:val="32"/>
          <w:szCs w:val="32"/>
          <w:shd w:val="clear" w:color="auto" w:fill="FFFFFF"/>
          <w:lang w:eastAsia="zh-CN"/>
        </w:rPr>
        <w:t>七</w:t>
      </w:r>
      <w:r>
        <w:rPr>
          <w:rStyle w:val="11"/>
          <w:rFonts w:ascii="黑体" w:hAnsi="黑体" w:eastAsia="黑体" w:cs="黑体"/>
          <w:sz w:val="32"/>
          <w:szCs w:val="32"/>
          <w:shd w:val="clear" w:color="auto" w:fill="FFFFFF"/>
        </w:rPr>
        <w:t>、决算公开联系方式及信息反馈渠道</w:t>
      </w:r>
    </w:p>
    <w:p>
      <w:pPr>
        <w:pStyle w:val="9"/>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本部门决算公开信息反馈和联系方式：</w:t>
      </w:r>
    </w:p>
    <w:p>
      <w:pPr>
        <w:pStyle w:val="9"/>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Fonts w:hint="eastAsia" w:ascii="Times New Roman" w:hAnsi="Times New Roman" w:eastAsia="方正仿宋_GBK" w:cs="Times New Roman"/>
          <w:sz w:val="32"/>
          <w:szCs w:val="32"/>
          <w:shd w:val="clear" w:color="auto" w:fill="FFFFFF"/>
          <w:lang w:val="en-US" w:eastAsia="zh-CN"/>
        </w:rPr>
      </w:pPr>
      <w:r>
        <w:rPr>
          <w:rFonts w:hint="eastAsia" w:ascii="Times New Roman" w:hAnsi="Times New Roman" w:eastAsia="方正仿宋_GBK" w:cs="Times New Roman"/>
          <w:sz w:val="32"/>
          <w:szCs w:val="32"/>
          <w:shd w:val="clear" w:color="auto" w:fill="FFFFFF"/>
          <w:lang w:val="en-US" w:eastAsia="zh-CN"/>
        </w:rPr>
        <w:t xml:space="preserve">许人月    </w:t>
      </w:r>
      <w:r>
        <w:rPr>
          <w:rFonts w:hint="default" w:ascii="Times New Roman" w:hAnsi="Times New Roman" w:eastAsia="方正仿宋_GBK" w:cs="Times New Roman"/>
          <w:sz w:val="32"/>
          <w:szCs w:val="32"/>
          <w:shd w:val="clear" w:color="auto" w:fill="FFFFFF"/>
          <w:lang w:val="en-US" w:eastAsia="zh-CN"/>
        </w:rPr>
        <w:t>023-</w:t>
      </w:r>
      <w:r>
        <w:rPr>
          <w:rFonts w:hint="eastAsia" w:ascii="Times New Roman" w:hAnsi="Times New Roman" w:eastAsia="方正仿宋_GBK" w:cs="Times New Roman"/>
          <w:sz w:val="32"/>
          <w:szCs w:val="32"/>
          <w:shd w:val="clear" w:color="auto" w:fill="FFFFFF"/>
          <w:lang w:val="en-US" w:eastAsia="zh-CN"/>
        </w:rPr>
        <w:t>76628008</w:t>
      </w:r>
    </w:p>
    <w:p>
      <w:pPr>
        <w:pStyle w:val="9"/>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jc w:val="both"/>
        <w:textAlignment w:val="auto"/>
        <w:outlineLvl w:val="9"/>
        <w:rPr>
          <w:rFonts w:hint="default" w:ascii="Times New Roman" w:hAnsi="Times New Roman" w:eastAsia="方正仿宋_GBK" w:cs="Times New Roman"/>
          <w:sz w:val="32"/>
          <w:szCs w:val="32"/>
          <w:shd w:val="clear" w:color="auto" w:fill="FFFFFF"/>
          <w:lang w:val="en-US" w:eastAsia="zh-CN" w:bidi="ar-SA"/>
        </w:rPr>
        <w:sectPr>
          <w:footerReference r:id="rId3" w:type="default"/>
          <w:pgSz w:w="11915" w:h="16840"/>
          <w:pgMar w:top="1440" w:right="1800" w:bottom="1440" w:left="1800" w:header="851" w:footer="992" w:gutter="0"/>
          <w:pgNumType w:fmt="numberInDash"/>
          <w:cols w:space="720" w:num="1"/>
          <w:docGrid w:type="lines" w:linePitch="312" w:charSpace="0"/>
        </w:sectPr>
      </w:pPr>
    </w:p>
    <w:p>
      <w:pPr>
        <w:pStyle w:val="14"/>
        <w:autoSpaceDE w:val="0"/>
        <w:spacing w:line="596" w:lineRule="exact"/>
        <w:ind w:firstLine="640"/>
        <w:jc w:val="both"/>
        <w:rPr>
          <w:rFonts w:hint="eastAsia" w:ascii="方正仿宋_GBK" w:hAnsi="方正仿宋_GBK" w:eastAsia="方正仿宋_GBK" w:cs="方正仿宋_GBK"/>
          <w:sz w:val="32"/>
          <w:szCs w:val="32"/>
          <w:shd w:val="clear" w:color="auto" w:fill="FFFF00"/>
          <w:lang w:val="en-US" w:eastAsia="zh-CN"/>
        </w:rPr>
      </w:pPr>
      <w:r>
        <w:rPr>
          <w:rFonts w:hint="eastAsia" w:ascii="方正仿宋_GBK" w:hAnsi="方正仿宋_GBK" w:eastAsia="方正仿宋_GBK" w:cs="方正仿宋_GBK"/>
          <w:sz w:val="32"/>
          <w:szCs w:val="32"/>
          <w:shd w:val="clear" w:color="auto" w:fill="FFFFFF"/>
          <w:lang w:val="en-US" w:eastAsia="zh-CN" w:bidi="ar-SA"/>
        </w:rPr>
        <w:t>附件1</w:t>
      </w:r>
    </w:p>
    <w:tbl>
      <w:tblPr>
        <w:tblStyle w:val="12"/>
        <w:tblpPr w:leftFromText="180" w:rightFromText="180" w:vertAnchor="text" w:horzAnchor="page" w:tblpX="792" w:tblpY="1221"/>
        <w:tblOverlap w:val="never"/>
        <w:tblW w:w="1470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130"/>
        <w:gridCol w:w="1097"/>
        <w:gridCol w:w="801"/>
        <w:gridCol w:w="1701"/>
        <w:gridCol w:w="992"/>
        <w:gridCol w:w="1849"/>
        <w:gridCol w:w="780"/>
        <w:gridCol w:w="2008"/>
        <w:gridCol w:w="1749"/>
        <w:gridCol w:w="806"/>
        <w:gridCol w:w="17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95" w:hRule="atLeast"/>
        </w:trPr>
        <w:tc>
          <w:tcPr>
            <w:tcW w:w="1470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outlineLvl w:val="9"/>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2024年度部门整体绩效自评表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470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right"/>
              <w:textAlignment w:val="center"/>
              <w:outlineLvl w:val="9"/>
              <w:rPr>
                <w:rFonts w:hint="eastAsia" w:ascii="宋体" w:hAnsi="宋体" w:eastAsia="宋体" w:cs="宋体"/>
                <w:b/>
                <w:i w:val="0"/>
                <w:color w:val="DA3232"/>
                <w:sz w:val="22"/>
                <w:szCs w:val="22"/>
                <w:u w:val="none"/>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状态：绩效审核已审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15" w:hRule="atLeast"/>
        </w:trPr>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right"/>
              <w:textAlignment w:val="center"/>
              <w:outlineLvl w:val="9"/>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18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秀山土家族苗族自治县钟灵镇人民政府整体监控</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right"/>
              <w:textAlignment w:val="center"/>
              <w:outlineLvl w:val="9"/>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8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50024100024P000093</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right"/>
              <w:textAlignment w:val="center"/>
              <w:outlineLvl w:val="9"/>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37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80.10</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right"/>
              <w:outlineLvl w:val="9"/>
              <w:rPr>
                <w:rFonts w:hint="eastAsia" w:ascii="宋体" w:hAnsi="宋体" w:eastAsia="宋体" w:cs="宋体"/>
                <w:b/>
                <w:i w:val="0"/>
                <w:color w:val="000000"/>
                <w:sz w:val="22"/>
                <w:szCs w:val="22"/>
                <w:u w:val="none"/>
              </w:rPr>
            </w:pP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outlineLvl w:val="9"/>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81" w:hRule="atLeast"/>
        </w:trPr>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right"/>
              <w:textAlignment w:val="center"/>
              <w:outlineLvl w:val="9"/>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18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821-秀山土家族苗族自治县钟灵镇人民政府</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right"/>
              <w:textAlignment w:val="center"/>
              <w:outlineLvl w:val="9"/>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8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012-乡财科</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right"/>
              <w:textAlignment w:val="center"/>
              <w:outlineLvl w:val="9"/>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37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陈容</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right"/>
              <w:textAlignment w:val="center"/>
              <w:outlineLvl w:val="9"/>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76628008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1470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outlineLvl w:val="9"/>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22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outlineLvl w:val="9"/>
              <w:rPr>
                <w:rFonts w:hint="eastAsia" w:ascii="宋体" w:hAnsi="宋体" w:eastAsia="宋体" w:cs="宋体"/>
                <w:i w:val="0"/>
                <w:color w:val="000000"/>
                <w:sz w:val="22"/>
                <w:szCs w:val="22"/>
                <w:u w:val="none"/>
              </w:rPr>
            </w:pPr>
          </w:p>
        </w:tc>
        <w:tc>
          <w:tcPr>
            <w:tcW w:w="2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outlineLvl w:val="9"/>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8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outlineLvl w:val="9"/>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7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outlineLvl w:val="9"/>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outlineLvl w:val="9"/>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outlineLvl w:val="9"/>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outlineLvl w:val="9"/>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130"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097" w:type="dxa"/>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outlineLvl w:val="9"/>
              <w:rPr>
                <w:rFonts w:hint="eastAsia" w:ascii="宋体" w:hAnsi="宋体" w:eastAsia="宋体" w:cs="宋体"/>
                <w:i w:val="0"/>
                <w:color w:val="000000"/>
                <w:sz w:val="22"/>
                <w:szCs w:val="22"/>
                <w:u w:val="none"/>
              </w:rPr>
            </w:pPr>
          </w:p>
        </w:tc>
        <w:tc>
          <w:tcPr>
            <w:tcW w:w="801"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outlineLvl w:val="9"/>
              <w:rPr>
                <w:rFonts w:hint="eastAsia" w:ascii="宋体" w:hAnsi="宋体" w:eastAsia="宋体" w:cs="宋体"/>
                <w:i w:val="0"/>
                <w:color w:val="000000"/>
                <w:sz w:val="22"/>
                <w:szCs w:val="22"/>
                <w:u w:val="none"/>
              </w:rPr>
            </w:pPr>
          </w:p>
        </w:tc>
        <w:tc>
          <w:tcPr>
            <w:tcW w:w="1701" w:type="dxa"/>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24,555,900.63 </w:t>
            </w:r>
          </w:p>
        </w:tc>
        <w:tc>
          <w:tcPr>
            <w:tcW w:w="992"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outlineLvl w:val="9"/>
              <w:rPr>
                <w:rFonts w:hint="eastAsia" w:ascii="宋体" w:hAnsi="宋体" w:eastAsia="宋体" w:cs="宋体"/>
                <w:i w:val="0"/>
                <w:color w:val="000000"/>
                <w:sz w:val="22"/>
                <w:szCs w:val="22"/>
                <w:u w:val="none"/>
              </w:rPr>
            </w:pPr>
          </w:p>
        </w:tc>
        <w:tc>
          <w:tcPr>
            <w:tcW w:w="1849" w:type="dxa"/>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43,325,101.41 </w:t>
            </w:r>
          </w:p>
        </w:tc>
        <w:tc>
          <w:tcPr>
            <w:tcW w:w="780"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outlineLvl w:val="9"/>
              <w:rPr>
                <w:rFonts w:hint="eastAsia" w:ascii="宋体" w:hAnsi="宋体" w:eastAsia="宋体" w:cs="宋体"/>
                <w:i w:val="0"/>
                <w:color w:val="000000"/>
                <w:sz w:val="22"/>
                <w:szCs w:val="22"/>
                <w:u w:val="none"/>
              </w:rPr>
            </w:pPr>
          </w:p>
        </w:tc>
        <w:tc>
          <w:tcPr>
            <w:tcW w:w="2008" w:type="dxa"/>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34,834,210.91 </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outlineLvl w:val="9"/>
              <w:rPr>
                <w:rFonts w:hint="eastAsia" w:ascii="宋体" w:hAnsi="宋体" w:eastAsia="宋体" w:cs="宋体"/>
                <w:i w:val="0"/>
                <w:color w:val="000000"/>
                <w:sz w:val="22"/>
                <w:szCs w:val="22"/>
                <w:u w:val="none"/>
              </w:rPr>
            </w:pP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outlineLvl w:val="9"/>
              <w:rPr>
                <w:rFonts w:hint="eastAsia" w:ascii="宋体" w:hAnsi="宋体" w:eastAsia="宋体" w:cs="宋体"/>
                <w:i w:val="0"/>
                <w:color w:val="000000"/>
                <w:sz w:val="22"/>
                <w:szCs w:val="22"/>
                <w:u w:val="none"/>
              </w:rPr>
            </w:pP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right"/>
              <w:outlineLvl w:val="9"/>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130"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097" w:type="dxa"/>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outlineLvl w:val="9"/>
              <w:rPr>
                <w:rFonts w:hint="eastAsia" w:ascii="宋体" w:hAnsi="宋体" w:eastAsia="宋体" w:cs="宋体"/>
                <w:i w:val="0"/>
                <w:color w:val="000000"/>
                <w:sz w:val="22"/>
                <w:szCs w:val="22"/>
                <w:u w:val="none"/>
              </w:rPr>
            </w:pPr>
          </w:p>
        </w:tc>
        <w:tc>
          <w:tcPr>
            <w:tcW w:w="801"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outlineLvl w:val="9"/>
              <w:rPr>
                <w:rFonts w:hint="eastAsia" w:ascii="宋体" w:hAnsi="宋体" w:eastAsia="宋体" w:cs="宋体"/>
                <w:i w:val="0"/>
                <w:color w:val="000000"/>
                <w:sz w:val="22"/>
                <w:szCs w:val="22"/>
                <w:u w:val="none"/>
              </w:rPr>
            </w:pPr>
          </w:p>
        </w:tc>
        <w:tc>
          <w:tcPr>
            <w:tcW w:w="1701" w:type="dxa"/>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24,229,277.63 </w:t>
            </w:r>
          </w:p>
        </w:tc>
        <w:tc>
          <w:tcPr>
            <w:tcW w:w="992"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outlineLvl w:val="9"/>
              <w:rPr>
                <w:rFonts w:hint="eastAsia" w:ascii="宋体" w:hAnsi="宋体" w:eastAsia="宋体" w:cs="宋体"/>
                <w:i w:val="0"/>
                <w:color w:val="000000"/>
                <w:sz w:val="22"/>
                <w:szCs w:val="22"/>
                <w:u w:val="none"/>
              </w:rPr>
            </w:pPr>
          </w:p>
        </w:tc>
        <w:tc>
          <w:tcPr>
            <w:tcW w:w="1849" w:type="dxa"/>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42,998,478.41 </w:t>
            </w:r>
          </w:p>
        </w:tc>
        <w:tc>
          <w:tcPr>
            <w:tcW w:w="780"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outlineLvl w:val="9"/>
              <w:rPr>
                <w:rFonts w:hint="eastAsia" w:ascii="宋体" w:hAnsi="宋体" w:eastAsia="宋体" w:cs="宋体"/>
                <w:i w:val="0"/>
                <w:color w:val="000000"/>
                <w:sz w:val="22"/>
                <w:szCs w:val="22"/>
                <w:u w:val="none"/>
              </w:rPr>
            </w:pPr>
          </w:p>
        </w:tc>
        <w:tc>
          <w:tcPr>
            <w:tcW w:w="2008" w:type="dxa"/>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34,834,210.91 </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81.01</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130"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097" w:type="dxa"/>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outlineLvl w:val="9"/>
              <w:rPr>
                <w:rFonts w:hint="eastAsia" w:ascii="宋体" w:hAnsi="宋体" w:eastAsia="宋体" w:cs="宋体"/>
                <w:i w:val="0"/>
                <w:color w:val="000000"/>
                <w:sz w:val="22"/>
                <w:szCs w:val="22"/>
                <w:u w:val="none"/>
              </w:rPr>
            </w:pPr>
          </w:p>
        </w:tc>
        <w:tc>
          <w:tcPr>
            <w:tcW w:w="801"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outlineLvl w:val="9"/>
              <w:rPr>
                <w:rFonts w:hint="eastAsia" w:ascii="宋体" w:hAnsi="宋体" w:eastAsia="宋体" w:cs="宋体"/>
                <w:i w:val="0"/>
                <w:color w:val="000000"/>
                <w:sz w:val="22"/>
                <w:szCs w:val="22"/>
                <w:u w:val="none"/>
              </w:rPr>
            </w:pPr>
          </w:p>
        </w:tc>
        <w:tc>
          <w:tcPr>
            <w:tcW w:w="1701" w:type="dxa"/>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24,229,277.63 </w:t>
            </w:r>
          </w:p>
        </w:tc>
        <w:tc>
          <w:tcPr>
            <w:tcW w:w="992"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outlineLvl w:val="9"/>
              <w:rPr>
                <w:rFonts w:hint="eastAsia" w:ascii="宋体" w:hAnsi="宋体" w:eastAsia="宋体" w:cs="宋体"/>
                <w:i w:val="0"/>
                <w:color w:val="000000"/>
                <w:sz w:val="22"/>
                <w:szCs w:val="22"/>
                <w:u w:val="none"/>
              </w:rPr>
            </w:pPr>
          </w:p>
        </w:tc>
        <w:tc>
          <w:tcPr>
            <w:tcW w:w="1849" w:type="dxa"/>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40,148,478.41 </w:t>
            </w:r>
          </w:p>
        </w:tc>
        <w:tc>
          <w:tcPr>
            <w:tcW w:w="780"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outlineLvl w:val="9"/>
              <w:rPr>
                <w:rFonts w:hint="eastAsia" w:ascii="宋体" w:hAnsi="宋体" w:eastAsia="宋体" w:cs="宋体"/>
                <w:i w:val="0"/>
                <w:color w:val="000000"/>
                <w:sz w:val="22"/>
                <w:szCs w:val="22"/>
                <w:u w:val="none"/>
              </w:rPr>
            </w:pPr>
          </w:p>
        </w:tc>
        <w:tc>
          <w:tcPr>
            <w:tcW w:w="2008" w:type="dxa"/>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34,684,210.91 </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86.39</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outlineLvl w:val="9"/>
              <w:rPr>
                <w:rFonts w:hint="eastAsia" w:ascii="宋体" w:hAnsi="宋体" w:eastAsia="宋体" w:cs="宋体"/>
                <w:i w:val="0"/>
                <w:color w:val="000000"/>
                <w:sz w:val="22"/>
                <w:szCs w:val="22"/>
                <w:u w:val="none"/>
              </w:rPr>
            </w:pP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right"/>
              <w:outlineLvl w:val="9"/>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1470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outlineLvl w:val="9"/>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7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outlineLvl w:val="9"/>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56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outlineLvl w:val="9"/>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43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outlineLvl w:val="9"/>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47" w:hRule="atLeast"/>
        </w:trPr>
        <w:tc>
          <w:tcPr>
            <w:tcW w:w="4729"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jc w:val="left"/>
              <w:textAlignment w:val="top"/>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1、负责组织和管理乡镇财政收入和支出，编制执行乡镇年度财政预算，监督乡镇单位预算执行，编制财政决算；</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2、负责对乡镇国有资产的购置、登记、处置进行管理；保障我单位在职职工46人，退休职工14人的正常办公、生活秩序；</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3、贯彻执行上级的各项方针政策，抓好基层党建及乡村振兴工作，稳定和完善政府各项决策部署；</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4、抓好本乡镇领域农业、工业经济、第三产业的发展、安全生产、经济可持续发展、信访维稳等工作；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 5、做好民政行政工作的管理，发展社会福利事业，做好社会保障工作，及时发放、兑现义务兵优待金及其他优抚对象等补贴，进一步做好征兵工作，激励广大士兵安心服役、献身国防。</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6、保障组织的正常运转，维护社会稳定，落实党的政策和法律法规，促进社区各项事业的发展，提高社区居民幸福指数。</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7、保障辖区内道路正常通行，提高居民交通便捷性，维护环境卫生。</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8、认真完成上级主管部门交办的其他事项。</w:t>
            </w:r>
          </w:p>
        </w:tc>
        <w:tc>
          <w:tcPr>
            <w:tcW w:w="5629"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val="0"/>
              <w:kinsoku/>
              <w:wordWrap/>
              <w:overflowPunct/>
              <w:topLinePunct w:val="0"/>
              <w:autoSpaceDE/>
              <w:autoSpaceDN/>
              <w:bidi w:val="0"/>
              <w:adjustRightInd/>
              <w:snapToGrid/>
              <w:jc w:val="left"/>
              <w:outlineLvl w:val="9"/>
              <w:rPr>
                <w:rFonts w:hint="eastAsia" w:ascii="宋体" w:hAnsi="宋体" w:eastAsia="宋体" w:cs="宋体"/>
                <w:i w:val="0"/>
                <w:color w:val="000000"/>
                <w:sz w:val="22"/>
                <w:szCs w:val="22"/>
                <w:u w:val="none"/>
              </w:rPr>
            </w:pPr>
          </w:p>
        </w:tc>
        <w:tc>
          <w:tcPr>
            <w:tcW w:w="434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jc w:val="left"/>
              <w:textAlignment w:val="top"/>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1、负责组织和管理乡镇财政收入和支出，编制执行乡镇年度财政预算，监督乡镇单位预算执行，编制财政决算；</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2、负责对乡镇国有资产的购置、登记、处置进行管理；保障我单位在职职工46人，退休职工14人的正常办公、生活秩序；</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3、贯彻执行上级的各项方针政策，抓好基层党建及乡村振兴工作，稳定和完善政府各项决策部署；</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4、抓好本乡镇领域农业、工业经济、第三产业的发展、安全生产、经济可持续发展、信访维稳等工作；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 5、做好民政行政工作的管理，发展社会福利事业，做好社会保障工作，及时发放、兑现义务兵优待金及其他优抚对象等补贴，进一步做好征兵工作，激励广大士兵安心服役、献身国防。</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6、保障组织的正常运转，维护社会稳定，落实党的政策和法律法规，促进社区各项事业的发展，提高社区居民幸福指数。</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7、保障辖区内道路正常通行，提高居民交通便捷性，维护环境卫生。</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8、认真完成上级主管部门交办的其他事项。</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trPr>
        <w:tc>
          <w:tcPr>
            <w:tcW w:w="1470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outlineLvl w:val="9"/>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30" w:hRule="atLeast"/>
        </w:trPr>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outlineLvl w:val="9"/>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outlineLvl w:val="9"/>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outlineLvl w:val="9"/>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outlineLvl w:val="9"/>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outlineLvl w:val="9"/>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outlineLvl w:val="9"/>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outlineLvl w:val="9"/>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outlineLvl w:val="9"/>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outlineLvl w:val="9"/>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outlineLvl w:val="9"/>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outlineLvl w:val="9"/>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76" w:hRule="atLeast"/>
        </w:trPr>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全年预算支出执行率</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81.01</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18.99</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部分项目周期较长、部分项目报账资料未完善等各类因素影响，导致整体绩效执行率较低。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81" w:hRule="atLeast"/>
        </w:trPr>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账务按时处理，核算及时、准确</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left"/>
              <w:outlineLvl w:val="9"/>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90" w:hRule="atLeast"/>
        </w:trPr>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部门预决算按时公开率</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left"/>
              <w:outlineLvl w:val="9"/>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60" w:hRule="atLeast"/>
        </w:trPr>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国库集中支付资金拨付完成率</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left"/>
              <w:outlineLvl w:val="9"/>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20" w:hRule="atLeast"/>
        </w:trPr>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项目完工合格率</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left"/>
              <w:outlineLvl w:val="9"/>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20" w:hRule="atLeast"/>
        </w:trPr>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可持续性</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left"/>
              <w:outlineLvl w:val="9"/>
              <w:rPr>
                <w:rFonts w:hint="eastAsia" w:ascii="宋体" w:hAnsi="宋体" w:eastAsia="宋体" w:cs="宋体"/>
                <w:i w:val="0"/>
                <w:color w:val="000000"/>
                <w:sz w:val="22"/>
                <w:szCs w:val="22"/>
                <w:u w:val="none"/>
              </w:rPr>
            </w:pPr>
          </w:p>
        </w:tc>
      </w:tr>
    </w:tbl>
    <w:p>
      <w:pPr>
        <w:pStyle w:val="14"/>
        <w:autoSpaceDE w:val="0"/>
        <w:spacing w:line="596" w:lineRule="exact"/>
        <w:ind w:left="0" w:leftChars="0" w:firstLine="0" w:firstLineChars="0"/>
        <w:jc w:val="both"/>
        <w:rPr>
          <w:rFonts w:hint="eastAsia" w:ascii="方正仿宋_GBK" w:hAnsi="方正仿宋_GBK" w:eastAsia="方正仿宋_GBK" w:cs="方正仿宋_GBK"/>
          <w:sz w:val="32"/>
          <w:szCs w:val="32"/>
          <w:shd w:val="clear" w:color="auto" w:fill="FFFF00"/>
          <w:lang w:val="en-US" w:eastAsia="zh-CN"/>
        </w:rPr>
        <w:sectPr>
          <w:footerReference r:id="rId4" w:type="default"/>
          <w:pgSz w:w="16840" w:h="11915" w:orient="landscape"/>
          <w:pgMar w:top="1800" w:right="1440" w:bottom="1800" w:left="1440" w:header="851" w:footer="992" w:gutter="0"/>
          <w:pgNumType w:fmt="numberInDash"/>
          <w:cols w:space="720" w:num="1"/>
          <w:docGrid w:type="lines" w:linePitch="312" w:charSpace="0"/>
        </w:sectPr>
      </w:pPr>
    </w:p>
    <w:p>
      <w:pPr>
        <w:pStyle w:val="14"/>
        <w:autoSpaceDE w:val="0"/>
        <w:spacing w:line="596" w:lineRule="exact"/>
        <w:ind w:left="0" w:leftChars="0" w:firstLine="0" w:firstLineChars="0"/>
        <w:jc w:val="both"/>
        <w:rPr>
          <w:rFonts w:hint="eastAsia" w:ascii="方正仿宋_GBK" w:hAnsi="方正仿宋_GBK" w:eastAsia="方正仿宋_GBK" w:cs="方正仿宋_GBK"/>
          <w:sz w:val="32"/>
          <w:szCs w:val="32"/>
          <w:shd w:val="clear" w:color="auto" w:fill="FFFF00"/>
          <w:lang w:val="en-US" w:eastAsia="zh-CN"/>
        </w:rPr>
      </w:pPr>
      <w:r>
        <w:rPr>
          <w:rFonts w:hint="eastAsia" w:ascii="方正仿宋_GBK" w:hAnsi="方正仿宋_GBK" w:eastAsia="方正仿宋_GBK" w:cs="方正仿宋_GBK"/>
          <w:sz w:val="32"/>
          <w:szCs w:val="32"/>
          <w:shd w:val="clear" w:color="auto" w:fill="FFFFFF"/>
          <w:lang w:val="en-US" w:eastAsia="zh-CN" w:bidi="ar-SA"/>
        </w:rPr>
        <w:t>附件2</w:t>
      </w:r>
    </w:p>
    <w:tbl>
      <w:tblPr>
        <w:tblStyle w:val="12"/>
        <w:tblW w:w="144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884"/>
        <w:gridCol w:w="2460"/>
        <w:gridCol w:w="2040"/>
        <w:gridCol w:w="1320"/>
        <w:gridCol w:w="1020"/>
        <w:gridCol w:w="1215"/>
        <w:gridCol w:w="1260"/>
        <w:gridCol w:w="1245"/>
        <w:gridCol w:w="1290"/>
        <w:gridCol w:w="855"/>
        <w:gridCol w:w="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Ex>
        <w:trPr>
          <w:trHeight w:val="800" w:hRule="atLeast"/>
        </w:trPr>
        <w:tc>
          <w:tcPr>
            <w:tcW w:w="14459" w:type="dxa"/>
            <w:gridSpan w:val="11"/>
            <w:shd w:val="clear" w:color="auto" w:fill="auto"/>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32"/>
                <w:szCs w:val="32"/>
                <w:u w:val="none"/>
                <w:lang w:val="en-US" w:eastAsia="zh-CN" w:bidi="ar"/>
              </w:rPr>
              <w:t>2023年度项目支出绩效自评表（二级项目）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50" w:hRule="atLeast"/>
        </w:trPr>
        <w:tc>
          <w:tcPr>
            <w:tcW w:w="88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序号</w:t>
            </w:r>
          </w:p>
        </w:tc>
        <w:tc>
          <w:tcPr>
            <w:tcW w:w="246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项目名称</w:t>
            </w:r>
          </w:p>
        </w:tc>
        <w:tc>
          <w:tcPr>
            <w:tcW w:w="20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指标名称</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指标性质</w:t>
            </w:r>
          </w:p>
        </w:tc>
        <w:tc>
          <w:tcPr>
            <w:tcW w:w="10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指标值</w:t>
            </w:r>
          </w:p>
        </w:tc>
        <w:tc>
          <w:tcPr>
            <w:tcW w:w="121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计量单位</w:t>
            </w:r>
          </w:p>
        </w:tc>
        <w:tc>
          <w:tcPr>
            <w:tcW w:w="126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指标权重</w:t>
            </w:r>
          </w:p>
        </w:tc>
        <w:tc>
          <w:tcPr>
            <w:tcW w:w="124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全年完成值</w:t>
            </w:r>
          </w:p>
        </w:tc>
        <w:tc>
          <w:tcPr>
            <w:tcW w:w="12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指标得分</w:t>
            </w:r>
          </w:p>
        </w:tc>
        <w:tc>
          <w:tcPr>
            <w:tcW w:w="8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说明</w:t>
            </w:r>
          </w:p>
        </w:tc>
        <w:tc>
          <w:tcPr>
            <w:tcW w:w="87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80" w:hRule="atLeast"/>
        </w:trPr>
        <w:tc>
          <w:tcPr>
            <w:tcW w:w="88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w:t>
            </w:r>
          </w:p>
        </w:tc>
        <w:tc>
          <w:tcPr>
            <w:tcW w:w="2460"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钟灵镇2024年凯堡村有机茶园基地建设项目[-]-渝财农〔2023〕146号</w:t>
            </w:r>
          </w:p>
        </w:tc>
        <w:tc>
          <w:tcPr>
            <w:tcW w:w="20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cs="宋体"/>
                <w:i w:val="0"/>
                <w:color w:val="000000"/>
                <w:kern w:val="0"/>
                <w:sz w:val="20"/>
                <w:szCs w:val="20"/>
                <w:u w:val="none"/>
                <w:lang w:val="en-US" w:eastAsia="zh-CN" w:bidi="ar"/>
              </w:rPr>
              <w:t>建设有机茶园</w:t>
            </w:r>
          </w:p>
        </w:tc>
        <w:tc>
          <w:tcPr>
            <w:tcW w:w="1320" w:type="dxa"/>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020" w:type="dxa"/>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lang w:val="en-US"/>
              </w:rPr>
            </w:pPr>
            <w:r>
              <w:rPr>
                <w:rFonts w:hint="eastAsia" w:cs="宋体"/>
                <w:i w:val="0"/>
                <w:color w:val="000000"/>
                <w:kern w:val="0"/>
                <w:sz w:val="20"/>
                <w:szCs w:val="20"/>
                <w:u w:val="none"/>
                <w:lang w:val="en-US" w:eastAsia="zh-CN" w:bidi="ar"/>
              </w:rPr>
              <w:t>1600</w:t>
            </w:r>
          </w:p>
        </w:tc>
        <w:tc>
          <w:tcPr>
            <w:tcW w:w="1215" w:type="dxa"/>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亩</w:t>
            </w:r>
          </w:p>
        </w:tc>
        <w:tc>
          <w:tcPr>
            <w:tcW w:w="126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lang w:val="en-US"/>
              </w:rPr>
            </w:pPr>
            <w:r>
              <w:rPr>
                <w:rFonts w:hint="eastAsia" w:cs="宋体"/>
                <w:i w:val="0"/>
                <w:color w:val="000000"/>
                <w:kern w:val="0"/>
                <w:sz w:val="20"/>
                <w:szCs w:val="20"/>
                <w:u w:val="none"/>
                <w:lang w:val="en-US" w:eastAsia="zh-CN" w:bidi="ar"/>
              </w:rPr>
              <w:t>30</w:t>
            </w:r>
          </w:p>
        </w:tc>
        <w:tc>
          <w:tcPr>
            <w:tcW w:w="1245" w:type="dxa"/>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lang w:val="en-US"/>
              </w:rPr>
            </w:pPr>
            <w:r>
              <w:rPr>
                <w:rFonts w:hint="eastAsia" w:cs="宋体"/>
                <w:i w:val="0"/>
                <w:color w:val="000000"/>
                <w:kern w:val="0"/>
                <w:sz w:val="20"/>
                <w:szCs w:val="20"/>
                <w:u w:val="none"/>
                <w:lang w:val="en-US" w:eastAsia="zh-CN" w:bidi="ar"/>
              </w:rPr>
              <w:t>1600</w:t>
            </w:r>
          </w:p>
        </w:tc>
        <w:tc>
          <w:tcPr>
            <w:tcW w:w="12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cs="宋体"/>
                <w:i w:val="0"/>
                <w:color w:val="000000"/>
                <w:kern w:val="0"/>
                <w:sz w:val="20"/>
                <w:szCs w:val="20"/>
                <w:u w:val="none"/>
                <w:lang w:val="en-US" w:eastAsia="zh-CN" w:bidi="ar"/>
              </w:rPr>
              <w:t>30</w:t>
            </w:r>
          </w:p>
        </w:tc>
        <w:tc>
          <w:tcPr>
            <w:tcW w:w="855" w:type="dxa"/>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70"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80" w:hRule="atLeast"/>
        </w:trPr>
        <w:tc>
          <w:tcPr>
            <w:tcW w:w="88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6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0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cs="宋体"/>
                <w:i w:val="0"/>
                <w:color w:val="000000"/>
                <w:kern w:val="0"/>
                <w:sz w:val="20"/>
                <w:szCs w:val="20"/>
                <w:u w:val="none"/>
                <w:lang w:val="en-US" w:eastAsia="zh-CN" w:bidi="ar"/>
              </w:rPr>
              <w:t>资金按时支付率</w:t>
            </w:r>
          </w:p>
        </w:tc>
        <w:tc>
          <w:tcPr>
            <w:tcW w:w="1320" w:type="dxa"/>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020" w:type="dxa"/>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lang w:val="en-US"/>
              </w:rPr>
            </w:pPr>
            <w:r>
              <w:rPr>
                <w:rFonts w:hint="eastAsia" w:cs="宋体"/>
                <w:i w:val="0"/>
                <w:color w:val="000000"/>
                <w:kern w:val="0"/>
                <w:sz w:val="20"/>
                <w:szCs w:val="20"/>
                <w:u w:val="none"/>
                <w:lang w:val="en-US" w:eastAsia="zh-CN" w:bidi="ar"/>
              </w:rPr>
              <w:t>100</w:t>
            </w:r>
          </w:p>
        </w:tc>
        <w:tc>
          <w:tcPr>
            <w:tcW w:w="1215" w:type="dxa"/>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cs="宋体"/>
                <w:i w:val="0"/>
                <w:color w:val="000000"/>
                <w:kern w:val="0"/>
                <w:sz w:val="20"/>
                <w:szCs w:val="20"/>
                <w:u w:val="none"/>
                <w:lang w:val="en-US" w:eastAsia="zh-CN" w:bidi="ar"/>
              </w:rPr>
              <w:t>%</w:t>
            </w:r>
          </w:p>
        </w:tc>
        <w:tc>
          <w:tcPr>
            <w:tcW w:w="126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lang w:val="en-US"/>
              </w:rPr>
            </w:pPr>
            <w:r>
              <w:rPr>
                <w:rFonts w:hint="eastAsia" w:cs="宋体"/>
                <w:i w:val="0"/>
                <w:color w:val="000000"/>
                <w:kern w:val="0"/>
                <w:sz w:val="20"/>
                <w:szCs w:val="20"/>
                <w:u w:val="none"/>
                <w:lang w:val="en-US" w:eastAsia="zh-CN" w:bidi="ar"/>
              </w:rPr>
              <w:t>18</w:t>
            </w:r>
          </w:p>
        </w:tc>
        <w:tc>
          <w:tcPr>
            <w:tcW w:w="1245" w:type="dxa"/>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lang w:val="en-US"/>
              </w:rPr>
            </w:pPr>
            <w:r>
              <w:rPr>
                <w:rFonts w:hint="eastAsia" w:cs="宋体"/>
                <w:i w:val="0"/>
                <w:color w:val="000000"/>
                <w:kern w:val="0"/>
                <w:sz w:val="20"/>
                <w:szCs w:val="20"/>
                <w:u w:val="none"/>
                <w:lang w:val="en-US" w:eastAsia="zh-CN" w:bidi="ar"/>
              </w:rPr>
              <w:t>100</w:t>
            </w:r>
          </w:p>
        </w:tc>
        <w:tc>
          <w:tcPr>
            <w:tcW w:w="12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lang w:val="en-US"/>
              </w:rPr>
            </w:pPr>
            <w:r>
              <w:rPr>
                <w:rFonts w:hint="eastAsia" w:cs="宋体"/>
                <w:i w:val="0"/>
                <w:color w:val="000000"/>
                <w:kern w:val="0"/>
                <w:sz w:val="20"/>
                <w:szCs w:val="20"/>
                <w:u w:val="none"/>
                <w:lang w:val="en-US" w:eastAsia="zh-CN" w:bidi="ar"/>
              </w:rPr>
              <w:t>20</w:t>
            </w:r>
          </w:p>
        </w:tc>
        <w:tc>
          <w:tcPr>
            <w:tcW w:w="855" w:type="dxa"/>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7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80" w:hRule="atLeast"/>
        </w:trPr>
        <w:tc>
          <w:tcPr>
            <w:tcW w:w="88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6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0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cs="宋体"/>
                <w:i w:val="0"/>
                <w:color w:val="000000"/>
                <w:kern w:val="0"/>
                <w:sz w:val="20"/>
                <w:szCs w:val="20"/>
                <w:u w:val="none"/>
                <w:lang w:val="en-US" w:eastAsia="zh-CN" w:bidi="ar"/>
              </w:rPr>
              <w:t>预计产值</w:t>
            </w:r>
          </w:p>
        </w:tc>
        <w:tc>
          <w:tcPr>
            <w:tcW w:w="1320" w:type="dxa"/>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020" w:type="dxa"/>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lang w:val="en-US"/>
              </w:rPr>
            </w:pPr>
            <w:r>
              <w:rPr>
                <w:rFonts w:hint="eastAsia" w:cs="宋体"/>
                <w:i w:val="0"/>
                <w:color w:val="000000"/>
                <w:kern w:val="0"/>
                <w:sz w:val="20"/>
                <w:szCs w:val="20"/>
                <w:u w:val="none"/>
                <w:lang w:val="en-US" w:eastAsia="zh-CN" w:bidi="ar"/>
              </w:rPr>
              <w:t>1</w:t>
            </w:r>
            <w:r>
              <w:rPr>
                <w:rFonts w:hint="eastAsia" w:ascii="宋体" w:hAnsi="宋体" w:eastAsia="宋体" w:cs="宋体"/>
                <w:i w:val="0"/>
                <w:color w:val="000000"/>
                <w:kern w:val="0"/>
                <w:sz w:val="20"/>
                <w:szCs w:val="20"/>
                <w:u w:val="none"/>
                <w:lang w:val="en-US" w:eastAsia="zh-CN" w:bidi="ar"/>
              </w:rPr>
              <w:t>8</w:t>
            </w:r>
            <w:r>
              <w:rPr>
                <w:rFonts w:hint="eastAsia" w:cs="宋体"/>
                <w:i w:val="0"/>
                <w:color w:val="000000"/>
                <w:kern w:val="0"/>
                <w:sz w:val="20"/>
                <w:szCs w:val="20"/>
                <w:u w:val="none"/>
                <w:lang w:val="en-US" w:eastAsia="zh-CN" w:bidi="ar"/>
              </w:rPr>
              <w:t>0</w:t>
            </w:r>
          </w:p>
        </w:tc>
        <w:tc>
          <w:tcPr>
            <w:tcW w:w="1215" w:type="dxa"/>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lang w:eastAsia="zh-CN"/>
              </w:rPr>
            </w:pPr>
            <w:r>
              <w:rPr>
                <w:rFonts w:hint="eastAsia" w:cs="宋体"/>
                <w:i w:val="0"/>
                <w:color w:val="000000"/>
                <w:sz w:val="20"/>
                <w:szCs w:val="20"/>
                <w:u w:val="none"/>
                <w:lang w:val="en-US" w:eastAsia="zh-CN"/>
              </w:rPr>
              <w:t>万元</w:t>
            </w:r>
          </w:p>
        </w:tc>
        <w:tc>
          <w:tcPr>
            <w:tcW w:w="126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lang w:val="en-US"/>
              </w:rPr>
            </w:pPr>
            <w:r>
              <w:rPr>
                <w:rFonts w:hint="eastAsia" w:cs="宋体"/>
                <w:i w:val="0"/>
                <w:color w:val="000000"/>
                <w:kern w:val="0"/>
                <w:sz w:val="20"/>
                <w:szCs w:val="20"/>
                <w:u w:val="none"/>
                <w:lang w:val="en-US" w:eastAsia="zh-CN" w:bidi="ar"/>
              </w:rPr>
              <w:t>12</w:t>
            </w:r>
          </w:p>
        </w:tc>
        <w:tc>
          <w:tcPr>
            <w:tcW w:w="1245" w:type="dxa"/>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lang w:val="en-US"/>
              </w:rPr>
            </w:pPr>
            <w:r>
              <w:rPr>
                <w:rFonts w:hint="eastAsia" w:cs="宋体"/>
                <w:i w:val="0"/>
                <w:color w:val="000000"/>
                <w:kern w:val="0"/>
                <w:sz w:val="20"/>
                <w:szCs w:val="20"/>
                <w:u w:val="none"/>
                <w:lang w:val="en-US" w:eastAsia="zh-CN" w:bidi="ar"/>
              </w:rPr>
              <w:t>180</w:t>
            </w:r>
          </w:p>
        </w:tc>
        <w:tc>
          <w:tcPr>
            <w:tcW w:w="12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lang w:val="en-US"/>
              </w:rPr>
            </w:pPr>
            <w:r>
              <w:rPr>
                <w:rFonts w:hint="eastAsia" w:cs="宋体"/>
                <w:i w:val="0"/>
                <w:color w:val="000000"/>
                <w:kern w:val="0"/>
                <w:sz w:val="20"/>
                <w:szCs w:val="20"/>
                <w:u w:val="none"/>
                <w:lang w:val="en-US" w:eastAsia="zh-CN" w:bidi="ar"/>
              </w:rPr>
              <w:t>20</w:t>
            </w:r>
          </w:p>
        </w:tc>
        <w:tc>
          <w:tcPr>
            <w:tcW w:w="855" w:type="dxa"/>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7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15" w:hRule="atLeast"/>
        </w:trPr>
        <w:tc>
          <w:tcPr>
            <w:tcW w:w="88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6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0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带动贫困户</w:t>
            </w:r>
          </w:p>
        </w:tc>
        <w:tc>
          <w:tcPr>
            <w:tcW w:w="1320" w:type="dxa"/>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020" w:type="dxa"/>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lang w:val="en-US"/>
              </w:rPr>
            </w:pPr>
            <w:r>
              <w:rPr>
                <w:rFonts w:hint="eastAsia" w:cs="宋体"/>
                <w:i w:val="0"/>
                <w:color w:val="000000"/>
                <w:kern w:val="0"/>
                <w:sz w:val="20"/>
                <w:szCs w:val="20"/>
                <w:u w:val="none"/>
                <w:lang w:val="en-US" w:eastAsia="zh-CN" w:bidi="ar"/>
              </w:rPr>
              <w:t>20</w:t>
            </w:r>
          </w:p>
        </w:tc>
        <w:tc>
          <w:tcPr>
            <w:tcW w:w="1215" w:type="dxa"/>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户</w:t>
            </w:r>
          </w:p>
        </w:tc>
        <w:tc>
          <w:tcPr>
            <w:tcW w:w="126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1245" w:type="dxa"/>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lang w:val="en-US"/>
              </w:rPr>
            </w:pPr>
            <w:r>
              <w:rPr>
                <w:rFonts w:hint="eastAsia" w:cs="宋体"/>
                <w:i w:val="0"/>
                <w:color w:val="000000"/>
                <w:kern w:val="0"/>
                <w:sz w:val="20"/>
                <w:szCs w:val="20"/>
                <w:u w:val="none"/>
                <w:lang w:val="en-US" w:eastAsia="zh-CN" w:bidi="ar"/>
              </w:rPr>
              <w:t>20</w:t>
            </w:r>
          </w:p>
        </w:tc>
        <w:tc>
          <w:tcPr>
            <w:tcW w:w="12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lang w:val="en-US"/>
              </w:rPr>
            </w:pPr>
            <w:r>
              <w:rPr>
                <w:rFonts w:hint="eastAsia" w:cs="宋体"/>
                <w:i w:val="0"/>
                <w:color w:val="000000"/>
                <w:kern w:val="0"/>
                <w:sz w:val="20"/>
                <w:szCs w:val="20"/>
                <w:u w:val="none"/>
                <w:lang w:val="en-US" w:eastAsia="zh-CN" w:bidi="ar"/>
              </w:rPr>
              <w:t>30</w:t>
            </w:r>
          </w:p>
        </w:tc>
        <w:tc>
          <w:tcPr>
            <w:tcW w:w="855" w:type="dxa"/>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7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80" w:hRule="atLeast"/>
        </w:trPr>
        <w:tc>
          <w:tcPr>
            <w:tcW w:w="88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2460"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2024年脱贫人口产业发展到户补贴项目[-]-渝财农〔2023〕146号</w:t>
            </w:r>
          </w:p>
        </w:tc>
        <w:tc>
          <w:tcPr>
            <w:tcW w:w="20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cs="宋体"/>
                <w:i w:val="0"/>
                <w:color w:val="000000"/>
                <w:kern w:val="0"/>
                <w:sz w:val="20"/>
                <w:szCs w:val="20"/>
                <w:u w:val="none"/>
                <w:lang w:val="en-US" w:eastAsia="zh-CN" w:bidi="ar"/>
              </w:rPr>
              <w:t>资金按时支付率</w:t>
            </w:r>
          </w:p>
        </w:tc>
        <w:tc>
          <w:tcPr>
            <w:tcW w:w="1320" w:type="dxa"/>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020" w:type="dxa"/>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lang w:val="en-US"/>
              </w:rPr>
            </w:pPr>
            <w:r>
              <w:rPr>
                <w:rFonts w:hint="eastAsia" w:cs="宋体"/>
                <w:i w:val="0"/>
                <w:color w:val="000000"/>
                <w:kern w:val="0"/>
                <w:sz w:val="20"/>
                <w:szCs w:val="20"/>
                <w:u w:val="none"/>
                <w:lang w:val="en-US" w:eastAsia="zh-CN" w:bidi="ar"/>
              </w:rPr>
              <w:t>100</w:t>
            </w:r>
          </w:p>
        </w:tc>
        <w:tc>
          <w:tcPr>
            <w:tcW w:w="1215" w:type="dxa"/>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cs="宋体"/>
                <w:i w:val="0"/>
                <w:color w:val="000000"/>
                <w:kern w:val="0"/>
                <w:sz w:val="20"/>
                <w:szCs w:val="20"/>
                <w:u w:val="none"/>
                <w:lang w:val="en-US" w:eastAsia="zh-CN" w:bidi="ar"/>
              </w:rPr>
              <w:t>%</w:t>
            </w:r>
          </w:p>
        </w:tc>
        <w:tc>
          <w:tcPr>
            <w:tcW w:w="126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245" w:type="dxa"/>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lang w:val="en-US"/>
              </w:rPr>
            </w:pPr>
            <w:r>
              <w:rPr>
                <w:rFonts w:hint="eastAsia" w:cs="宋体"/>
                <w:i w:val="0"/>
                <w:color w:val="000000"/>
                <w:kern w:val="0"/>
                <w:sz w:val="20"/>
                <w:szCs w:val="20"/>
                <w:u w:val="none"/>
                <w:lang w:val="en-US" w:eastAsia="zh-CN" w:bidi="ar"/>
              </w:rPr>
              <w:t>100</w:t>
            </w:r>
          </w:p>
        </w:tc>
        <w:tc>
          <w:tcPr>
            <w:tcW w:w="12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855" w:type="dxa"/>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70"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80" w:hRule="atLeast"/>
        </w:trPr>
        <w:tc>
          <w:tcPr>
            <w:tcW w:w="88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6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0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cs="宋体"/>
                <w:i w:val="0"/>
                <w:color w:val="000000"/>
                <w:kern w:val="0"/>
                <w:sz w:val="20"/>
                <w:szCs w:val="20"/>
                <w:u w:val="none"/>
                <w:lang w:val="en-US" w:eastAsia="zh-CN" w:bidi="ar"/>
              </w:rPr>
              <w:t>户均增收</w:t>
            </w:r>
          </w:p>
        </w:tc>
        <w:tc>
          <w:tcPr>
            <w:tcW w:w="1320" w:type="dxa"/>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020" w:type="dxa"/>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kern w:val="0"/>
                <w:sz w:val="20"/>
                <w:szCs w:val="20"/>
                <w:u w:val="none"/>
                <w:lang w:val="en-US" w:eastAsia="zh-CN" w:bidi="ar"/>
              </w:rPr>
            </w:pPr>
            <w:r>
              <w:rPr>
                <w:rFonts w:hint="eastAsia" w:cs="宋体"/>
                <w:i w:val="0"/>
                <w:color w:val="000000"/>
                <w:kern w:val="0"/>
                <w:sz w:val="20"/>
                <w:szCs w:val="20"/>
                <w:u w:val="none"/>
                <w:lang w:val="en-US" w:eastAsia="zh-CN" w:bidi="ar"/>
              </w:rPr>
              <w:t>600</w:t>
            </w:r>
          </w:p>
        </w:tc>
        <w:tc>
          <w:tcPr>
            <w:tcW w:w="1215" w:type="dxa"/>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cs="宋体"/>
                <w:i w:val="0"/>
                <w:color w:val="000000"/>
                <w:kern w:val="0"/>
                <w:sz w:val="20"/>
                <w:szCs w:val="20"/>
                <w:u w:val="none"/>
                <w:lang w:val="en-US" w:eastAsia="zh-CN" w:bidi="ar"/>
              </w:rPr>
              <w:t>元</w:t>
            </w:r>
          </w:p>
        </w:tc>
        <w:tc>
          <w:tcPr>
            <w:tcW w:w="126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lang w:val="en-US"/>
              </w:rPr>
            </w:pPr>
            <w:r>
              <w:rPr>
                <w:rFonts w:hint="eastAsia" w:cs="宋体"/>
                <w:i w:val="0"/>
                <w:color w:val="000000"/>
                <w:kern w:val="0"/>
                <w:sz w:val="20"/>
                <w:szCs w:val="20"/>
                <w:u w:val="none"/>
                <w:lang w:val="en-US" w:eastAsia="zh-CN" w:bidi="ar"/>
              </w:rPr>
              <w:t>30</w:t>
            </w:r>
          </w:p>
        </w:tc>
        <w:tc>
          <w:tcPr>
            <w:tcW w:w="1245" w:type="dxa"/>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kern w:val="0"/>
                <w:sz w:val="20"/>
                <w:szCs w:val="20"/>
                <w:u w:val="none"/>
                <w:lang w:val="en-US" w:eastAsia="zh-CN" w:bidi="ar"/>
              </w:rPr>
            </w:pPr>
            <w:r>
              <w:rPr>
                <w:rFonts w:hint="eastAsia" w:cs="宋体"/>
                <w:i w:val="0"/>
                <w:color w:val="000000"/>
                <w:kern w:val="0"/>
                <w:sz w:val="20"/>
                <w:szCs w:val="20"/>
                <w:u w:val="none"/>
                <w:lang w:val="en-US" w:eastAsia="zh-CN" w:bidi="ar"/>
              </w:rPr>
              <w:t>600</w:t>
            </w:r>
          </w:p>
        </w:tc>
        <w:tc>
          <w:tcPr>
            <w:tcW w:w="12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cs="宋体"/>
                <w:i w:val="0"/>
                <w:color w:val="000000"/>
                <w:kern w:val="0"/>
                <w:sz w:val="20"/>
                <w:szCs w:val="20"/>
                <w:u w:val="none"/>
                <w:lang w:val="en-US" w:eastAsia="zh-CN" w:bidi="ar"/>
              </w:rPr>
              <w:t>30</w:t>
            </w:r>
          </w:p>
        </w:tc>
        <w:tc>
          <w:tcPr>
            <w:tcW w:w="855" w:type="dxa"/>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7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80" w:hRule="atLeast"/>
        </w:trPr>
        <w:tc>
          <w:tcPr>
            <w:tcW w:w="88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6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0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cs="宋体"/>
                <w:i w:val="0"/>
                <w:color w:val="000000"/>
                <w:kern w:val="0"/>
                <w:sz w:val="20"/>
                <w:szCs w:val="20"/>
                <w:u w:val="none"/>
                <w:lang w:val="en-US" w:eastAsia="zh-CN" w:bidi="ar"/>
              </w:rPr>
              <w:t>补贴标准</w:t>
            </w:r>
          </w:p>
        </w:tc>
        <w:tc>
          <w:tcPr>
            <w:tcW w:w="1320" w:type="dxa"/>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020" w:type="dxa"/>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kern w:val="0"/>
                <w:sz w:val="20"/>
                <w:szCs w:val="20"/>
                <w:u w:val="none"/>
                <w:lang w:val="en-US" w:eastAsia="zh-CN" w:bidi="ar"/>
              </w:rPr>
            </w:pPr>
            <w:r>
              <w:rPr>
                <w:rFonts w:hint="eastAsia" w:cs="宋体"/>
                <w:i w:val="0"/>
                <w:color w:val="000000"/>
                <w:kern w:val="0"/>
                <w:sz w:val="20"/>
                <w:szCs w:val="20"/>
                <w:u w:val="none"/>
                <w:lang w:val="en-US" w:eastAsia="zh-CN" w:bidi="ar"/>
              </w:rPr>
              <w:t>600</w:t>
            </w:r>
          </w:p>
        </w:tc>
        <w:tc>
          <w:tcPr>
            <w:tcW w:w="1215" w:type="dxa"/>
            <w:shd w:val="clear" w:color="auto" w:fill="auto"/>
            <w:tcMar>
              <w:top w:w="15" w:type="dxa"/>
              <w:left w:w="15" w:type="dxa"/>
              <w:right w:w="15" w:type="dxa"/>
            </w:tcMar>
            <w:vAlign w:val="center"/>
          </w:tcPr>
          <w:p>
            <w:pPr>
              <w:ind w:firstLine="200" w:firstLineChars="100"/>
              <w:jc w:val="left"/>
              <w:rPr>
                <w:rFonts w:hint="eastAsia" w:ascii="宋体" w:hAnsi="宋体" w:eastAsia="宋体" w:cs="宋体"/>
                <w:i w:val="0"/>
                <w:color w:val="000000"/>
                <w:sz w:val="20"/>
                <w:szCs w:val="20"/>
                <w:u w:val="none"/>
                <w:lang w:eastAsia="zh-CN"/>
              </w:rPr>
            </w:pPr>
            <w:r>
              <w:rPr>
                <w:rFonts w:hint="eastAsia" w:cs="宋体"/>
                <w:i w:val="0"/>
                <w:color w:val="000000"/>
                <w:sz w:val="20"/>
                <w:szCs w:val="20"/>
                <w:u w:val="none"/>
                <w:lang w:val="en-US" w:eastAsia="zh-CN"/>
              </w:rPr>
              <w:t>元/</w:t>
            </w:r>
            <w:r>
              <w:rPr>
                <w:rFonts w:hint="eastAsia" w:ascii="宋体" w:hAnsi="宋体" w:eastAsia="宋体" w:cs="宋体"/>
                <w:i w:val="0"/>
                <w:color w:val="000000"/>
                <w:sz w:val="20"/>
                <w:szCs w:val="20"/>
                <w:u w:val="none"/>
                <w:lang w:eastAsia="zh-CN"/>
              </w:rPr>
              <w:t>户</w:t>
            </w:r>
          </w:p>
        </w:tc>
        <w:tc>
          <w:tcPr>
            <w:tcW w:w="126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1245" w:type="dxa"/>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kern w:val="0"/>
                <w:sz w:val="20"/>
                <w:szCs w:val="20"/>
                <w:u w:val="none"/>
                <w:lang w:val="en-US" w:eastAsia="zh-CN" w:bidi="ar"/>
              </w:rPr>
            </w:pPr>
            <w:r>
              <w:rPr>
                <w:rFonts w:hint="eastAsia" w:cs="宋体"/>
                <w:i w:val="0"/>
                <w:color w:val="000000"/>
                <w:kern w:val="0"/>
                <w:sz w:val="20"/>
                <w:szCs w:val="20"/>
                <w:u w:val="none"/>
                <w:lang w:val="en-US" w:eastAsia="zh-CN" w:bidi="ar"/>
              </w:rPr>
              <w:t>600</w:t>
            </w:r>
          </w:p>
        </w:tc>
        <w:tc>
          <w:tcPr>
            <w:tcW w:w="12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855" w:type="dxa"/>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7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80" w:hRule="atLeast"/>
        </w:trPr>
        <w:tc>
          <w:tcPr>
            <w:tcW w:w="88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6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0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cs="宋体"/>
                <w:i w:val="0"/>
                <w:color w:val="000000"/>
                <w:kern w:val="0"/>
                <w:sz w:val="20"/>
                <w:szCs w:val="20"/>
                <w:u w:val="none"/>
                <w:lang w:val="en-US" w:eastAsia="zh-CN" w:bidi="ar"/>
              </w:rPr>
              <w:t>补贴户数</w:t>
            </w:r>
          </w:p>
        </w:tc>
        <w:tc>
          <w:tcPr>
            <w:tcW w:w="1320" w:type="dxa"/>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lang w:val="en-US" w:eastAsia="zh-CN"/>
              </w:rPr>
            </w:pPr>
            <w:r>
              <w:rPr>
                <w:rFonts w:hint="eastAsia" w:cs="宋体"/>
                <w:i w:val="0"/>
                <w:color w:val="000000"/>
                <w:sz w:val="20"/>
                <w:szCs w:val="20"/>
                <w:u w:val="none"/>
                <w:lang w:val="en-US" w:eastAsia="zh-CN"/>
              </w:rPr>
              <w:t>=</w:t>
            </w:r>
          </w:p>
        </w:tc>
        <w:tc>
          <w:tcPr>
            <w:tcW w:w="1020" w:type="dxa"/>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lang w:val="en-US"/>
              </w:rPr>
            </w:pPr>
            <w:r>
              <w:rPr>
                <w:rFonts w:hint="eastAsia" w:cs="宋体"/>
                <w:i w:val="0"/>
                <w:color w:val="000000"/>
                <w:kern w:val="0"/>
                <w:sz w:val="20"/>
                <w:szCs w:val="20"/>
                <w:u w:val="none"/>
                <w:lang w:val="en-US" w:eastAsia="zh-CN" w:bidi="ar"/>
              </w:rPr>
              <w:t>164</w:t>
            </w:r>
          </w:p>
        </w:tc>
        <w:tc>
          <w:tcPr>
            <w:tcW w:w="1215" w:type="dxa"/>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cs="宋体"/>
                <w:i w:val="0"/>
                <w:color w:val="000000"/>
                <w:kern w:val="0"/>
                <w:sz w:val="20"/>
                <w:szCs w:val="20"/>
                <w:u w:val="none"/>
                <w:lang w:val="en-US" w:eastAsia="zh-CN" w:bidi="ar"/>
              </w:rPr>
              <w:t>户</w:t>
            </w:r>
          </w:p>
        </w:tc>
        <w:tc>
          <w:tcPr>
            <w:tcW w:w="126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lang w:val="en-US"/>
              </w:rPr>
            </w:pPr>
            <w:r>
              <w:rPr>
                <w:rFonts w:hint="eastAsia" w:cs="宋体"/>
                <w:i w:val="0"/>
                <w:color w:val="000000"/>
                <w:kern w:val="0"/>
                <w:sz w:val="20"/>
                <w:szCs w:val="20"/>
                <w:u w:val="none"/>
                <w:lang w:val="en-US" w:eastAsia="zh-CN" w:bidi="ar"/>
              </w:rPr>
              <w:t>20</w:t>
            </w:r>
          </w:p>
        </w:tc>
        <w:tc>
          <w:tcPr>
            <w:tcW w:w="1245" w:type="dxa"/>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lang w:val="en-US"/>
              </w:rPr>
            </w:pPr>
            <w:r>
              <w:rPr>
                <w:rFonts w:hint="eastAsia" w:cs="宋体"/>
                <w:i w:val="0"/>
                <w:color w:val="000000"/>
                <w:kern w:val="0"/>
                <w:sz w:val="20"/>
                <w:szCs w:val="20"/>
                <w:u w:val="none"/>
                <w:lang w:val="en-US" w:eastAsia="zh-CN" w:bidi="ar"/>
              </w:rPr>
              <w:t>164</w:t>
            </w:r>
          </w:p>
        </w:tc>
        <w:tc>
          <w:tcPr>
            <w:tcW w:w="12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lang w:val="en-US"/>
              </w:rPr>
            </w:pPr>
            <w:r>
              <w:rPr>
                <w:rFonts w:hint="eastAsia" w:cs="宋体"/>
                <w:i w:val="0"/>
                <w:color w:val="000000"/>
                <w:kern w:val="0"/>
                <w:sz w:val="20"/>
                <w:szCs w:val="20"/>
                <w:u w:val="none"/>
                <w:lang w:val="en-US" w:eastAsia="zh-CN" w:bidi="ar"/>
              </w:rPr>
              <w:t>20</w:t>
            </w:r>
          </w:p>
        </w:tc>
        <w:tc>
          <w:tcPr>
            <w:tcW w:w="855" w:type="dxa"/>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7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80" w:hRule="atLeast"/>
        </w:trPr>
        <w:tc>
          <w:tcPr>
            <w:tcW w:w="884" w:type="dxa"/>
            <w:shd w:val="clear" w:color="auto" w:fill="auto"/>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w:t>
            </w:r>
          </w:p>
        </w:tc>
        <w:tc>
          <w:tcPr>
            <w:tcW w:w="2460" w:type="dxa"/>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0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1320" w:type="dxa"/>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kern w:val="0"/>
                <w:sz w:val="20"/>
                <w:szCs w:val="20"/>
                <w:u w:val="none"/>
                <w:lang w:val="en-US" w:eastAsia="zh-CN" w:bidi="ar"/>
              </w:rPr>
            </w:pPr>
          </w:p>
        </w:tc>
        <w:tc>
          <w:tcPr>
            <w:tcW w:w="1020" w:type="dxa"/>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kern w:val="0"/>
                <w:sz w:val="20"/>
                <w:szCs w:val="20"/>
                <w:u w:val="none"/>
                <w:lang w:val="en-US" w:eastAsia="zh-CN" w:bidi="ar"/>
              </w:rPr>
            </w:pPr>
          </w:p>
        </w:tc>
        <w:tc>
          <w:tcPr>
            <w:tcW w:w="1215" w:type="dxa"/>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kern w:val="0"/>
                <w:sz w:val="20"/>
                <w:szCs w:val="20"/>
                <w:u w:val="none"/>
                <w:lang w:val="en-US" w:eastAsia="zh-CN" w:bidi="ar"/>
              </w:rPr>
            </w:pPr>
          </w:p>
        </w:tc>
        <w:tc>
          <w:tcPr>
            <w:tcW w:w="126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1245" w:type="dxa"/>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kern w:val="0"/>
                <w:sz w:val="20"/>
                <w:szCs w:val="20"/>
                <w:u w:val="none"/>
                <w:lang w:val="en-US" w:eastAsia="zh-CN" w:bidi="ar"/>
              </w:rPr>
            </w:pPr>
          </w:p>
        </w:tc>
        <w:tc>
          <w:tcPr>
            <w:tcW w:w="12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55" w:type="dxa"/>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70" w:type="dxa"/>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bl>
    <w:p>
      <w:pPr>
        <w:pStyle w:val="14"/>
        <w:autoSpaceDE w:val="0"/>
        <w:spacing w:line="596" w:lineRule="exact"/>
        <w:ind w:left="0" w:leftChars="0" w:firstLine="0" w:firstLineChars="0"/>
        <w:jc w:val="both"/>
        <w:rPr>
          <w:rFonts w:hint="eastAsia" w:ascii="方正仿宋_GBK" w:hAnsi="方正仿宋_GBK" w:eastAsia="方正仿宋_GBK" w:cs="方正仿宋_GBK"/>
          <w:sz w:val="32"/>
          <w:szCs w:val="32"/>
          <w:shd w:val="clear" w:color="auto" w:fill="FFFF00"/>
          <w:lang w:val="en-US" w:eastAsia="zh-CN"/>
        </w:rPr>
        <w:sectPr>
          <w:pgSz w:w="16840" w:h="11915" w:orient="landscape"/>
          <w:pgMar w:top="1800" w:right="1440" w:bottom="1800" w:left="1440" w:header="851" w:footer="992" w:gutter="0"/>
          <w:pgNumType w:fmt="numberInDash"/>
          <w:cols w:space="720" w:num="1"/>
          <w:docGrid w:type="lines" w:linePitch="312" w:charSpace="0"/>
        </w:sectPr>
      </w:pPr>
    </w:p>
    <w:tbl>
      <w:tblPr>
        <w:tblStyle w:val="12"/>
        <w:tblpPr w:leftFromText="180" w:rightFromText="180" w:vertAnchor="text" w:horzAnchor="page" w:tblpX="1070" w:tblpY="-165"/>
        <w:tblOverlap w:val="never"/>
        <w:tblW w:w="147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294"/>
        <w:gridCol w:w="3558"/>
        <w:gridCol w:w="4044"/>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2" w:hRule="atLeast"/>
        </w:trPr>
        <w:tc>
          <w:tcPr>
            <w:tcW w:w="14737" w:type="dxa"/>
            <w:gridSpan w:val="4"/>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2" w:hRule="atLeast"/>
        </w:trPr>
        <w:tc>
          <w:tcPr>
            <w:tcW w:w="4294" w:type="dxa"/>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shd w:val="clear" w:color="auto" w:fill="auto"/>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2" w:hRule="atLeast"/>
        </w:trPr>
        <w:tc>
          <w:tcPr>
            <w:tcW w:w="7852" w:type="dxa"/>
            <w:gridSpan w:val="2"/>
            <w:shd w:val="clear" w:color="auto" w:fill="auto"/>
            <w:tcMar>
              <w:top w:w="15" w:type="dxa"/>
              <w:left w:w="15" w:type="dxa"/>
              <w:right w:w="15" w:type="dxa"/>
            </w:tcMar>
            <w:vAlign w:val="bottom"/>
          </w:tcPr>
          <w:p>
            <w:pPr>
              <w:spacing w:line="200" w:lineRule="exact"/>
              <w:rPr>
                <w:rFonts w:hint="default" w:ascii="Arial" w:hAnsi="Arial" w:cs="Arial"/>
                <w:color w:val="000000"/>
                <w:sz w:val="22"/>
                <w:szCs w:val="22"/>
              </w:rPr>
            </w:pPr>
            <w:r>
              <w:rPr>
                <w:rFonts w:cs="宋体"/>
                <w:sz w:val="20"/>
                <w:szCs w:val="20"/>
              </w:rPr>
              <w:t>部门：</w:t>
            </w:r>
            <w:r>
              <w:rPr>
                <w:sz w:val="20"/>
                <w:u w:color="auto"/>
              </w:rPr>
              <w:t>秀山土家族苗族自治县钟灵镇人民政府</w:t>
            </w:r>
          </w:p>
        </w:tc>
        <w:tc>
          <w:tcPr>
            <w:tcW w:w="4044" w:type="dxa"/>
            <w:shd w:val="clear" w:color="auto" w:fill="auto"/>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7852" w:type="dxa"/>
            <w:gridSpan w:val="2"/>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3,464.84</w:t>
            </w:r>
            <w:r>
              <w:rPr>
                <w:rFonts w:ascii="Times New Roman" w:hAnsi="Times New Roman"/>
                <w:color w:val="000000"/>
                <w:sz w:val="20"/>
                <w:u w:color="auto"/>
              </w:rPr>
              <w:t xml:space="preserve"> </w:t>
            </w: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744.31</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w:t>
            </w:r>
            <w:r>
              <w:rPr>
                <w:rFonts w:ascii="Times New Roman" w:hAnsi="Times New Roman"/>
                <w:color w:val="000000"/>
                <w:sz w:val="20"/>
                <w:u w:color="auto"/>
              </w:rPr>
              <w:t xml:space="preserve"> </w:t>
            </w: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43.28</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250.50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68.13</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415.37</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48.51</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1,700.09</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4294" w:type="dxa"/>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129.50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95.92</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16.89</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3,479.84</w:t>
            </w:r>
            <w:r>
              <w:rPr>
                <w:rFonts w:ascii="Times New Roman" w:hAnsi="Times New Roman"/>
                <w:color w:val="000000"/>
                <w:sz w:val="20"/>
                <w:u w:color="auto"/>
              </w:rPr>
              <w:t xml:space="preserve"> </w:t>
            </w:r>
          </w:p>
        </w:tc>
        <w:tc>
          <w:tcPr>
            <w:tcW w:w="4044" w:type="dxa"/>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3,512.50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32.66</w:t>
            </w:r>
            <w:r>
              <w:rPr>
                <w:rFonts w:ascii="Times New Roman" w:hAnsi="Times New Roman"/>
                <w:color w:val="000000"/>
                <w:sz w:val="20"/>
                <w:u w:color="auto"/>
              </w:rPr>
              <w:t xml:space="preserve"> </w:t>
            </w: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53" w:hRule="atLeast"/>
        </w:trPr>
        <w:tc>
          <w:tcPr>
            <w:tcW w:w="4294" w:type="dxa"/>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3,512.50</w:t>
            </w:r>
            <w:r>
              <w:rPr>
                <w:rFonts w:ascii="Times New Roman" w:hAnsi="Times New Roman"/>
                <w:color w:val="000000"/>
                <w:sz w:val="20"/>
                <w:u w:color="auto"/>
              </w:rPr>
              <w:t xml:space="preserve"> </w:t>
            </w:r>
          </w:p>
        </w:tc>
        <w:tc>
          <w:tcPr>
            <w:tcW w:w="4044" w:type="dxa"/>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3,512.50</w:t>
            </w:r>
            <w:r>
              <w:rPr>
                <w:rFonts w:ascii="Times New Roman" w:hAnsi="Times New Roman"/>
                <w:color w:val="000000"/>
                <w:sz w:val="20"/>
                <w:u w:color="auto"/>
              </w:rPr>
              <w:t xml:space="preserve"> </w:t>
            </w:r>
          </w:p>
        </w:tc>
      </w:tr>
    </w:tbl>
    <w:p>
      <w:pPr>
        <w:spacing w:line="240" w:lineRule="exact"/>
        <w:rPr>
          <w:rFonts w:hint="default" w:cs="宋体"/>
          <w:sz w:val="20"/>
          <w:szCs w:val="20"/>
        </w:rPr>
      </w:pPr>
      <w:r>
        <w:rPr>
          <w:rFonts w:cs="宋体"/>
          <w:sz w:val="20"/>
          <w:szCs w:val="20"/>
        </w:rPr>
        <w:t>备注：1.本表反映部门本年度的总收支和年末结转结余情况。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2"/>
        <w:tblW w:w="155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36"/>
        <w:gridCol w:w="3116"/>
        <w:gridCol w:w="1349"/>
        <w:gridCol w:w="1408"/>
        <w:gridCol w:w="1228"/>
        <w:gridCol w:w="1228"/>
        <w:gridCol w:w="1361"/>
        <w:gridCol w:w="1299"/>
        <w:gridCol w:w="1432"/>
        <w:gridCol w:w="1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41" w:hRule="atLeast"/>
        </w:trPr>
        <w:tc>
          <w:tcPr>
            <w:tcW w:w="15503" w:type="dxa"/>
            <w:gridSpan w:val="10"/>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28" w:hRule="atLeast"/>
        </w:trPr>
        <w:tc>
          <w:tcPr>
            <w:tcW w:w="5901" w:type="dxa"/>
            <w:gridSpan w:val="3"/>
            <w:vMerge w:val="restart"/>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部门：</w:t>
            </w:r>
            <w:r>
              <w:rPr>
                <w:sz w:val="20"/>
                <w:u w:color="auto"/>
              </w:rPr>
              <w:t>秀山土家族苗族自治县钟灵镇人民政府</w:t>
            </w:r>
          </w:p>
        </w:tc>
        <w:tc>
          <w:tcPr>
            <w:tcW w:w="1408" w:type="dxa"/>
            <w:shd w:val="clear" w:color="auto" w:fill="auto"/>
            <w:tcMar>
              <w:top w:w="15" w:type="dxa"/>
              <w:left w:w="15" w:type="dxa"/>
              <w:right w:w="15" w:type="dxa"/>
            </w:tcMar>
            <w:vAlign w:val="bottom"/>
          </w:tcPr>
          <w:p>
            <w:pPr>
              <w:rPr>
                <w:rFonts w:hint="default" w:cs="宋体"/>
                <w:color w:val="000000"/>
                <w:sz w:val="20"/>
                <w:szCs w:val="20"/>
              </w:rPr>
            </w:pPr>
          </w:p>
        </w:tc>
        <w:tc>
          <w:tcPr>
            <w:tcW w:w="1228" w:type="dxa"/>
            <w:shd w:val="clear" w:color="auto" w:fill="auto"/>
            <w:tcMar>
              <w:top w:w="15" w:type="dxa"/>
              <w:left w:w="15" w:type="dxa"/>
              <w:right w:w="15" w:type="dxa"/>
            </w:tcMar>
            <w:vAlign w:val="bottom"/>
          </w:tcPr>
          <w:p>
            <w:pPr>
              <w:rPr>
                <w:rFonts w:hint="default" w:cs="宋体"/>
                <w:color w:val="000000"/>
                <w:sz w:val="20"/>
                <w:szCs w:val="20"/>
              </w:rPr>
            </w:pPr>
          </w:p>
        </w:tc>
        <w:tc>
          <w:tcPr>
            <w:tcW w:w="1228" w:type="dxa"/>
            <w:shd w:val="clear" w:color="auto" w:fill="auto"/>
            <w:tcMar>
              <w:top w:w="15" w:type="dxa"/>
              <w:left w:w="15" w:type="dxa"/>
              <w:right w:w="15" w:type="dxa"/>
            </w:tcMar>
            <w:vAlign w:val="bottom"/>
          </w:tcPr>
          <w:p>
            <w:pPr>
              <w:rPr>
                <w:rFonts w:hint="default" w:cs="宋体"/>
                <w:color w:val="000000"/>
                <w:sz w:val="20"/>
                <w:szCs w:val="20"/>
              </w:rPr>
            </w:pPr>
          </w:p>
        </w:tc>
        <w:tc>
          <w:tcPr>
            <w:tcW w:w="1361" w:type="dxa"/>
            <w:shd w:val="clear" w:color="auto" w:fill="auto"/>
            <w:tcMar>
              <w:top w:w="15" w:type="dxa"/>
              <w:left w:w="15" w:type="dxa"/>
              <w:right w:w="15" w:type="dxa"/>
            </w:tcMar>
            <w:vAlign w:val="bottom"/>
          </w:tcPr>
          <w:p>
            <w:pPr>
              <w:rPr>
                <w:rFonts w:hint="default" w:cs="宋体"/>
                <w:color w:val="000000"/>
                <w:sz w:val="20"/>
                <w:szCs w:val="20"/>
              </w:rPr>
            </w:pPr>
          </w:p>
        </w:tc>
        <w:tc>
          <w:tcPr>
            <w:tcW w:w="1299" w:type="dxa"/>
            <w:shd w:val="clear" w:color="auto" w:fill="auto"/>
            <w:tcMar>
              <w:top w:w="15" w:type="dxa"/>
              <w:left w:w="15" w:type="dxa"/>
              <w:right w:w="15" w:type="dxa"/>
            </w:tcMar>
            <w:vAlign w:val="bottom"/>
          </w:tcPr>
          <w:p>
            <w:pPr>
              <w:rPr>
                <w:rFonts w:hint="default" w:cs="宋体"/>
                <w:color w:val="000000"/>
                <w:sz w:val="20"/>
                <w:szCs w:val="20"/>
              </w:rPr>
            </w:pPr>
          </w:p>
        </w:tc>
        <w:tc>
          <w:tcPr>
            <w:tcW w:w="1432" w:type="dxa"/>
            <w:shd w:val="clear" w:color="auto" w:fill="auto"/>
            <w:tcMar>
              <w:top w:w="15" w:type="dxa"/>
              <w:left w:w="15" w:type="dxa"/>
              <w:right w:w="15" w:type="dxa"/>
            </w:tcMar>
            <w:vAlign w:val="bottom"/>
          </w:tcPr>
          <w:p>
            <w:pPr>
              <w:rPr>
                <w:rFonts w:hint="default" w:cs="宋体"/>
                <w:color w:val="000000"/>
                <w:sz w:val="20"/>
                <w:szCs w:val="20"/>
              </w:rPr>
            </w:pPr>
          </w:p>
        </w:tc>
        <w:tc>
          <w:tcPr>
            <w:tcW w:w="1646" w:type="dxa"/>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28" w:hRule="atLeast"/>
        </w:trPr>
        <w:tc>
          <w:tcPr>
            <w:tcW w:w="5901" w:type="dxa"/>
            <w:gridSpan w:val="3"/>
            <w:vMerge w:val="continue"/>
            <w:shd w:val="clear" w:color="auto" w:fill="auto"/>
            <w:tcMar>
              <w:top w:w="15" w:type="dxa"/>
              <w:left w:w="15" w:type="dxa"/>
              <w:right w:w="15" w:type="dxa"/>
            </w:tcMar>
            <w:vAlign w:val="bottom"/>
          </w:tcPr>
          <w:p>
            <w:pPr>
              <w:rPr>
                <w:rFonts w:hint="default" w:cs="宋体"/>
                <w:color w:val="000000"/>
                <w:sz w:val="20"/>
                <w:szCs w:val="20"/>
              </w:rPr>
            </w:pPr>
          </w:p>
        </w:tc>
        <w:tc>
          <w:tcPr>
            <w:tcW w:w="1408" w:type="dxa"/>
            <w:shd w:val="clear" w:color="auto" w:fill="auto"/>
            <w:tcMar>
              <w:top w:w="15" w:type="dxa"/>
              <w:left w:w="15" w:type="dxa"/>
              <w:right w:w="15" w:type="dxa"/>
            </w:tcMar>
            <w:vAlign w:val="bottom"/>
          </w:tcPr>
          <w:p>
            <w:pPr>
              <w:rPr>
                <w:rFonts w:hint="default" w:cs="宋体"/>
                <w:color w:val="000000"/>
                <w:sz w:val="20"/>
                <w:szCs w:val="20"/>
              </w:rPr>
            </w:pPr>
          </w:p>
        </w:tc>
        <w:tc>
          <w:tcPr>
            <w:tcW w:w="1228" w:type="dxa"/>
            <w:shd w:val="clear" w:color="auto" w:fill="auto"/>
            <w:tcMar>
              <w:top w:w="15" w:type="dxa"/>
              <w:left w:w="15" w:type="dxa"/>
              <w:right w:w="15" w:type="dxa"/>
            </w:tcMar>
            <w:vAlign w:val="bottom"/>
          </w:tcPr>
          <w:p>
            <w:pPr>
              <w:rPr>
                <w:rFonts w:hint="default" w:cs="宋体"/>
                <w:color w:val="000000"/>
                <w:sz w:val="20"/>
                <w:szCs w:val="20"/>
              </w:rPr>
            </w:pPr>
          </w:p>
        </w:tc>
        <w:tc>
          <w:tcPr>
            <w:tcW w:w="1228" w:type="dxa"/>
            <w:shd w:val="clear" w:color="auto" w:fill="auto"/>
            <w:tcMar>
              <w:top w:w="15" w:type="dxa"/>
              <w:left w:w="15" w:type="dxa"/>
              <w:right w:w="15" w:type="dxa"/>
            </w:tcMar>
            <w:vAlign w:val="bottom"/>
          </w:tcPr>
          <w:p>
            <w:pPr>
              <w:rPr>
                <w:rFonts w:hint="default" w:cs="宋体"/>
                <w:color w:val="000000"/>
                <w:sz w:val="20"/>
                <w:szCs w:val="20"/>
              </w:rPr>
            </w:pPr>
          </w:p>
        </w:tc>
        <w:tc>
          <w:tcPr>
            <w:tcW w:w="1361" w:type="dxa"/>
            <w:shd w:val="clear" w:color="auto" w:fill="auto"/>
            <w:tcMar>
              <w:top w:w="15" w:type="dxa"/>
              <w:left w:w="15" w:type="dxa"/>
              <w:right w:w="15" w:type="dxa"/>
            </w:tcMar>
            <w:vAlign w:val="bottom"/>
          </w:tcPr>
          <w:p>
            <w:pPr>
              <w:rPr>
                <w:rFonts w:hint="default" w:cs="宋体"/>
                <w:color w:val="000000"/>
                <w:sz w:val="20"/>
                <w:szCs w:val="20"/>
              </w:rPr>
            </w:pPr>
          </w:p>
        </w:tc>
        <w:tc>
          <w:tcPr>
            <w:tcW w:w="1299" w:type="dxa"/>
            <w:shd w:val="clear" w:color="auto" w:fill="auto"/>
            <w:tcMar>
              <w:top w:w="15" w:type="dxa"/>
              <w:left w:w="15" w:type="dxa"/>
              <w:right w:w="15" w:type="dxa"/>
            </w:tcMar>
            <w:vAlign w:val="bottom"/>
          </w:tcPr>
          <w:p>
            <w:pPr>
              <w:rPr>
                <w:rFonts w:hint="default" w:cs="宋体"/>
                <w:color w:val="000000"/>
                <w:sz w:val="20"/>
                <w:szCs w:val="20"/>
              </w:rPr>
            </w:pPr>
          </w:p>
        </w:tc>
        <w:tc>
          <w:tcPr>
            <w:tcW w:w="1432" w:type="dxa"/>
            <w:shd w:val="clear" w:color="auto" w:fill="auto"/>
            <w:tcMar>
              <w:top w:w="15" w:type="dxa"/>
              <w:left w:w="15" w:type="dxa"/>
              <w:right w:w="15" w:type="dxa"/>
            </w:tcMar>
            <w:vAlign w:val="bottom"/>
          </w:tcPr>
          <w:p>
            <w:pPr>
              <w:rPr>
                <w:rFonts w:hint="default" w:cs="宋体"/>
                <w:color w:val="000000"/>
                <w:sz w:val="20"/>
                <w:szCs w:val="20"/>
              </w:rPr>
            </w:pPr>
          </w:p>
        </w:tc>
        <w:tc>
          <w:tcPr>
            <w:tcW w:w="1646" w:type="dxa"/>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31" w:hRule="atLeast"/>
        </w:trPr>
        <w:tc>
          <w:tcPr>
            <w:tcW w:w="4552" w:type="dxa"/>
            <w:gridSpan w:val="2"/>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349"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408"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28"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589" w:type="dxa"/>
            <w:gridSpan w:val="2"/>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99"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432"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646"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4" w:hRule="atLeast"/>
        </w:trPr>
        <w:tc>
          <w:tcPr>
            <w:tcW w:w="1436"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116"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349"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408"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361"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99"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646"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4" w:hRule="atLeast"/>
        </w:trPr>
        <w:tc>
          <w:tcPr>
            <w:tcW w:w="1436"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116"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349"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408"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361"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299"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646"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4" w:hRule="atLeast"/>
        </w:trPr>
        <w:tc>
          <w:tcPr>
            <w:tcW w:w="1436"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116"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349"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408"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361"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299"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646"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4" w:hRule="atLeast"/>
        </w:trPr>
        <w:tc>
          <w:tcPr>
            <w:tcW w:w="1436"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116"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349"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408"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361"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299"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646"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8" w:hRule="atLeast"/>
        </w:trPr>
        <w:tc>
          <w:tcPr>
            <w:tcW w:w="4552" w:type="dxa"/>
            <w:gridSpan w:val="2"/>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3,479.84</w:t>
            </w:r>
            <w:r>
              <w:rPr>
                <w:rFonts w:ascii="Times New Roman" w:hAnsi="Times New Roman"/>
                <w:b/>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3,479.84</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744.31</w:t>
            </w:r>
            <w:r>
              <w:rPr>
                <w:rFonts w:ascii="Times New Roman" w:hAnsi="Times New Roman"/>
                <w:b/>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744.31</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20101</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人大事务</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5.87</w:t>
            </w:r>
            <w:r>
              <w:rPr>
                <w:rFonts w:ascii="Times New Roman" w:hAnsi="Times New Roman"/>
                <w:b/>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5.87</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2010108</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代表工作</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5.87</w:t>
            </w:r>
            <w:r>
              <w:rPr>
                <w:rFonts w:ascii="Times New Roman" w:hAnsi="Times New Roman"/>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5.87</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594.15</w:t>
            </w:r>
            <w:r>
              <w:rPr>
                <w:rFonts w:ascii="Times New Roman" w:hAnsi="Times New Roman"/>
                <w:b/>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594.15</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561.63</w:t>
            </w:r>
            <w:r>
              <w:rPr>
                <w:rFonts w:ascii="Times New Roman" w:hAnsi="Times New Roman"/>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561.63</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2010302</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32.53</w:t>
            </w:r>
            <w:r>
              <w:rPr>
                <w:rFonts w:ascii="Times New Roman" w:hAnsi="Times New Roman"/>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32.53</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20105</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统计信息事务</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4.21</w:t>
            </w:r>
            <w:r>
              <w:rPr>
                <w:rFonts w:ascii="Times New Roman" w:hAnsi="Times New Roman"/>
                <w:b/>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4.21</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2010507</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专项普查活动</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4.21</w:t>
            </w:r>
            <w:r>
              <w:rPr>
                <w:rFonts w:ascii="Times New Roman" w:hAnsi="Times New Roman"/>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4.21</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20106</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财政事务</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62.52</w:t>
            </w:r>
            <w:r>
              <w:rPr>
                <w:rFonts w:ascii="Times New Roman" w:hAnsi="Times New Roman"/>
                <w:b/>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62.52</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2010601</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62.52</w:t>
            </w:r>
            <w:r>
              <w:rPr>
                <w:rFonts w:ascii="Times New Roman" w:hAnsi="Times New Roman"/>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62.52</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20123</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民族事务</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73.04</w:t>
            </w:r>
            <w:r>
              <w:rPr>
                <w:rFonts w:ascii="Times New Roman" w:hAnsi="Times New Roman"/>
                <w:b/>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73.04</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2012304</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民族工作专项</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73.04</w:t>
            </w:r>
            <w:r>
              <w:rPr>
                <w:rFonts w:ascii="Times New Roman" w:hAnsi="Times New Roman"/>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73.04</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4.52</w:t>
            </w:r>
            <w:r>
              <w:rPr>
                <w:rFonts w:ascii="Times New Roman" w:hAnsi="Times New Roman"/>
                <w:b/>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4.52</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2013202</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2.72</w:t>
            </w:r>
            <w:r>
              <w:rPr>
                <w:rFonts w:ascii="Times New Roman" w:hAnsi="Times New Roman"/>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2.72</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2013204</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公务员事务</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w:t>
            </w:r>
            <w:r>
              <w:rPr>
                <w:rFonts w:ascii="Times New Roman" w:hAnsi="Times New Roman"/>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43.28</w:t>
            </w:r>
            <w:r>
              <w:rPr>
                <w:rFonts w:ascii="Times New Roman" w:hAnsi="Times New Roman"/>
                <w:b/>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43.28</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43.28</w:t>
            </w:r>
            <w:r>
              <w:rPr>
                <w:rFonts w:ascii="Times New Roman" w:hAnsi="Times New Roman"/>
                <w:b/>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43.28</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2070109</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群众文化</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39.51</w:t>
            </w:r>
            <w:r>
              <w:rPr>
                <w:rFonts w:ascii="Times New Roman" w:hAnsi="Times New Roman"/>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39.51</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2070199</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其他文化和旅游支出</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3.77</w:t>
            </w:r>
            <w:r>
              <w:rPr>
                <w:rFonts w:ascii="Times New Roman" w:hAnsi="Times New Roman"/>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3.77</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250.50</w:t>
            </w:r>
            <w:r>
              <w:rPr>
                <w:rFonts w:ascii="Times New Roman" w:hAnsi="Times New Roman"/>
                <w:b/>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250.50</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43.17</w:t>
            </w:r>
            <w:r>
              <w:rPr>
                <w:rFonts w:ascii="Times New Roman" w:hAnsi="Times New Roman"/>
                <w:b/>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43.17</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2080109</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社会保险经办机构</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43.17</w:t>
            </w:r>
            <w:r>
              <w:rPr>
                <w:rFonts w:ascii="Times New Roman" w:hAnsi="Times New Roman"/>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43.17</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176.98</w:t>
            </w:r>
            <w:r>
              <w:rPr>
                <w:rFonts w:ascii="Times New Roman" w:hAnsi="Times New Roman"/>
                <w:b/>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176.98</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25.23</w:t>
            </w:r>
            <w:r>
              <w:rPr>
                <w:rFonts w:ascii="Times New Roman" w:hAnsi="Times New Roman"/>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25.23</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2080502</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事业单位离退休</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12.90</w:t>
            </w:r>
            <w:r>
              <w:rPr>
                <w:rFonts w:ascii="Times New Roman" w:hAnsi="Times New Roman"/>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92.57</w:t>
            </w:r>
            <w:r>
              <w:rPr>
                <w:rFonts w:ascii="Times New Roman" w:hAnsi="Times New Roman"/>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92.57</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46.28</w:t>
            </w:r>
            <w:r>
              <w:rPr>
                <w:rFonts w:ascii="Times New Roman" w:hAnsi="Times New Roman"/>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46.28</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20811</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残疾人事业</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2.69</w:t>
            </w:r>
            <w:r>
              <w:rPr>
                <w:rFonts w:ascii="Times New Roman" w:hAnsi="Times New Roman"/>
                <w:b/>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2.69</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2081199</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其他残疾人事业支出</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2.69</w:t>
            </w:r>
            <w:r>
              <w:rPr>
                <w:rFonts w:ascii="Times New Roman" w:hAnsi="Times New Roman"/>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2.69</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20821</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特困人员救助供养</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2082102</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农村特困人员救助供养支出</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20828</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退役军人管理事务</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26.66</w:t>
            </w:r>
            <w:r>
              <w:rPr>
                <w:rFonts w:ascii="Times New Roman" w:hAnsi="Times New Roman"/>
                <w:b/>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26.66</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2082850</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26.66</w:t>
            </w:r>
            <w:r>
              <w:rPr>
                <w:rFonts w:ascii="Times New Roman" w:hAnsi="Times New Roman"/>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26.66</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68.13</w:t>
            </w:r>
            <w:r>
              <w:rPr>
                <w:rFonts w:ascii="Times New Roman" w:hAnsi="Times New Roman"/>
                <w:b/>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68.13</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21004</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公共卫生</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1.40</w:t>
            </w:r>
            <w:r>
              <w:rPr>
                <w:rFonts w:ascii="Times New Roman" w:hAnsi="Times New Roman"/>
                <w:b/>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1.40</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2100499</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其他公共卫生支出</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1.40</w:t>
            </w:r>
            <w:r>
              <w:rPr>
                <w:rFonts w:ascii="Times New Roman" w:hAnsi="Times New Roman"/>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62.97</w:t>
            </w:r>
            <w:r>
              <w:rPr>
                <w:rFonts w:ascii="Times New Roman" w:hAnsi="Times New Roman"/>
                <w:b/>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62.97</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37.76</w:t>
            </w:r>
            <w:r>
              <w:rPr>
                <w:rFonts w:ascii="Times New Roman" w:hAnsi="Times New Roman"/>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37.76</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14.17</w:t>
            </w:r>
            <w:r>
              <w:rPr>
                <w:rFonts w:ascii="Times New Roman" w:hAnsi="Times New Roman"/>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14.17</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11.04</w:t>
            </w:r>
            <w:r>
              <w:rPr>
                <w:rFonts w:ascii="Times New Roman" w:hAnsi="Times New Roman"/>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11.04</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21015</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医疗保障管理事务</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3.76</w:t>
            </w:r>
            <w:r>
              <w:rPr>
                <w:rFonts w:ascii="Times New Roman" w:hAnsi="Times New Roman"/>
                <w:b/>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3.76</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2101505</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医疗保障政策管理</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1.89</w:t>
            </w:r>
            <w:r>
              <w:rPr>
                <w:rFonts w:ascii="Times New Roman" w:hAnsi="Times New Roman"/>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1.89</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2101506</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医疗保障经办事务</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1.87</w:t>
            </w:r>
            <w:r>
              <w:rPr>
                <w:rFonts w:ascii="Times New Roman" w:hAnsi="Times New Roman"/>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1.87</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415.37</w:t>
            </w:r>
            <w:r>
              <w:rPr>
                <w:rFonts w:ascii="Times New Roman" w:hAnsi="Times New Roman"/>
                <w:b/>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415.37</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21103</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污染防治</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129.37</w:t>
            </w:r>
            <w:r>
              <w:rPr>
                <w:rFonts w:ascii="Times New Roman" w:hAnsi="Times New Roman"/>
                <w:b/>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129.37</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2110307</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土壤</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129.37</w:t>
            </w:r>
            <w:r>
              <w:rPr>
                <w:rFonts w:ascii="Times New Roman" w:hAnsi="Times New Roman"/>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129.37</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21104</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自然生态保护</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286.00</w:t>
            </w:r>
            <w:r>
              <w:rPr>
                <w:rFonts w:ascii="Times New Roman" w:hAnsi="Times New Roman"/>
                <w:b/>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286.00</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2110402</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农村环境保护</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286.00</w:t>
            </w:r>
            <w:r>
              <w:rPr>
                <w:rFonts w:ascii="Times New Roman" w:hAnsi="Times New Roman"/>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286.00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48.51</w:t>
            </w:r>
            <w:r>
              <w:rPr>
                <w:rFonts w:ascii="Times New Roman" w:hAnsi="Times New Roman"/>
                <w:b/>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48.51</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48.51</w:t>
            </w:r>
            <w:r>
              <w:rPr>
                <w:rFonts w:ascii="Times New Roman" w:hAnsi="Times New Roman"/>
                <w:b/>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48.51</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48.51</w:t>
            </w:r>
            <w:r>
              <w:rPr>
                <w:rFonts w:ascii="Times New Roman" w:hAnsi="Times New Roman"/>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48.51</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1,667.42</w:t>
            </w:r>
            <w:r>
              <w:rPr>
                <w:rFonts w:ascii="Times New Roman" w:hAnsi="Times New Roman"/>
                <w:b/>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1,667.42</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165.97</w:t>
            </w:r>
            <w:r>
              <w:rPr>
                <w:rFonts w:ascii="Times New Roman" w:hAnsi="Times New Roman"/>
                <w:b/>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165.97</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2130104</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120.65</w:t>
            </w:r>
            <w:r>
              <w:rPr>
                <w:rFonts w:ascii="Times New Roman" w:hAnsi="Times New Roman"/>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120.65</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2130108</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病虫害控制</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w:t>
            </w:r>
            <w:r>
              <w:rPr>
                <w:rFonts w:ascii="Times New Roman" w:hAnsi="Times New Roman"/>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2130122</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农业生产发展</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10.20</w:t>
            </w:r>
            <w:r>
              <w:rPr>
                <w:rFonts w:ascii="Times New Roman" w:hAnsi="Times New Roman"/>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2130135</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农业生态资源保护</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33.80</w:t>
            </w:r>
            <w:r>
              <w:rPr>
                <w:rFonts w:ascii="Times New Roman" w:hAnsi="Times New Roman"/>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33.80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4.27</w:t>
            </w:r>
            <w:r>
              <w:rPr>
                <w:rFonts w:ascii="Times New Roman" w:hAnsi="Times New Roman"/>
                <w:b/>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4.27</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2130234</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林业草原防灾减灾</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1.27</w:t>
            </w:r>
            <w:r>
              <w:rPr>
                <w:rFonts w:ascii="Times New Roman" w:hAnsi="Times New Roman"/>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1.27</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2130299</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其他林业和草原支出</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21303</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水利</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239.67</w:t>
            </w:r>
            <w:r>
              <w:rPr>
                <w:rFonts w:ascii="Times New Roman" w:hAnsi="Times New Roman"/>
                <w:b/>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239.67</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2130305</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水利工程建设</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230.29</w:t>
            </w:r>
            <w:r>
              <w:rPr>
                <w:rFonts w:ascii="Times New Roman" w:hAnsi="Times New Roman"/>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230.29</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2130335</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农村供水</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9.38</w:t>
            </w:r>
            <w:r>
              <w:rPr>
                <w:rFonts w:ascii="Times New Roman" w:hAnsi="Times New Roman"/>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9.38</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814.67</w:t>
            </w:r>
            <w:r>
              <w:rPr>
                <w:rFonts w:ascii="Times New Roman" w:hAnsi="Times New Roman"/>
                <w:b/>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814.67</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2130504</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农村基础设施建设</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209.69</w:t>
            </w:r>
            <w:r>
              <w:rPr>
                <w:rFonts w:ascii="Times New Roman" w:hAnsi="Times New Roman"/>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209.69</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2130505</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生产发展</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233.84</w:t>
            </w:r>
            <w:r>
              <w:rPr>
                <w:rFonts w:ascii="Times New Roman" w:hAnsi="Times New Roman"/>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233.84</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2130506</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社会发展</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其他巩固脱贫攻坚成果衔接乡村振兴支出</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361.14</w:t>
            </w:r>
            <w:r>
              <w:rPr>
                <w:rFonts w:ascii="Times New Roman" w:hAnsi="Times New Roman"/>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361.14</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427.84</w:t>
            </w:r>
            <w:r>
              <w:rPr>
                <w:rFonts w:ascii="Times New Roman" w:hAnsi="Times New Roman"/>
                <w:b/>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427.84</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2130701</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对村级公益事业建设的补助</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47.58</w:t>
            </w:r>
            <w:r>
              <w:rPr>
                <w:rFonts w:ascii="Times New Roman" w:hAnsi="Times New Roman"/>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47.58</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2130705</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对村民委员会和村党支部的补助</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380.27</w:t>
            </w:r>
            <w:r>
              <w:rPr>
                <w:rFonts w:ascii="Times New Roman" w:hAnsi="Times New Roman"/>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380.27</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21366</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大中型水库库区基金安排的支出</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2136601</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基础设施建设和经济发展</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w:t>
            </w:r>
            <w:r>
              <w:rPr>
                <w:rFonts w:ascii="Times New Roman" w:hAnsi="Times New Roman"/>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129.50</w:t>
            </w:r>
            <w:r>
              <w:rPr>
                <w:rFonts w:ascii="Times New Roman" w:hAnsi="Times New Roman"/>
                <w:b/>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129.50</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129.50</w:t>
            </w:r>
            <w:r>
              <w:rPr>
                <w:rFonts w:ascii="Times New Roman" w:hAnsi="Times New Roman"/>
                <w:b/>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129.50</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2200106</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自然资源利用与保护</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129.50</w:t>
            </w:r>
            <w:r>
              <w:rPr>
                <w:rFonts w:ascii="Times New Roman" w:hAnsi="Times New Roman"/>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129.50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95.92</w:t>
            </w:r>
            <w:r>
              <w:rPr>
                <w:rFonts w:ascii="Times New Roman" w:hAnsi="Times New Roman"/>
                <w:b/>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95.92</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22101</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保障性安居工程支出</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28.09</w:t>
            </w:r>
            <w:r>
              <w:rPr>
                <w:rFonts w:ascii="Times New Roman" w:hAnsi="Times New Roman"/>
                <w:b/>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28.09</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2210105</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农村危房改造</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28.09</w:t>
            </w:r>
            <w:r>
              <w:rPr>
                <w:rFonts w:ascii="Times New Roman" w:hAnsi="Times New Roman"/>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28.09</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67.82</w:t>
            </w:r>
            <w:r>
              <w:rPr>
                <w:rFonts w:ascii="Times New Roman" w:hAnsi="Times New Roman"/>
                <w:b/>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67.82</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67.82</w:t>
            </w:r>
            <w:r>
              <w:rPr>
                <w:rFonts w:ascii="Times New Roman" w:hAnsi="Times New Roman"/>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67.82</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16.89</w:t>
            </w:r>
            <w:r>
              <w:rPr>
                <w:rFonts w:ascii="Times New Roman" w:hAnsi="Times New Roman"/>
                <w:b/>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16.89</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22407</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自然灾害救灾及恢复重建支出</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16.89</w:t>
            </w:r>
            <w:r>
              <w:rPr>
                <w:rFonts w:ascii="Times New Roman" w:hAnsi="Times New Roman"/>
                <w:b/>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16.89</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2240703</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自然灾害救灾补助</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16.89</w:t>
            </w:r>
            <w:r>
              <w:rPr>
                <w:rFonts w:ascii="Times New Roman" w:hAnsi="Times New Roman"/>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16.89</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备注：1.本表反映部门本年度取得的各项收入情况。</w:t>
      </w:r>
      <w:r>
        <w:rPr>
          <w:rFonts w:cs="宋体"/>
          <w:sz w:val="20"/>
          <w:szCs w:val="20"/>
        </w:rPr>
        <w:br w:type="textWrapping"/>
      </w:r>
      <w:r>
        <w:rPr>
          <w:rFonts w:cs="宋体"/>
          <w:sz w:val="20"/>
          <w:szCs w:val="20"/>
        </w:rPr>
        <w:t>2.本套报表金额单位转换时可能存在尾数误差。</w:t>
      </w:r>
    </w:p>
    <w:p>
      <w:pPr>
        <w:rPr>
          <w:rFonts w:hint="default" w:cs="宋体"/>
          <w:sz w:val="20"/>
          <w:szCs w:val="20"/>
        </w:rPr>
      </w:pPr>
      <w:r>
        <w:rPr>
          <w:rFonts w:cs="宋体"/>
          <w:sz w:val="20"/>
          <w:szCs w:val="20"/>
        </w:rPr>
        <w:br w:type="page"/>
      </w:r>
    </w:p>
    <w:tbl>
      <w:tblPr>
        <w:tblStyle w:val="12"/>
        <w:tblW w:w="15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83"/>
        <w:gridCol w:w="3552"/>
        <w:gridCol w:w="1667"/>
        <w:gridCol w:w="1716"/>
        <w:gridCol w:w="1649"/>
        <w:gridCol w:w="1581"/>
        <w:gridCol w:w="1716"/>
        <w:gridCol w:w="19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54" w:hRule="atLeast"/>
        </w:trPr>
        <w:tc>
          <w:tcPr>
            <w:tcW w:w="15322" w:type="dxa"/>
            <w:gridSpan w:val="8"/>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2" w:hRule="atLeast"/>
        </w:trPr>
        <w:tc>
          <w:tcPr>
            <w:tcW w:w="6702" w:type="dxa"/>
            <w:gridSpan w:val="3"/>
            <w:vMerge w:val="restart"/>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u w:color="auto"/>
              </w:rPr>
              <w:t xml:space="preserve">秀山土家族苗族自治县钟灵镇人民政府 </w:t>
            </w:r>
          </w:p>
        </w:tc>
        <w:tc>
          <w:tcPr>
            <w:tcW w:w="1716" w:type="dxa"/>
            <w:shd w:val="clear" w:color="auto" w:fill="auto"/>
            <w:tcMar>
              <w:top w:w="15" w:type="dxa"/>
              <w:left w:w="15" w:type="dxa"/>
              <w:right w:w="15" w:type="dxa"/>
            </w:tcMar>
            <w:vAlign w:val="bottom"/>
          </w:tcPr>
          <w:p>
            <w:pPr>
              <w:rPr>
                <w:rFonts w:hint="default" w:cs="宋体"/>
                <w:color w:val="000000"/>
                <w:sz w:val="20"/>
                <w:szCs w:val="20"/>
              </w:rPr>
            </w:pPr>
          </w:p>
        </w:tc>
        <w:tc>
          <w:tcPr>
            <w:tcW w:w="1649" w:type="dxa"/>
            <w:shd w:val="clear" w:color="auto" w:fill="auto"/>
            <w:tcMar>
              <w:top w:w="15" w:type="dxa"/>
              <w:left w:w="15" w:type="dxa"/>
              <w:right w:w="15" w:type="dxa"/>
            </w:tcMar>
            <w:vAlign w:val="bottom"/>
          </w:tcPr>
          <w:p>
            <w:pPr>
              <w:rPr>
                <w:rFonts w:hint="default" w:cs="宋体"/>
                <w:color w:val="000000"/>
                <w:sz w:val="20"/>
                <w:szCs w:val="20"/>
              </w:rPr>
            </w:pPr>
          </w:p>
        </w:tc>
        <w:tc>
          <w:tcPr>
            <w:tcW w:w="1581" w:type="dxa"/>
            <w:shd w:val="clear" w:color="auto" w:fill="auto"/>
            <w:tcMar>
              <w:top w:w="15" w:type="dxa"/>
              <w:left w:w="15" w:type="dxa"/>
              <w:right w:w="15" w:type="dxa"/>
            </w:tcMar>
            <w:vAlign w:val="bottom"/>
          </w:tcPr>
          <w:p>
            <w:pPr>
              <w:rPr>
                <w:rFonts w:hint="default" w:cs="宋体"/>
                <w:color w:val="000000"/>
                <w:sz w:val="20"/>
                <w:szCs w:val="20"/>
              </w:rPr>
            </w:pPr>
          </w:p>
        </w:tc>
        <w:tc>
          <w:tcPr>
            <w:tcW w:w="1716" w:type="dxa"/>
            <w:shd w:val="clear" w:color="auto" w:fill="auto"/>
            <w:tcMar>
              <w:top w:w="15" w:type="dxa"/>
              <w:left w:w="15" w:type="dxa"/>
              <w:right w:w="15" w:type="dxa"/>
            </w:tcMar>
            <w:vAlign w:val="bottom"/>
          </w:tcPr>
          <w:p>
            <w:pPr>
              <w:rPr>
                <w:rFonts w:hint="default" w:cs="宋体"/>
                <w:color w:val="000000"/>
                <w:sz w:val="20"/>
                <w:szCs w:val="20"/>
              </w:rPr>
            </w:pPr>
          </w:p>
        </w:tc>
        <w:tc>
          <w:tcPr>
            <w:tcW w:w="1958" w:type="dxa"/>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2" w:hRule="atLeast"/>
        </w:trPr>
        <w:tc>
          <w:tcPr>
            <w:tcW w:w="6702" w:type="dxa"/>
            <w:gridSpan w:val="3"/>
            <w:vMerge w:val="continue"/>
            <w:shd w:val="clear" w:color="auto" w:fill="auto"/>
            <w:tcMar>
              <w:top w:w="15" w:type="dxa"/>
              <w:left w:w="15" w:type="dxa"/>
              <w:right w:w="15" w:type="dxa"/>
            </w:tcMar>
            <w:vAlign w:val="bottom"/>
          </w:tcPr>
          <w:p>
            <w:pPr>
              <w:rPr>
                <w:rFonts w:hint="default" w:cs="宋体"/>
                <w:color w:val="000000"/>
                <w:sz w:val="20"/>
                <w:szCs w:val="20"/>
              </w:rPr>
            </w:pPr>
          </w:p>
        </w:tc>
        <w:tc>
          <w:tcPr>
            <w:tcW w:w="1716" w:type="dxa"/>
            <w:shd w:val="clear" w:color="auto" w:fill="auto"/>
            <w:tcMar>
              <w:top w:w="15" w:type="dxa"/>
              <w:left w:w="15" w:type="dxa"/>
              <w:right w:w="15" w:type="dxa"/>
            </w:tcMar>
            <w:vAlign w:val="bottom"/>
          </w:tcPr>
          <w:p>
            <w:pPr>
              <w:rPr>
                <w:rFonts w:hint="default" w:cs="宋体"/>
                <w:color w:val="000000"/>
                <w:sz w:val="20"/>
                <w:szCs w:val="20"/>
              </w:rPr>
            </w:pPr>
          </w:p>
        </w:tc>
        <w:tc>
          <w:tcPr>
            <w:tcW w:w="1649" w:type="dxa"/>
            <w:shd w:val="clear" w:color="auto" w:fill="auto"/>
            <w:tcMar>
              <w:top w:w="15" w:type="dxa"/>
              <w:left w:w="15" w:type="dxa"/>
              <w:right w:w="15" w:type="dxa"/>
            </w:tcMar>
            <w:vAlign w:val="bottom"/>
          </w:tcPr>
          <w:p>
            <w:pPr>
              <w:rPr>
                <w:rFonts w:hint="default" w:cs="宋体"/>
                <w:color w:val="000000"/>
                <w:sz w:val="20"/>
                <w:szCs w:val="20"/>
              </w:rPr>
            </w:pPr>
          </w:p>
        </w:tc>
        <w:tc>
          <w:tcPr>
            <w:tcW w:w="1581" w:type="dxa"/>
            <w:shd w:val="clear" w:color="auto" w:fill="auto"/>
            <w:tcMar>
              <w:top w:w="15" w:type="dxa"/>
              <w:left w:w="15" w:type="dxa"/>
              <w:right w:w="15" w:type="dxa"/>
            </w:tcMar>
            <w:vAlign w:val="bottom"/>
          </w:tcPr>
          <w:p>
            <w:pPr>
              <w:rPr>
                <w:rFonts w:hint="default" w:cs="宋体"/>
                <w:color w:val="000000"/>
                <w:sz w:val="20"/>
                <w:szCs w:val="20"/>
              </w:rPr>
            </w:pPr>
          </w:p>
        </w:tc>
        <w:tc>
          <w:tcPr>
            <w:tcW w:w="1716" w:type="dxa"/>
            <w:shd w:val="clear" w:color="auto" w:fill="auto"/>
            <w:tcMar>
              <w:top w:w="15" w:type="dxa"/>
              <w:left w:w="15" w:type="dxa"/>
              <w:right w:w="15" w:type="dxa"/>
            </w:tcMar>
            <w:vAlign w:val="bottom"/>
          </w:tcPr>
          <w:p>
            <w:pPr>
              <w:rPr>
                <w:rFonts w:hint="default" w:cs="宋体"/>
                <w:color w:val="000000"/>
                <w:sz w:val="20"/>
                <w:szCs w:val="20"/>
              </w:rPr>
            </w:pPr>
          </w:p>
        </w:tc>
        <w:tc>
          <w:tcPr>
            <w:tcW w:w="1958" w:type="dxa"/>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62" w:hRule="atLeast"/>
        </w:trPr>
        <w:tc>
          <w:tcPr>
            <w:tcW w:w="5035" w:type="dxa"/>
            <w:gridSpan w:val="2"/>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667"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16"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49"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81"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716"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58"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8" w:hRule="atLeast"/>
        </w:trPr>
        <w:tc>
          <w:tcPr>
            <w:tcW w:w="1483"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52"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67"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649"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581"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8" w:hRule="atLeast"/>
        </w:trPr>
        <w:tc>
          <w:tcPr>
            <w:tcW w:w="1483"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552"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667"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649"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581"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8" w:hRule="atLeast"/>
        </w:trPr>
        <w:tc>
          <w:tcPr>
            <w:tcW w:w="1483"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552"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667"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649"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581"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8" w:hRule="atLeast"/>
        </w:trPr>
        <w:tc>
          <w:tcPr>
            <w:tcW w:w="1483"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552"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667"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649"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581"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62" w:hRule="atLeast"/>
        </w:trPr>
        <w:tc>
          <w:tcPr>
            <w:tcW w:w="5035" w:type="dxa"/>
            <w:gridSpan w:val="2"/>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3,512.50</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1,244.89</w:t>
            </w:r>
            <w:r>
              <w:rPr>
                <w:rFonts w:ascii="Times New Roman" w:hAnsi="Times New Roman"/>
                <w:b/>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2,267.61</w:t>
            </w:r>
            <w:r>
              <w:rPr>
                <w:rFonts w:ascii="Times New Roman" w:hAnsi="Times New Roman"/>
                <w:b/>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744.31</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625.95</w:t>
            </w:r>
            <w:r>
              <w:rPr>
                <w:rFonts w:ascii="Times New Roman" w:hAnsi="Times New Roman"/>
                <w:b/>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118.36</w:t>
            </w:r>
            <w:r>
              <w:rPr>
                <w:rFonts w:ascii="Times New Roman" w:hAnsi="Times New Roman"/>
                <w:b/>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20101</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人大事务</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5.87</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5.87</w:t>
            </w:r>
            <w:r>
              <w:rPr>
                <w:rFonts w:ascii="Times New Roman" w:hAnsi="Times New Roman"/>
                <w:b/>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2010108</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代表工作</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5.87</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5.87</w:t>
            </w:r>
            <w:r>
              <w:rPr>
                <w:rFonts w:ascii="Times New Roman" w:hAnsi="Times New Roman"/>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594.15</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561.63</w:t>
            </w:r>
            <w:r>
              <w:rPr>
                <w:rFonts w:ascii="Times New Roman" w:hAnsi="Times New Roman"/>
                <w:b/>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32.53</w:t>
            </w:r>
            <w:r>
              <w:rPr>
                <w:rFonts w:ascii="Times New Roman" w:hAnsi="Times New Roman"/>
                <w:b/>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561.63</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561.63</w:t>
            </w:r>
            <w:r>
              <w:rPr>
                <w:rFonts w:ascii="Times New Roman" w:hAnsi="Times New Roman"/>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2010302</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32.53</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32.53</w:t>
            </w:r>
            <w:r>
              <w:rPr>
                <w:rFonts w:ascii="Times New Roman" w:hAnsi="Times New Roman"/>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20105</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统计信息事务</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4.21</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4.21</w:t>
            </w:r>
            <w:r>
              <w:rPr>
                <w:rFonts w:ascii="Times New Roman" w:hAnsi="Times New Roman"/>
                <w:b/>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2010507</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专项普查活动</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4.21</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4.21</w:t>
            </w:r>
            <w:r>
              <w:rPr>
                <w:rFonts w:ascii="Times New Roman" w:hAnsi="Times New Roman"/>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20106</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财政事务</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62.52</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62.52</w:t>
            </w:r>
            <w:r>
              <w:rPr>
                <w:rFonts w:ascii="Times New Roman" w:hAnsi="Times New Roman"/>
                <w:b/>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2010601</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62.52</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62.52</w:t>
            </w:r>
            <w:r>
              <w:rPr>
                <w:rFonts w:ascii="Times New Roman" w:hAnsi="Times New Roman"/>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20123</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民族事务</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73.04</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73.04</w:t>
            </w:r>
            <w:r>
              <w:rPr>
                <w:rFonts w:ascii="Times New Roman" w:hAnsi="Times New Roman"/>
                <w:b/>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2012304</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民族工作专项</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73.04</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73.04</w:t>
            </w:r>
            <w:r>
              <w:rPr>
                <w:rFonts w:ascii="Times New Roman" w:hAnsi="Times New Roman"/>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4.52</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1.80</w:t>
            </w:r>
            <w:r>
              <w:rPr>
                <w:rFonts w:ascii="Times New Roman" w:hAnsi="Times New Roman"/>
                <w:b/>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2.72</w:t>
            </w:r>
            <w:r>
              <w:rPr>
                <w:rFonts w:ascii="Times New Roman" w:hAnsi="Times New Roman"/>
                <w:b/>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2013202</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2.72</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2.72</w:t>
            </w:r>
            <w:r>
              <w:rPr>
                <w:rFonts w:ascii="Times New Roman" w:hAnsi="Times New Roman"/>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2013204</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公务员事务</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w:t>
            </w:r>
            <w:r>
              <w:rPr>
                <w:rFonts w:ascii="Times New Roman" w:hAnsi="Times New Roman"/>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43.28</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39.51</w:t>
            </w:r>
            <w:r>
              <w:rPr>
                <w:rFonts w:ascii="Times New Roman" w:hAnsi="Times New Roman"/>
                <w:b/>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3.77</w:t>
            </w:r>
            <w:r>
              <w:rPr>
                <w:rFonts w:ascii="Times New Roman" w:hAnsi="Times New Roman"/>
                <w:b/>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43.28</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39.51</w:t>
            </w:r>
            <w:r>
              <w:rPr>
                <w:rFonts w:ascii="Times New Roman" w:hAnsi="Times New Roman"/>
                <w:b/>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3.77</w:t>
            </w:r>
            <w:r>
              <w:rPr>
                <w:rFonts w:ascii="Times New Roman" w:hAnsi="Times New Roman"/>
                <w:b/>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2070109</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群众文化</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39.51</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39.51</w:t>
            </w:r>
            <w:r>
              <w:rPr>
                <w:rFonts w:ascii="Times New Roman" w:hAnsi="Times New Roman"/>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2070199</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其他文化和旅游支出</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3.77</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3.77</w:t>
            </w:r>
            <w:r>
              <w:rPr>
                <w:rFonts w:ascii="Times New Roman" w:hAnsi="Times New Roman"/>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250.50</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246.81</w:t>
            </w:r>
            <w:r>
              <w:rPr>
                <w:rFonts w:ascii="Times New Roman" w:hAnsi="Times New Roman"/>
                <w:b/>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3.69</w:t>
            </w:r>
            <w:r>
              <w:rPr>
                <w:rFonts w:ascii="Times New Roman" w:hAnsi="Times New Roman"/>
                <w:b/>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43.17</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43.17</w:t>
            </w:r>
            <w:r>
              <w:rPr>
                <w:rFonts w:ascii="Times New Roman" w:hAnsi="Times New Roman"/>
                <w:b/>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2080109</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社会保险经办机构</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43.17</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43.17</w:t>
            </w:r>
            <w:r>
              <w:rPr>
                <w:rFonts w:ascii="Times New Roman" w:hAnsi="Times New Roman"/>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176.98</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176.98</w:t>
            </w:r>
            <w:r>
              <w:rPr>
                <w:rFonts w:ascii="Times New Roman" w:hAnsi="Times New Roman"/>
                <w:b/>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25.23</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25.23</w:t>
            </w:r>
            <w:r>
              <w:rPr>
                <w:rFonts w:ascii="Times New Roman" w:hAnsi="Times New Roman"/>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2080502</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事业单位离退休</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12.90</w:t>
            </w:r>
            <w:r>
              <w:rPr>
                <w:rFonts w:ascii="Times New Roman" w:hAnsi="Times New Roman"/>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92.57</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92.57</w:t>
            </w:r>
            <w:r>
              <w:rPr>
                <w:rFonts w:ascii="Times New Roman" w:hAnsi="Times New Roman"/>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46.28</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46.28</w:t>
            </w:r>
            <w:r>
              <w:rPr>
                <w:rFonts w:ascii="Times New Roman" w:hAnsi="Times New Roman"/>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20811</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残疾人事业</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2.69</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2.69</w:t>
            </w:r>
            <w:r>
              <w:rPr>
                <w:rFonts w:ascii="Times New Roman" w:hAnsi="Times New Roman"/>
                <w:b/>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2081199</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其他残疾人事业支出</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2.69</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2.69</w:t>
            </w:r>
            <w:r>
              <w:rPr>
                <w:rFonts w:ascii="Times New Roman" w:hAnsi="Times New Roman"/>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20821</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特困人员救助供养</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2082102</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农村特困人员救助供养支出</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20828</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退役军人管理事务</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26.66</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26.66</w:t>
            </w:r>
            <w:r>
              <w:rPr>
                <w:rFonts w:ascii="Times New Roman" w:hAnsi="Times New Roman"/>
                <w:b/>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2082850</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26.66</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26.66</w:t>
            </w:r>
            <w:r>
              <w:rPr>
                <w:rFonts w:ascii="Times New Roman" w:hAnsi="Times New Roman"/>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68.13</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62.97</w:t>
            </w:r>
            <w:r>
              <w:rPr>
                <w:rFonts w:ascii="Times New Roman" w:hAnsi="Times New Roman"/>
                <w:b/>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5.16</w:t>
            </w:r>
            <w:r>
              <w:rPr>
                <w:rFonts w:ascii="Times New Roman" w:hAnsi="Times New Roman"/>
                <w:b/>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21004</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公共卫生</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1.40</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1.40</w:t>
            </w:r>
            <w:r>
              <w:rPr>
                <w:rFonts w:ascii="Times New Roman" w:hAnsi="Times New Roman"/>
                <w:b/>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2100499</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其他公共卫生支出</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1.40</w:t>
            </w:r>
            <w:r>
              <w:rPr>
                <w:rFonts w:ascii="Times New Roman" w:hAnsi="Times New Roman"/>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62.97</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62.97</w:t>
            </w:r>
            <w:r>
              <w:rPr>
                <w:rFonts w:ascii="Times New Roman" w:hAnsi="Times New Roman"/>
                <w:b/>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37.76</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37.76</w:t>
            </w:r>
            <w:r>
              <w:rPr>
                <w:rFonts w:ascii="Times New Roman" w:hAnsi="Times New Roman"/>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14.17</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14.17</w:t>
            </w:r>
            <w:r>
              <w:rPr>
                <w:rFonts w:ascii="Times New Roman" w:hAnsi="Times New Roman"/>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11.04</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11.04</w:t>
            </w:r>
            <w:r>
              <w:rPr>
                <w:rFonts w:ascii="Times New Roman" w:hAnsi="Times New Roman"/>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21015</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医疗保障管理事务</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3.76</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3.76</w:t>
            </w:r>
            <w:r>
              <w:rPr>
                <w:rFonts w:ascii="Times New Roman" w:hAnsi="Times New Roman"/>
                <w:b/>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2101505</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医疗保障政策管理</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1.89</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1.89</w:t>
            </w:r>
            <w:r>
              <w:rPr>
                <w:rFonts w:ascii="Times New Roman" w:hAnsi="Times New Roman"/>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2101506</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医疗保障经办事务</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1.87</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1.87</w:t>
            </w:r>
            <w:r>
              <w:rPr>
                <w:rFonts w:ascii="Times New Roman" w:hAnsi="Times New Roman"/>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415.37</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415.37</w:t>
            </w:r>
            <w:r>
              <w:rPr>
                <w:rFonts w:ascii="Times New Roman" w:hAnsi="Times New Roman"/>
                <w:b/>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21103</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污染防治</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129.37</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129.37</w:t>
            </w:r>
            <w:r>
              <w:rPr>
                <w:rFonts w:ascii="Times New Roman" w:hAnsi="Times New Roman"/>
                <w:b/>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2110307</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土壤</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129.37</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129.37</w:t>
            </w:r>
            <w:r>
              <w:rPr>
                <w:rFonts w:ascii="Times New Roman" w:hAnsi="Times New Roman"/>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21104</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自然生态保护</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286.00</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286.00</w:t>
            </w:r>
            <w:r>
              <w:rPr>
                <w:rFonts w:ascii="Times New Roman" w:hAnsi="Times New Roman"/>
                <w:b/>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2110402</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农村环境保护</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286.00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286.00</w:t>
            </w:r>
            <w:r>
              <w:rPr>
                <w:rFonts w:ascii="Times New Roman" w:hAnsi="Times New Roman"/>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48.51</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48.51</w:t>
            </w:r>
            <w:r>
              <w:rPr>
                <w:rFonts w:ascii="Times New Roman" w:hAnsi="Times New Roman"/>
                <w:b/>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48.51</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48.51</w:t>
            </w:r>
            <w:r>
              <w:rPr>
                <w:rFonts w:ascii="Times New Roman" w:hAnsi="Times New Roman"/>
                <w:b/>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48.51</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48.51</w:t>
            </w:r>
            <w:r>
              <w:rPr>
                <w:rFonts w:ascii="Times New Roman" w:hAnsi="Times New Roman"/>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1,700.09</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153.31</w:t>
            </w:r>
            <w:r>
              <w:rPr>
                <w:rFonts w:ascii="Times New Roman" w:hAnsi="Times New Roman"/>
                <w:b/>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1,546.77</w:t>
            </w:r>
            <w:r>
              <w:rPr>
                <w:rFonts w:ascii="Times New Roman" w:hAnsi="Times New Roman"/>
                <w:b/>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198.63</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153.31</w:t>
            </w:r>
            <w:r>
              <w:rPr>
                <w:rFonts w:ascii="Times New Roman" w:hAnsi="Times New Roman"/>
                <w:b/>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45.32</w:t>
            </w:r>
            <w:r>
              <w:rPr>
                <w:rFonts w:ascii="Times New Roman" w:hAnsi="Times New Roman"/>
                <w:b/>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2130104</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153.31</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153.31</w:t>
            </w:r>
            <w:r>
              <w:rPr>
                <w:rFonts w:ascii="Times New Roman" w:hAnsi="Times New Roman"/>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2130108</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病虫害控制</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w:t>
            </w:r>
            <w:r>
              <w:rPr>
                <w:rFonts w:ascii="Times New Roman" w:hAnsi="Times New Roman"/>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2130122</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农业生产发展</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10.20</w:t>
            </w:r>
            <w:r>
              <w:rPr>
                <w:rFonts w:ascii="Times New Roman" w:hAnsi="Times New Roman"/>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2130135</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农业生态资源保护</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33.80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33.80</w:t>
            </w:r>
            <w:r>
              <w:rPr>
                <w:rFonts w:ascii="Times New Roman" w:hAnsi="Times New Roman"/>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4.27</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4.27</w:t>
            </w:r>
            <w:r>
              <w:rPr>
                <w:rFonts w:ascii="Times New Roman" w:hAnsi="Times New Roman"/>
                <w:b/>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2130234</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林业草原防灾减灾</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1.27</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1.27</w:t>
            </w:r>
            <w:r>
              <w:rPr>
                <w:rFonts w:ascii="Times New Roman" w:hAnsi="Times New Roman"/>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2130299</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其他林业和草原支出</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21303</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水利</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239.67</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239.67</w:t>
            </w:r>
            <w:r>
              <w:rPr>
                <w:rFonts w:ascii="Times New Roman" w:hAnsi="Times New Roman"/>
                <w:b/>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2130305</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水利工程建设</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230.29</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230.29</w:t>
            </w:r>
            <w:r>
              <w:rPr>
                <w:rFonts w:ascii="Times New Roman" w:hAnsi="Times New Roman"/>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2130335</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农村供水</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9.38</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9.38</w:t>
            </w:r>
            <w:r>
              <w:rPr>
                <w:rFonts w:ascii="Times New Roman" w:hAnsi="Times New Roman"/>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814.67</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814.67</w:t>
            </w:r>
            <w:r>
              <w:rPr>
                <w:rFonts w:ascii="Times New Roman" w:hAnsi="Times New Roman"/>
                <w:b/>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2130504</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农村基础设施建设</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209.69</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209.69</w:t>
            </w:r>
            <w:r>
              <w:rPr>
                <w:rFonts w:ascii="Times New Roman" w:hAnsi="Times New Roman"/>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2130505</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生产发展</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233.84</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233.84</w:t>
            </w:r>
            <w:r>
              <w:rPr>
                <w:rFonts w:ascii="Times New Roman" w:hAnsi="Times New Roman"/>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2130506</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社会发展</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其他巩固脱贫攻坚成果衔接乡村振兴支出</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361.14</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361.14</w:t>
            </w:r>
            <w:r>
              <w:rPr>
                <w:rFonts w:ascii="Times New Roman" w:hAnsi="Times New Roman"/>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427.84</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427.84</w:t>
            </w:r>
            <w:r>
              <w:rPr>
                <w:rFonts w:ascii="Times New Roman" w:hAnsi="Times New Roman"/>
                <w:b/>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2130701</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对村级公益事业建设的补助</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47.58</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47.58</w:t>
            </w:r>
            <w:r>
              <w:rPr>
                <w:rFonts w:ascii="Times New Roman" w:hAnsi="Times New Roman"/>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2130705</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对村民委员会和村党支部的补助</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380.27</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380.27</w:t>
            </w:r>
            <w:r>
              <w:rPr>
                <w:rFonts w:ascii="Times New Roman" w:hAnsi="Times New Roman"/>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21366</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大中型水库库区基金安排的支出</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2136601</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基础设施建设和经济发展</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w:t>
            </w:r>
            <w:r>
              <w:rPr>
                <w:rFonts w:ascii="Times New Roman" w:hAnsi="Times New Roman"/>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129.50</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129.50</w:t>
            </w:r>
            <w:r>
              <w:rPr>
                <w:rFonts w:ascii="Times New Roman" w:hAnsi="Times New Roman"/>
                <w:b/>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129.50</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129.50</w:t>
            </w:r>
            <w:r>
              <w:rPr>
                <w:rFonts w:ascii="Times New Roman" w:hAnsi="Times New Roman"/>
                <w:b/>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2200106</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自然资源利用与保护</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129.50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129.50</w:t>
            </w:r>
            <w:r>
              <w:rPr>
                <w:rFonts w:ascii="Times New Roman" w:hAnsi="Times New Roman"/>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95.92</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67.82</w:t>
            </w:r>
            <w:r>
              <w:rPr>
                <w:rFonts w:ascii="Times New Roman" w:hAnsi="Times New Roman"/>
                <w:b/>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28.09</w:t>
            </w:r>
            <w:r>
              <w:rPr>
                <w:rFonts w:ascii="Times New Roman" w:hAnsi="Times New Roman"/>
                <w:b/>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22101</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保障性安居工程支出</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28.09</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28.09</w:t>
            </w:r>
            <w:r>
              <w:rPr>
                <w:rFonts w:ascii="Times New Roman" w:hAnsi="Times New Roman"/>
                <w:b/>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2210105</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农村危房改造</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28.09</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28.09</w:t>
            </w:r>
            <w:r>
              <w:rPr>
                <w:rFonts w:ascii="Times New Roman" w:hAnsi="Times New Roman"/>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67.82</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67.82</w:t>
            </w:r>
            <w:r>
              <w:rPr>
                <w:rFonts w:ascii="Times New Roman" w:hAnsi="Times New Roman"/>
                <w:b/>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67.82</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67.82</w:t>
            </w:r>
            <w:r>
              <w:rPr>
                <w:rFonts w:ascii="Times New Roman" w:hAnsi="Times New Roman"/>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16.89</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16.89</w:t>
            </w:r>
            <w:r>
              <w:rPr>
                <w:rFonts w:ascii="Times New Roman" w:hAnsi="Times New Roman"/>
                <w:b/>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22407</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自然灾害救灾及恢复重建支出</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16.89</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16.89</w:t>
            </w:r>
            <w:r>
              <w:rPr>
                <w:rFonts w:ascii="Times New Roman" w:hAnsi="Times New Roman"/>
                <w:b/>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2240703</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自然灾害救灾补助</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16.89</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16.89</w:t>
            </w:r>
            <w:r>
              <w:rPr>
                <w:rFonts w:ascii="Times New Roman" w:hAnsi="Times New Roman"/>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备注：1.本表反映部门本年度各项支出情况。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12"/>
        <w:tblW w:w="146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967"/>
        <w:gridCol w:w="1521"/>
        <w:gridCol w:w="3179"/>
        <w:gridCol w:w="1694"/>
        <w:gridCol w:w="1694"/>
        <w:gridCol w:w="1694"/>
        <w:gridCol w:w="19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14678" w:type="dxa"/>
            <w:gridSpan w:val="7"/>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7667" w:type="dxa"/>
            <w:gridSpan w:val="3"/>
            <w:vMerge w:val="restart"/>
            <w:shd w:val="clear" w:color="auto" w:fill="auto"/>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部门</w:t>
            </w:r>
            <w:r>
              <w:rPr>
                <w:rFonts w:cs="宋体"/>
                <w:color w:val="000000"/>
                <w:sz w:val="20"/>
                <w:szCs w:val="20"/>
              </w:rPr>
              <w:t>：</w:t>
            </w:r>
            <w:r>
              <w:rPr>
                <w:color w:val="000000"/>
                <w:sz w:val="20"/>
                <w:u w:color="auto"/>
              </w:rPr>
              <w:t>秀山土家族苗族自治县钟灵镇人民政府</w:t>
            </w:r>
          </w:p>
        </w:tc>
        <w:tc>
          <w:tcPr>
            <w:tcW w:w="1694" w:type="dxa"/>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shd w:val="clear" w:color="auto" w:fill="auto"/>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7667" w:type="dxa"/>
            <w:gridSpan w:val="3"/>
            <w:vMerge w:val="continue"/>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4488" w:type="dxa"/>
            <w:gridSpan w:val="2"/>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vMerge w:val="restart"/>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vMerge w:val="continue"/>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3,464.84</w:t>
            </w:r>
            <w:r>
              <w:rPr>
                <w:rFonts w:ascii="Times New Roman" w:hAnsi="Times New Roman"/>
                <w:color w:val="000000"/>
                <w:sz w:val="18"/>
                <w:u w:color="auto"/>
              </w:rPr>
              <w:t xml:space="preserve"> </w:t>
            </w: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744.31</w:t>
            </w: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744.31</w:t>
            </w: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15.00</w:t>
            </w:r>
            <w:r>
              <w:rPr>
                <w:rFonts w:ascii="Times New Roman" w:hAnsi="Times New Roman"/>
                <w:color w:val="000000"/>
                <w:sz w:val="18"/>
                <w:u w:color="auto"/>
              </w:rPr>
              <w:t xml:space="preserve"> </w:t>
            </w: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43.28</w:t>
            </w: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43.28</w:t>
            </w: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250.50</w:t>
            </w: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250.50</w:t>
            </w: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68.13</w:t>
            </w: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68.13</w:t>
            </w: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415.37</w:t>
            </w: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415.37</w:t>
            </w: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48.51</w:t>
            </w: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48.51</w:t>
            </w: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1,700.09</w:t>
            </w: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1,685.09</w:t>
            </w: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15.00</w:t>
            </w: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129.50</w:t>
            </w: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129.50</w:t>
            </w: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95.92</w:t>
            </w: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95.92</w:t>
            </w: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16.89</w:t>
            </w: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16.89</w:t>
            </w: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3,479.84</w:t>
            </w:r>
            <w:r>
              <w:rPr>
                <w:rFonts w:ascii="Times New Roman" w:hAnsi="Times New Roman"/>
                <w:color w:val="000000"/>
                <w:sz w:val="18"/>
                <w:u w:color="auto"/>
              </w:rPr>
              <w:t xml:space="preserve"> </w:t>
            </w:r>
          </w:p>
        </w:tc>
        <w:tc>
          <w:tcPr>
            <w:tcW w:w="3179" w:type="dxa"/>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3,512.50</w:t>
            </w: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3,497.50</w:t>
            </w: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15.00</w:t>
            </w: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32.66</w:t>
            </w:r>
            <w:r>
              <w:rPr>
                <w:rFonts w:ascii="Times New Roman" w:hAnsi="Times New Roman"/>
                <w:color w:val="000000"/>
                <w:sz w:val="18"/>
                <w:u w:color="auto"/>
              </w:rPr>
              <w:t xml:space="preserve"> </w:t>
            </w: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32.66</w:t>
            </w:r>
            <w:r>
              <w:rPr>
                <w:rFonts w:ascii="Times New Roman" w:hAnsi="Times New Roman"/>
                <w:color w:val="000000"/>
                <w:sz w:val="18"/>
                <w:u w:color="auto"/>
              </w:rPr>
              <w:t xml:space="preserve"> </w:t>
            </w:r>
          </w:p>
        </w:tc>
        <w:tc>
          <w:tcPr>
            <w:tcW w:w="3179" w:type="dxa"/>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3,512.50</w:t>
            </w:r>
            <w:r>
              <w:rPr>
                <w:rFonts w:ascii="Times New Roman" w:hAnsi="Times New Roman"/>
                <w:color w:val="000000"/>
                <w:sz w:val="18"/>
                <w:u w:color="auto"/>
              </w:rPr>
              <w:t xml:space="preserve"> </w:t>
            </w:r>
          </w:p>
        </w:tc>
        <w:tc>
          <w:tcPr>
            <w:tcW w:w="3179" w:type="dxa"/>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3,512.50</w:t>
            </w: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3,497.50</w:t>
            </w: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15.00</w:t>
            </w: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2"/>
        <w:tblW w:w="15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86"/>
        <w:gridCol w:w="3895"/>
        <w:gridCol w:w="3306"/>
        <w:gridCol w:w="3300"/>
        <w:gridCol w:w="3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0" w:hRule="atLeast"/>
        </w:trPr>
        <w:tc>
          <w:tcPr>
            <w:tcW w:w="15322" w:type="dxa"/>
            <w:gridSpan w:val="5"/>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55" w:hRule="atLeast"/>
        </w:trPr>
        <w:tc>
          <w:tcPr>
            <w:tcW w:w="8687" w:type="dxa"/>
            <w:gridSpan w:val="3"/>
            <w:vMerge w:val="restart"/>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u w:color="auto"/>
              </w:rPr>
              <w:t>秀山土家族苗族自治县钟灵镇人民政府</w:t>
            </w:r>
          </w:p>
        </w:tc>
        <w:tc>
          <w:tcPr>
            <w:tcW w:w="3300" w:type="dxa"/>
            <w:shd w:val="clear" w:color="auto" w:fill="auto"/>
            <w:tcMar>
              <w:top w:w="15" w:type="dxa"/>
              <w:left w:w="15" w:type="dxa"/>
              <w:right w:w="15" w:type="dxa"/>
            </w:tcMar>
            <w:vAlign w:val="bottom"/>
          </w:tcPr>
          <w:p>
            <w:pPr>
              <w:rPr>
                <w:rFonts w:hint="default" w:cs="宋体"/>
                <w:color w:val="000000"/>
                <w:sz w:val="20"/>
                <w:szCs w:val="20"/>
              </w:rPr>
            </w:pPr>
          </w:p>
        </w:tc>
        <w:tc>
          <w:tcPr>
            <w:tcW w:w="3335" w:type="dxa"/>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5" w:hRule="atLeast"/>
        </w:trPr>
        <w:tc>
          <w:tcPr>
            <w:tcW w:w="8687" w:type="dxa"/>
            <w:gridSpan w:val="3"/>
            <w:vMerge w:val="continue"/>
            <w:shd w:val="clear" w:color="auto" w:fill="auto"/>
            <w:tcMar>
              <w:top w:w="15" w:type="dxa"/>
              <w:left w:w="15" w:type="dxa"/>
              <w:right w:w="15" w:type="dxa"/>
            </w:tcMar>
            <w:vAlign w:val="bottom"/>
          </w:tcPr>
          <w:p>
            <w:pPr>
              <w:rPr>
                <w:rFonts w:hint="default" w:cs="宋体"/>
                <w:color w:val="000000"/>
                <w:sz w:val="20"/>
                <w:szCs w:val="20"/>
              </w:rPr>
            </w:pPr>
          </w:p>
        </w:tc>
        <w:tc>
          <w:tcPr>
            <w:tcW w:w="3300" w:type="dxa"/>
            <w:shd w:val="clear" w:color="auto" w:fill="auto"/>
            <w:tcMar>
              <w:top w:w="15" w:type="dxa"/>
              <w:left w:w="15" w:type="dxa"/>
              <w:right w:w="15" w:type="dxa"/>
            </w:tcMar>
            <w:vAlign w:val="bottom"/>
          </w:tcPr>
          <w:p>
            <w:pPr>
              <w:rPr>
                <w:rFonts w:hint="default" w:cs="宋体"/>
                <w:color w:val="000000"/>
                <w:sz w:val="20"/>
                <w:szCs w:val="20"/>
              </w:rPr>
            </w:pPr>
          </w:p>
        </w:tc>
        <w:tc>
          <w:tcPr>
            <w:tcW w:w="3335" w:type="dxa"/>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5381" w:type="dxa"/>
            <w:gridSpan w:val="2"/>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41" w:type="dxa"/>
            <w:gridSpan w:val="3"/>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26" w:hRule="atLeast"/>
        </w:trPr>
        <w:tc>
          <w:tcPr>
            <w:tcW w:w="1486"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895"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0"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35"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26" w:hRule="atLeast"/>
        </w:trPr>
        <w:tc>
          <w:tcPr>
            <w:tcW w:w="1486"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895"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335"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15" w:hRule="atLeast"/>
        </w:trPr>
        <w:tc>
          <w:tcPr>
            <w:tcW w:w="1486"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895"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335"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5381" w:type="dxa"/>
            <w:gridSpan w:val="2"/>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3,497.50</w:t>
            </w:r>
            <w:r>
              <w:rPr>
                <w:rFonts w:ascii="Times New Roman" w:hAnsi="Times New Roman"/>
                <w:b/>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1,244.89</w:t>
            </w:r>
            <w:r>
              <w:rPr>
                <w:rFonts w:ascii="Times New Roman" w:hAnsi="Times New Roman"/>
                <w:b/>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2,252.61</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744.31</w:t>
            </w:r>
            <w:r>
              <w:rPr>
                <w:rFonts w:ascii="Times New Roman" w:hAnsi="Times New Roman"/>
                <w:b/>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625.95</w:t>
            </w:r>
            <w:r>
              <w:rPr>
                <w:rFonts w:ascii="Times New Roman" w:hAnsi="Times New Roman"/>
                <w:b/>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118.36</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20101</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人大事务</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5.87</w:t>
            </w:r>
            <w:r>
              <w:rPr>
                <w:rFonts w:ascii="Times New Roman" w:hAnsi="Times New Roman"/>
                <w:b/>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5.87</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2010108</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代表工作</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5.87</w:t>
            </w:r>
            <w:r>
              <w:rPr>
                <w:rFonts w:ascii="Times New Roman" w:hAnsi="Times New Roman"/>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5.87</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594.15</w:t>
            </w:r>
            <w:r>
              <w:rPr>
                <w:rFonts w:ascii="Times New Roman" w:hAnsi="Times New Roman"/>
                <w:b/>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561.63</w:t>
            </w:r>
            <w:r>
              <w:rPr>
                <w:rFonts w:ascii="Times New Roman" w:hAnsi="Times New Roman"/>
                <w:b/>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32.53</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561.63</w:t>
            </w:r>
            <w:r>
              <w:rPr>
                <w:rFonts w:ascii="Times New Roman" w:hAnsi="Times New Roman"/>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561.63</w:t>
            </w:r>
            <w:r>
              <w:rPr>
                <w:rFonts w:ascii="Times New Roman" w:hAnsi="Times New Roman"/>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2010302</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32.53</w:t>
            </w:r>
            <w:r>
              <w:rPr>
                <w:rFonts w:ascii="Times New Roman" w:hAnsi="Times New Roman"/>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32.53</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20105</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统计信息事务</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4.21</w:t>
            </w:r>
            <w:r>
              <w:rPr>
                <w:rFonts w:ascii="Times New Roman" w:hAnsi="Times New Roman"/>
                <w:b/>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4.21</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2010507</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专项普查活动</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4.21</w:t>
            </w:r>
            <w:r>
              <w:rPr>
                <w:rFonts w:ascii="Times New Roman" w:hAnsi="Times New Roman"/>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4.21</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20106</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财政事务</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62.52</w:t>
            </w:r>
            <w:r>
              <w:rPr>
                <w:rFonts w:ascii="Times New Roman" w:hAnsi="Times New Roman"/>
                <w:b/>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62.52</w:t>
            </w:r>
            <w:r>
              <w:rPr>
                <w:rFonts w:ascii="Times New Roman" w:hAnsi="Times New Roman"/>
                <w:b/>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2010601</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62.52</w:t>
            </w:r>
            <w:r>
              <w:rPr>
                <w:rFonts w:ascii="Times New Roman" w:hAnsi="Times New Roman"/>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62.52</w:t>
            </w:r>
            <w:r>
              <w:rPr>
                <w:rFonts w:ascii="Times New Roman" w:hAnsi="Times New Roman"/>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20123</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民族事务</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73.04</w:t>
            </w:r>
            <w:r>
              <w:rPr>
                <w:rFonts w:ascii="Times New Roman" w:hAnsi="Times New Roman"/>
                <w:b/>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73.04</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2012304</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民族工作专项</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73.04</w:t>
            </w:r>
            <w:r>
              <w:rPr>
                <w:rFonts w:ascii="Times New Roman" w:hAnsi="Times New Roman"/>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73.04</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4.52</w:t>
            </w:r>
            <w:r>
              <w:rPr>
                <w:rFonts w:ascii="Times New Roman" w:hAnsi="Times New Roman"/>
                <w:b/>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1.80</w:t>
            </w:r>
            <w:r>
              <w:rPr>
                <w:rFonts w:ascii="Times New Roman" w:hAnsi="Times New Roman"/>
                <w:b/>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2.72</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2013202</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2.72</w:t>
            </w:r>
            <w:r>
              <w:rPr>
                <w:rFonts w:ascii="Times New Roman" w:hAnsi="Times New Roman"/>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2.72</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2013204</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公务员事务</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1.80</w:t>
            </w:r>
            <w:r>
              <w:rPr>
                <w:rFonts w:ascii="Times New Roman" w:hAnsi="Times New Roman"/>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1.80</w:t>
            </w:r>
            <w:r>
              <w:rPr>
                <w:rFonts w:ascii="Times New Roman" w:hAnsi="Times New Roman"/>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43.28</w:t>
            </w:r>
            <w:r>
              <w:rPr>
                <w:rFonts w:ascii="Times New Roman" w:hAnsi="Times New Roman"/>
                <w:b/>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39.51</w:t>
            </w:r>
            <w:r>
              <w:rPr>
                <w:rFonts w:ascii="Times New Roman" w:hAnsi="Times New Roman"/>
                <w:b/>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3.77</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43.28</w:t>
            </w:r>
            <w:r>
              <w:rPr>
                <w:rFonts w:ascii="Times New Roman" w:hAnsi="Times New Roman"/>
                <w:b/>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39.51</w:t>
            </w:r>
            <w:r>
              <w:rPr>
                <w:rFonts w:ascii="Times New Roman" w:hAnsi="Times New Roman"/>
                <w:b/>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3.77</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2070109</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群众文化</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39.51</w:t>
            </w:r>
            <w:r>
              <w:rPr>
                <w:rFonts w:ascii="Times New Roman" w:hAnsi="Times New Roman"/>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39.51</w:t>
            </w:r>
            <w:r>
              <w:rPr>
                <w:rFonts w:ascii="Times New Roman" w:hAnsi="Times New Roman"/>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2070199</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其他文化和旅游支出</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3.77</w:t>
            </w:r>
            <w:r>
              <w:rPr>
                <w:rFonts w:ascii="Times New Roman" w:hAnsi="Times New Roman"/>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3.77</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250.50</w:t>
            </w:r>
            <w:r>
              <w:rPr>
                <w:rFonts w:ascii="Times New Roman" w:hAnsi="Times New Roman"/>
                <w:b/>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246.81</w:t>
            </w:r>
            <w:r>
              <w:rPr>
                <w:rFonts w:ascii="Times New Roman" w:hAnsi="Times New Roman"/>
                <w:b/>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3.69</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43.17</w:t>
            </w:r>
            <w:r>
              <w:rPr>
                <w:rFonts w:ascii="Times New Roman" w:hAnsi="Times New Roman"/>
                <w:b/>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43.17</w:t>
            </w:r>
            <w:r>
              <w:rPr>
                <w:rFonts w:ascii="Times New Roman" w:hAnsi="Times New Roman"/>
                <w:b/>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2080109</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社会保险经办机构</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43.17</w:t>
            </w:r>
            <w:r>
              <w:rPr>
                <w:rFonts w:ascii="Times New Roman" w:hAnsi="Times New Roman"/>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43.17</w:t>
            </w:r>
            <w:r>
              <w:rPr>
                <w:rFonts w:ascii="Times New Roman" w:hAnsi="Times New Roman"/>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176.98</w:t>
            </w:r>
            <w:r>
              <w:rPr>
                <w:rFonts w:ascii="Times New Roman" w:hAnsi="Times New Roman"/>
                <w:b/>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176.98</w:t>
            </w:r>
            <w:r>
              <w:rPr>
                <w:rFonts w:ascii="Times New Roman" w:hAnsi="Times New Roman"/>
                <w:b/>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25.23</w:t>
            </w:r>
            <w:r>
              <w:rPr>
                <w:rFonts w:ascii="Times New Roman" w:hAnsi="Times New Roman"/>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25.23</w:t>
            </w:r>
            <w:r>
              <w:rPr>
                <w:rFonts w:ascii="Times New Roman" w:hAnsi="Times New Roman"/>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2080502</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事业单位离退休</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12.90</w:t>
            </w:r>
            <w:r>
              <w:rPr>
                <w:rFonts w:ascii="Times New Roman" w:hAnsi="Times New Roman"/>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12.90</w:t>
            </w:r>
            <w:r>
              <w:rPr>
                <w:rFonts w:ascii="Times New Roman" w:hAnsi="Times New Roman"/>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92.57</w:t>
            </w:r>
            <w:r>
              <w:rPr>
                <w:rFonts w:ascii="Times New Roman" w:hAnsi="Times New Roman"/>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92.57</w:t>
            </w:r>
            <w:r>
              <w:rPr>
                <w:rFonts w:ascii="Times New Roman" w:hAnsi="Times New Roman"/>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46.28</w:t>
            </w:r>
            <w:r>
              <w:rPr>
                <w:rFonts w:ascii="Times New Roman" w:hAnsi="Times New Roman"/>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46.28</w:t>
            </w:r>
            <w:r>
              <w:rPr>
                <w:rFonts w:ascii="Times New Roman" w:hAnsi="Times New Roman"/>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20811</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残疾人事业</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2.69</w:t>
            </w:r>
            <w:r>
              <w:rPr>
                <w:rFonts w:ascii="Times New Roman" w:hAnsi="Times New Roman"/>
                <w:b/>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2.69</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2081199</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其他残疾人事业支出</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2.69</w:t>
            </w:r>
            <w:r>
              <w:rPr>
                <w:rFonts w:ascii="Times New Roman" w:hAnsi="Times New Roman"/>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2.69</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20821</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特困人员救助供养</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2082102</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农村特困人员救助供养支出</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20828</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退役军人管理事务</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26.66</w:t>
            </w:r>
            <w:r>
              <w:rPr>
                <w:rFonts w:ascii="Times New Roman" w:hAnsi="Times New Roman"/>
                <w:b/>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26.66</w:t>
            </w:r>
            <w:r>
              <w:rPr>
                <w:rFonts w:ascii="Times New Roman" w:hAnsi="Times New Roman"/>
                <w:b/>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2082850</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26.66</w:t>
            </w:r>
            <w:r>
              <w:rPr>
                <w:rFonts w:ascii="Times New Roman" w:hAnsi="Times New Roman"/>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26.66</w:t>
            </w:r>
            <w:r>
              <w:rPr>
                <w:rFonts w:ascii="Times New Roman" w:hAnsi="Times New Roman"/>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68.13</w:t>
            </w:r>
            <w:r>
              <w:rPr>
                <w:rFonts w:ascii="Times New Roman" w:hAnsi="Times New Roman"/>
                <w:b/>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62.97</w:t>
            </w:r>
            <w:r>
              <w:rPr>
                <w:rFonts w:ascii="Times New Roman" w:hAnsi="Times New Roman"/>
                <w:b/>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5.16</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21004</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公共卫生</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1.40</w:t>
            </w:r>
            <w:r>
              <w:rPr>
                <w:rFonts w:ascii="Times New Roman" w:hAnsi="Times New Roman"/>
                <w:b/>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2100499</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其他公共卫生支出</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1.40</w:t>
            </w:r>
            <w:r>
              <w:rPr>
                <w:rFonts w:ascii="Times New Roman" w:hAnsi="Times New Roman"/>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62.97</w:t>
            </w:r>
            <w:r>
              <w:rPr>
                <w:rFonts w:ascii="Times New Roman" w:hAnsi="Times New Roman"/>
                <w:b/>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62.97</w:t>
            </w:r>
            <w:r>
              <w:rPr>
                <w:rFonts w:ascii="Times New Roman" w:hAnsi="Times New Roman"/>
                <w:b/>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37.76</w:t>
            </w:r>
            <w:r>
              <w:rPr>
                <w:rFonts w:ascii="Times New Roman" w:hAnsi="Times New Roman"/>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37.76</w:t>
            </w:r>
            <w:r>
              <w:rPr>
                <w:rFonts w:ascii="Times New Roman" w:hAnsi="Times New Roman"/>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14.17</w:t>
            </w:r>
            <w:r>
              <w:rPr>
                <w:rFonts w:ascii="Times New Roman" w:hAnsi="Times New Roman"/>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14.17</w:t>
            </w:r>
            <w:r>
              <w:rPr>
                <w:rFonts w:ascii="Times New Roman" w:hAnsi="Times New Roman"/>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11.04</w:t>
            </w:r>
            <w:r>
              <w:rPr>
                <w:rFonts w:ascii="Times New Roman" w:hAnsi="Times New Roman"/>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11.04</w:t>
            </w:r>
            <w:r>
              <w:rPr>
                <w:rFonts w:ascii="Times New Roman" w:hAnsi="Times New Roman"/>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21015</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医疗保障管理事务</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3.76</w:t>
            </w:r>
            <w:r>
              <w:rPr>
                <w:rFonts w:ascii="Times New Roman" w:hAnsi="Times New Roman"/>
                <w:b/>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3.76</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2101505</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医疗保障政策管理</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1.89</w:t>
            </w:r>
            <w:r>
              <w:rPr>
                <w:rFonts w:ascii="Times New Roman" w:hAnsi="Times New Roman"/>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1.89</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2101506</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医疗保障经办事务</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1.87</w:t>
            </w:r>
            <w:r>
              <w:rPr>
                <w:rFonts w:ascii="Times New Roman" w:hAnsi="Times New Roman"/>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1.87</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415.37</w:t>
            </w:r>
            <w:r>
              <w:rPr>
                <w:rFonts w:ascii="Times New Roman" w:hAnsi="Times New Roman"/>
                <w:b/>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415.37</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21103</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污染防治</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129.37</w:t>
            </w:r>
            <w:r>
              <w:rPr>
                <w:rFonts w:ascii="Times New Roman" w:hAnsi="Times New Roman"/>
                <w:b/>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129.37</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2110307</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土壤</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129.37</w:t>
            </w:r>
            <w:r>
              <w:rPr>
                <w:rFonts w:ascii="Times New Roman" w:hAnsi="Times New Roman"/>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129.37</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21104</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自然生态保护</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286.00</w:t>
            </w:r>
            <w:r>
              <w:rPr>
                <w:rFonts w:ascii="Times New Roman" w:hAnsi="Times New Roman"/>
                <w:b/>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286.00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2110402</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农村环境保护</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286.00</w:t>
            </w:r>
            <w:r>
              <w:rPr>
                <w:rFonts w:ascii="Times New Roman" w:hAnsi="Times New Roman"/>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286.00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48.51</w:t>
            </w:r>
            <w:r>
              <w:rPr>
                <w:rFonts w:ascii="Times New Roman" w:hAnsi="Times New Roman"/>
                <w:b/>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48.51</w:t>
            </w:r>
            <w:r>
              <w:rPr>
                <w:rFonts w:ascii="Times New Roman" w:hAnsi="Times New Roman"/>
                <w:b/>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48.51</w:t>
            </w:r>
            <w:r>
              <w:rPr>
                <w:rFonts w:ascii="Times New Roman" w:hAnsi="Times New Roman"/>
                <w:b/>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48.51</w:t>
            </w:r>
            <w:r>
              <w:rPr>
                <w:rFonts w:ascii="Times New Roman" w:hAnsi="Times New Roman"/>
                <w:b/>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48.51</w:t>
            </w:r>
            <w:r>
              <w:rPr>
                <w:rFonts w:ascii="Times New Roman" w:hAnsi="Times New Roman"/>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48.51</w:t>
            </w:r>
            <w:r>
              <w:rPr>
                <w:rFonts w:ascii="Times New Roman" w:hAnsi="Times New Roman"/>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1,685.09</w:t>
            </w:r>
            <w:r>
              <w:rPr>
                <w:rFonts w:ascii="Times New Roman" w:hAnsi="Times New Roman"/>
                <w:b/>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153.31</w:t>
            </w:r>
            <w:r>
              <w:rPr>
                <w:rFonts w:ascii="Times New Roman" w:hAnsi="Times New Roman"/>
                <w:b/>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1,531.77</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198.63</w:t>
            </w:r>
            <w:r>
              <w:rPr>
                <w:rFonts w:ascii="Times New Roman" w:hAnsi="Times New Roman"/>
                <w:b/>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153.31</w:t>
            </w:r>
            <w:r>
              <w:rPr>
                <w:rFonts w:ascii="Times New Roman" w:hAnsi="Times New Roman"/>
                <w:b/>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45.32</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2130104</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153.31</w:t>
            </w:r>
            <w:r>
              <w:rPr>
                <w:rFonts w:ascii="Times New Roman" w:hAnsi="Times New Roman"/>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153.31</w:t>
            </w:r>
            <w:r>
              <w:rPr>
                <w:rFonts w:ascii="Times New Roman" w:hAnsi="Times New Roman"/>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2130108</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病虫害控制</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1.32</w:t>
            </w:r>
            <w:r>
              <w:rPr>
                <w:rFonts w:ascii="Times New Roman" w:hAnsi="Times New Roman"/>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1.32</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2130122</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农业生产发展</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10.20</w:t>
            </w:r>
            <w:r>
              <w:rPr>
                <w:rFonts w:ascii="Times New Roman" w:hAnsi="Times New Roman"/>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10.20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2130135</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农业生态资源保护</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33.80</w:t>
            </w:r>
            <w:r>
              <w:rPr>
                <w:rFonts w:ascii="Times New Roman" w:hAnsi="Times New Roman"/>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33.80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4.27</w:t>
            </w:r>
            <w:r>
              <w:rPr>
                <w:rFonts w:ascii="Times New Roman" w:hAnsi="Times New Roman"/>
                <w:b/>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4.27</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2130234</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林业草原防灾减灾</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1.27</w:t>
            </w:r>
            <w:r>
              <w:rPr>
                <w:rFonts w:ascii="Times New Roman" w:hAnsi="Times New Roman"/>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1.27</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2130299</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其他林业和草原支出</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21303</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水利</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239.67</w:t>
            </w:r>
            <w:r>
              <w:rPr>
                <w:rFonts w:ascii="Times New Roman" w:hAnsi="Times New Roman"/>
                <w:b/>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239.67</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2130305</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水利工程建设</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230.29</w:t>
            </w:r>
            <w:r>
              <w:rPr>
                <w:rFonts w:ascii="Times New Roman" w:hAnsi="Times New Roman"/>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230.29</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2130335</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农村供水</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9.38</w:t>
            </w:r>
            <w:r>
              <w:rPr>
                <w:rFonts w:ascii="Times New Roman" w:hAnsi="Times New Roman"/>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9.38</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814.67</w:t>
            </w:r>
            <w:r>
              <w:rPr>
                <w:rFonts w:ascii="Times New Roman" w:hAnsi="Times New Roman"/>
                <w:b/>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814.67</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2130504</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农村基础设施建设</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209.69</w:t>
            </w:r>
            <w:r>
              <w:rPr>
                <w:rFonts w:ascii="Times New Roman" w:hAnsi="Times New Roman"/>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209.69</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2130505</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生产发展</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233.84</w:t>
            </w:r>
            <w:r>
              <w:rPr>
                <w:rFonts w:ascii="Times New Roman" w:hAnsi="Times New Roman"/>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233.84</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2130506</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社会发展</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其他巩固脱贫攻坚成果衔接乡村振兴支出</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361.14</w:t>
            </w:r>
            <w:r>
              <w:rPr>
                <w:rFonts w:ascii="Times New Roman" w:hAnsi="Times New Roman"/>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361.14</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427.84</w:t>
            </w:r>
            <w:r>
              <w:rPr>
                <w:rFonts w:ascii="Times New Roman" w:hAnsi="Times New Roman"/>
                <w:b/>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427.84</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2130701</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对村级公益事业建设的补助</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47.58</w:t>
            </w:r>
            <w:r>
              <w:rPr>
                <w:rFonts w:ascii="Times New Roman" w:hAnsi="Times New Roman"/>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47.58</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2130705</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对村民委员会和村党支部的补助</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380.27</w:t>
            </w:r>
            <w:r>
              <w:rPr>
                <w:rFonts w:ascii="Times New Roman" w:hAnsi="Times New Roman"/>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380.27</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129.50</w:t>
            </w:r>
            <w:r>
              <w:rPr>
                <w:rFonts w:ascii="Times New Roman" w:hAnsi="Times New Roman"/>
                <w:b/>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129.50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129.50</w:t>
            </w:r>
            <w:r>
              <w:rPr>
                <w:rFonts w:ascii="Times New Roman" w:hAnsi="Times New Roman"/>
                <w:b/>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129.50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2200106</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自然资源利用与保护</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129.50</w:t>
            </w:r>
            <w:r>
              <w:rPr>
                <w:rFonts w:ascii="Times New Roman" w:hAnsi="Times New Roman"/>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129.50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95.92</w:t>
            </w:r>
            <w:r>
              <w:rPr>
                <w:rFonts w:ascii="Times New Roman" w:hAnsi="Times New Roman"/>
                <w:b/>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67.82</w:t>
            </w:r>
            <w:r>
              <w:rPr>
                <w:rFonts w:ascii="Times New Roman" w:hAnsi="Times New Roman"/>
                <w:b/>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28.09</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22101</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保障性安居工程支出</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28.09</w:t>
            </w:r>
            <w:r>
              <w:rPr>
                <w:rFonts w:ascii="Times New Roman" w:hAnsi="Times New Roman"/>
                <w:b/>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28.09</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2210105</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农村危房改造</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28.09</w:t>
            </w:r>
            <w:r>
              <w:rPr>
                <w:rFonts w:ascii="Times New Roman" w:hAnsi="Times New Roman"/>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28.09</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67.82</w:t>
            </w:r>
            <w:r>
              <w:rPr>
                <w:rFonts w:ascii="Times New Roman" w:hAnsi="Times New Roman"/>
                <w:b/>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67.82</w:t>
            </w:r>
            <w:r>
              <w:rPr>
                <w:rFonts w:ascii="Times New Roman" w:hAnsi="Times New Roman"/>
                <w:b/>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67.82</w:t>
            </w:r>
            <w:r>
              <w:rPr>
                <w:rFonts w:ascii="Times New Roman" w:hAnsi="Times New Roman"/>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67.82</w:t>
            </w:r>
            <w:r>
              <w:rPr>
                <w:rFonts w:ascii="Times New Roman" w:hAnsi="Times New Roman"/>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16.89</w:t>
            </w:r>
            <w:r>
              <w:rPr>
                <w:rFonts w:ascii="Times New Roman" w:hAnsi="Times New Roman"/>
                <w:b/>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16.89</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22407</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自然灾害救灾及恢复重建支出</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16.89</w:t>
            </w:r>
            <w:r>
              <w:rPr>
                <w:rFonts w:ascii="Times New Roman" w:hAnsi="Times New Roman"/>
                <w:b/>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16.89</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2240703</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自然灾害救灾补助</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16.89</w:t>
            </w:r>
            <w:r>
              <w:rPr>
                <w:rFonts w:ascii="Times New Roman" w:hAnsi="Times New Roman"/>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16.89</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备注：1.本表反映部门本年度一般公共预算财政拨款支出情况。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12"/>
        <w:tblW w:w="153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03"/>
        <w:gridCol w:w="2730"/>
        <w:gridCol w:w="1371"/>
        <w:gridCol w:w="833"/>
        <w:gridCol w:w="1916"/>
        <w:gridCol w:w="1650"/>
        <w:gridCol w:w="805"/>
        <w:gridCol w:w="3514"/>
        <w:gridCol w:w="18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15304" w:type="dxa"/>
            <w:gridSpan w:val="9"/>
            <w:shd w:val="clear" w:color="auto" w:fill="auto"/>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7453" w:type="dxa"/>
            <w:gridSpan w:val="5"/>
            <w:vMerge w:val="restart"/>
            <w:shd w:val="clear" w:color="auto" w:fill="auto"/>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部门</w:t>
            </w:r>
            <w:r>
              <w:rPr>
                <w:rFonts w:cs="宋体"/>
                <w:color w:val="000000"/>
                <w:sz w:val="20"/>
                <w:szCs w:val="20"/>
              </w:rPr>
              <w:t>：</w:t>
            </w:r>
            <w:r>
              <w:rPr>
                <w:color w:val="000000"/>
                <w:sz w:val="20"/>
                <w:u w:color="auto"/>
              </w:rPr>
              <w:t>秀山土家族苗族自治县钟灵镇人民政府</w:t>
            </w:r>
          </w:p>
        </w:tc>
        <w:tc>
          <w:tcPr>
            <w:tcW w:w="1650" w:type="dxa"/>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05" w:type="dxa"/>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3514" w:type="dxa"/>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882" w:type="dxa"/>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7453" w:type="dxa"/>
            <w:gridSpan w:val="5"/>
            <w:vMerge w:val="continue"/>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50" w:type="dxa"/>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05" w:type="dxa"/>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3514" w:type="dxa"/>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882" w:type="dxa"/>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4704" w:type="dxa"/>
            <w:gridSpan w:val="3"/>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10600" w:type="dxa"/>
            <w:gridSpan w:val="6"/>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2" w:hRule="atLeast"/>
        </w:trPr>
        <w:tc>
          <w:tcPr>
            <w:tcW w:w="603" w:type="dxa"/>
            <w:vMerge w:val="restart"/>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30" w:type="dxa"/>
            <w:vMerge w:val="restart"/>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71" w:type="dxa"/>
            <w:vMerge w:val="restart"/>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33" w:type="dxa"/>
            <w:vMerge w:val="restart"/>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916" w:type="dxa"/>
            <w:vMerge w:val="restart"/>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50" w:type="dxa"/>
            <w:vMerge w:val="restart"/>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05" w:type="dxa"/>
            <w:vMerge w:val="restart"/>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514" w:type="dxa"/>
            <w:vMerge w:val="restart"/>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882" w:type="dxa"/>
            <w:vMerge w:val="restart"/>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2" w:hRule="atLeast"/>
        </w:trPr>
        <w:tc>
          <w:tcPr>
            <w:tcW w:w="603" w:type="dxa"/>
            <w:vMerge w:val="continue"/>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2730" w:type="dxa"/>
            <w:vMerge w:val="continue"/>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371" w:type="dxa"/>
            <w:vMerge w:val="continue"/>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33" w:type="dxa"/>
            <w:vMerge w:val="continue"/>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916" w:type="dxa"/>
            <w:vMerge w:val="continue"/>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50" w:type="dxa"/>
            <w:vMerge w:val="continue"/>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05" w:type="dxa"/>
            <w:vMerge w:val="continue"/>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514" w:type="dxa"/>
            <w:vMerge w:val="continue"/>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882" w:type="dxa"/>
            <w:vMerge w:val="continue"/>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301</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1,003.01</w:t>
            </w: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302</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168.34</w:t>
            </w: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310</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30101</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226.77</w:t>
            </w: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30201</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28.24</w:t>
            </w: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31001</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30102</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182.64</w:t>
            </w: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30202</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31002</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30103</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171.73</w:t>
            </w: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30203</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31003</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30106</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7.28</w:t>
            </w: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30204</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31005</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30107</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143.39</w:t>
            </w: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30205</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3.04</w:t>
            </w: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31006</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30108</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92.57</w:t>
            </w: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30206</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8.67</w:t>
            </w: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31007</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30109</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46.28</w:t>
            </w: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30207</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14.24</w:t>
            </w: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31008</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30110</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51.93</w:t>
            </w: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30208</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31009</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30111</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30209</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31010</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30112</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1.56</w:t>
            </w: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30211</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2.92</w:t>
            </w: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31011</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30113</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67.82</w:t>
            </w: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30212</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31012</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30114</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11.04</w:t>
            </w: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30213</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4.38</w:t>
            </w: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31013</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30199</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30214</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31019</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303</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73.54</w:t>
            </w: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30215</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0.44</w:t>
            </w: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31021</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30301</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30216</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2.80</w:t>
            </w: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31022</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30302</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30217</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31099</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30303</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30218</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312</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30304</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30224</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31201</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30305</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69.34</w:t>
            </w: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30225</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31203</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30306</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30226</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16.48</w:t>
            </w: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31204</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30307</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4.20</w:t>
            </w: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30227</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2.08</w:t>
            </w: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31205</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30308</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30228</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30.41</w:t>
            </w: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31206</w:t>
            </w:r>
          </w:p>
        </w:tc>
        <w:tc>
          <w:tcPr>
            <w:tcW w:w="3514" w:type="dxa"/>
            <w:shd w:val="clear" w:color="auto" w:fill="auto"/>
            <w:tcMar>
              <w:top w:w="15" w:type="dxa"/>
              <w:left w:w="15" w:type="dxa"/>
              <w:right w:w="15" w:type="dxa"/>
            </w:tcMar>
            <w:vAlign w:val="center"/>
          </w:tcPr>
          <w:p>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30309</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30229</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3.23</w:t>
            </w: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31299</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30310</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30231</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9.00</w:t>
            </w: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399</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30311</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30239</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26.47</w:t>
            </w: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39907</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30399</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30240</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39908</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30299</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15.93</w:t>
            </w: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39909</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307</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39910</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30701</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39999</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30702</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3514" w:type="dxa"/>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882"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30703</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3514" w:type="dxa"/>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882"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55" w:hRule="atLeast"/>
        </w:trPr>
        <w:tc>
          <w:tcPr>
            <w:tcW w:w="603" w:type="dxa"/>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30704</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3514" w:type="dxa"/>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882"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0" w:hRule="atLeast"/>
        </w:trPr>
        <w:tc>
          <w:tcPr>
            <w:tcW w:w="3333" w:type="dxa"/>
            <w:gridSpan w:val="2"/>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1371" w:type="dxa"/>
            <w:shd w:val="clear" w:color="auto" w:fill="auto"/>
            <w:tcMar>
              <w:top w:w="15" w:type="dxa"/>
              <w:left w:w="15" w:type="dxa"/>
              <w:right w:w="15" w:type="dxa"/>
            </w:tcMar>
            <w:vAlign w:val="bottom"/>
          </w:tcPr>
          <w:p>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1,076.55</w:t>
            </w:r>
            <w:r>
              <w:rPr>
                <w:rFonts w:ascii="Times New Roman" w:hAnsi="Times New Roman"/>
                <w:color w:val="000000"/>
                <w:sz w:val="18"/>
                <w:u w:color="auto"/>
              </w:rPr>
              <w:t xml:space="preserve"> </w:t>
            </w:r>
          </w:p>
        </w:tc>
        <w:tc>
          <w:tcPr>
            <w:tcW w:w="8718" w:type="dxa"/>
            <w:gridSpan w:val="5"/>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168.34</w:t>
            </w:r>
            <w:r>
              <w:rPr>
                <w:rFonts w:ascii="Times New Roman" w:hAnsi="Times New Roman"/>
                <w:color w:val="000000"/>
                <w:sz w:val="18"/>
                <w:u w:color="auto"/>
              </w:rPr>
              <w:t xml:space="preserve"> </w:t>
            </w:r>
          </w:p>
        </w:tc>
      </w:tr>
    </w:tbl>
    <w:p>
      <w:pPr>
        <w:spacing w:line="280" w:lineRule="exact"/>
        <w:rPr>
          <w:rFonts w:hint="default" w:cs="宋体"/>
          <w:sz w:val="20"/>
          <w:szCs w:val="20"/>
        </w:rPr>
      </w:pPr>
      <w:r>
        <w:rPr>
          <w:rFonts w:cs="宋体"/>
          <w:sz w:val="20"/>
          <w:szCs w:val="20"/>
        </w:rPr>
        <w:t>备注：1.本表反映部门本年度一般公共预算财政拨款基本支出明细情况。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2"/>
        <w:tblW w:w="15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35"/>
        <w:gridCol w:w="3285"/>
        <w:gridCol w:w="1701"/>
        <w:gridCol w:w="1701"/>
        <w:gridCol w:w="1701"/>
        <w:gridCol w:w="1701"/>
        <w:gridCol w:w="1765"/>
        <w:gridCol w:w="1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44" w:hRule="atLeast"/>
        </w:trPr>
        <w:tc>
          <w:tcPr>
            <w:tcW w:w="15322" w:type="dxa"/>
            <w:gridSpan w:val="8"/>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29" w:hRule="atLeast"/>
        </w:trPr>
        <w:tc>
          <w:tcPr>
            <w:tcW w:w="6621" w:type="dxa"/>
            <w:gridSpan w:val="3"/>
            <w:vMerge w:val="restart"/>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u w:color="auto"/>
              </w:rPr>
              <w:t>秀山土家族苗族自治县钟灵镇人民政府</w:t>
            </w:r>
          </w:p>
        </w:tc>
        <w:tc>
          <w:tcPr>
            <w:tcW w:w="1701" w:type="dxa"/>
            <w:shd w:val="clear" w:color="auto" w:fill="auto"/>
            <w:tcMar>
              <w:top w:w="15" w:type="dxa"/>
              <w:left w:w="15" w:type="dxa"/>
              <w:right w:w="15" w:type="dxa"/>
            </w:tcMar>
            <w:vAlign w:val="bottom"/>
          </w:tcPr>
          <w:p>
            <w:pPr>
              <w:rPr>
                <w:rFonts w:hint="default" w:cs="宋体"/>
                <w:color w:val="000000"/>
                <w:sz w:val="20"/>
                <w:szCs w:val="20"/>
              </w:rPr>
            </w:pPr>
          </w:p>
        </w:tc>
        <w:tc>
          <w:tcPr>
            <w:tcW w:w="1701" w:type="dxa"/>
            <w:shd w:val="clear" w:color="auto" w:fill="auto"/>
            <w:tcMar>
              <w:top w:w="15" w:type="dxa"/>
              <w:left w:w="15" w:type="dxa"/>
              <w:right w:w="15" w:type="dxa"/>
            </w:tcMar>
            <w:vAlign w:val="bottom"/>
          </w:tcPr>
          <w:p>
            <w:pPr>
              <w:rPr>
                <w:rFonts w:hint="default" w:cs="宋体"/>
                <w:color w:val="000000"/>
                <w:sz w:val="20"/>
                <w:szCs w:val="20"/>
              </w:rPr>
            </w:pPr>
          </w:p>
        </w:tc>
        <w:tc>
          <w:tcPr>
            <w:tcW w:w="1701" w:type="dxa"/>
            <w:shd w:val="clear" w:color="auto" w:fill="auto"/>
            <w:tcMar>
              <w:top w:w="15" w:type="dxa"/>
              <w:left w:w="15" w:type="dxa"/>
              <w:right w:w="15" w:type="dxa"/>
            </w:tcMar>
            <w:vAlign w:val="bottom"/>
          </w:tcPr>
          <w:p>
            <w:pPr>
              <w:rPr>
                <w:rFonts w:hint="default" w:cs="宋体"/>
                <w:color w:val="000000"/>
                <w:sz w:val="20"/>
                <w:szCs w:val="20"/>
              </w:rPr>
            </w:pPr>
          </w:p>
        </w:tc>
        <w:tc>
          <w:tcPr>
            <w:tcW w:w="1765" w:type="dxa"/>
            <w:shd w:val="clear" w:color="auto" w:fill="auto"/>
            <w:tcMar>
              <w:top w:w="15" w:type="dxa"/>
              <w:left w:w="15" w:type="dxa"/>
              <w:right w:w="15" w:type="dxa"/>
            </w:tcMar>
            <w:vAlign w:val="bottom"/>
          </w:tcPr>
          <w:p>
            <w:pPr>
              <w:rPr>
                <w:rFonts w:hint="default" w:cs="宋体"/>
                <w:color w:val="000000"/>
                <w:sz w:val="20"/>
                <w:szCs w:val="20"/>
              </w:rPr>
            </w:pPr>
          </w:p>
        </w:tc>
        <w:tc>
          <w:tcPr>
            <w:tcW w:w="1833" w:type="dxa"/>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29" w:hRule="atLeast"/>
        </w:trPr>
        <w:tc>
          <w:tcPr>
            <w:tcW w:w="6621" w:type="dxa"/>
            <w:gridSpan w:val="3"/>
            <w:vMerge w:val="continue"/>
            <w:shd w:val="clear" w:color="auto" w:fill="auto"/>
            <w:tcMar>
              <w:top w:w="15" w:type="dxa"/>
              <w:left w:w="15" w:type="dxa"/>
              <w:right w:w="15" w:type="dxa"/>
            </w:tcMar>
            <w:vAlign w:val="bottom"/>
          </w:tcPr>
          <w:p>
            <w:pPr>
              <w:rPr>
                <w:rFonts w:hint="default" w:cs="宋体"/>
                <w:color w:val="000000"/>
                <w:sz w:val="20"/>
                <w:szCs w:val="20"/>
              </w:rPr>
            </w:pPr>
          </w:p>
        </w:tc>
        <w:tc>
          <w:tcPr>
            <w:tcW w:w="1701" w:type="dxa"/>
            <w:shd w:val="clear" w:color="auto" w:fill="auto"/>
            <w:tcMar>
              <w:top w:w="15" w:type="dxa"/>
              <w:left w:w="15" w:type="dxa"/>
              <w:right w:w="15" w:type="dxa"/>
            </w:tcMar>
            <w:vAlign w:val="bottom"/>
          </w:tcPr>
          <w:p>
            <w:pPr>
              <w:rPr>
                <w:rFonts w:hint="default" w:cs="宋体"/>
                <w:color w:val="000000"/>
                <w:sz w:val="20"/>
                <w:szCs w:val="20"/>
              </w:rPr>
            </w:pPr>
          </w:p>
        </w:tc>
        <w:tc>
          <w:tcPr>
            <w:tcW w:w="1701" w:type="dxa"/>
            <w:shd w:val="clear" w:color="auto" w:fill="auto"/>
            <w:tcMar>
              <w:top w:w="15" w:type="dxa"/>
              <w:left w:w="15" w:type="dxa"/>
              <w:right w:w="15" w:type="dxa"/>
            </w:tcMar>
            <w:vAlign w:val="bottom"/>
          </w:tcPr>
          <w:p>
            <w:pPr>
              <w:rPr>
                <w:rFonts w:hint="default" w:cs="宋体"/>
                <w:color w:val="000000"/>
                <w:sz w:val="20"/>
                <w:szCs w:val="20"/>
              </w:rPr>
            </w:pPr>
          </w:p>
        </w:tc>
        <w:tc>
          <w:tcPr>
            <w:tcW w:w="1701" w:type="dxa"/>
            <w:shd w:val="clear" w:color="auto" w:fill="auto"/>
            <w:tcMar>
              <w:top w:w="15" w:type="dxa"/>
              <w:left w:w="15" w:type="dxa"/>
              <w:right w:w="15" w:type="dxa"/>
            </w:tcMar>
            <w:vAlign w:val="bottom"/>
          </w:tcPr>
          <w:p>
            <w:pPr>
              <w:rPr>
                <w:rFonts w:hint="default" w:cs="宋体"/>
                <w:color w:val="000000"/>
                <w:sz w:val="20"/>
                <w:szCs w:val="20"/>
              </w:rPr>
            </w:pPr>
          </w:p>
        </w:tc>
        <w:tc>
          <w:tcPr>
            <w:tcW w:w="1765" w:type="dxa"/>
            <w:shd w:val="clear" w:color="auto" w:fill="auto"/>
            <w:tcMar>
              <w:top w:w="15" w:type="dxa"/>
              <w:left w:w="15" w:type="dxa"/>
              <w:right w:w="15" w:type="dxa"/>
            </w:tcMar>
            <w:vAlign w:val="bottom"/>
          </w:tcPr>
          <w:p>
            <w:pPr>
              <w:rPr>
                <w:rFonts w:hint="default" w:cs="宋体"/>
                <w:color w:val="000000"/>
                <w:sz w:val="20"/>
                <w:szCs w:val="20"/>
              </w:rPr>
            </w:pPr>
          </w:p>
        </w:tc>
        <w:tc>
          <w:tcPr>
            <w:tcW w:w="1833" w:type="dxa"/>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9" w:hRule="atLeast"/>
        </w:trPr>
        <w:tc>
          <w:tcPr>
            <w:tcW w:w="4920" w:type="dxa"/>
            <w:gridSpan w:val="2"/>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3"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5" w:hRule="atLeast"/>
        </w:trPr>
        <w:tc>
          <w:tcPr>
            <w:tcW w:w="1635"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285"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3"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5" w:hRule="atLeast"/>
        </w:trPr>
        <w:tc>
          <w:tcPr>
            <w:tcW w:w="1635"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285"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833"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45" w:hRule="atLeast"/>
        </w:trPr>
        <w:tc>
          <w:tcPr>
            <w:tcW w:w="1635"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285"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833"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9" w:hRule="atLeast"/>
        </w:trPr>
        <w:tc>
          <w:tcPr>
            <w:tcW w:w="4920" w:type="dxa"/>
            <w:gridSpan w:val="2"/>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15.00</w:t>
            </w:r>
            <w:r>
              <w:rPr>
                <w:rFonts w:ascii="Times New Roman" w:hAnsi="Times New Roman"/>
                <w:b/>
                <w:color w:val="000000"/>
                <w:sz w:val="20"/>
                <w:u w:color="auto"/>
              </w:rPr>
              <w:t xml:space="preserve"> </w:t>
            </w:r>
          </w:p>
        </w:tc>
        <w:tc>
          <w:tcPr>
            <w:tcW w:w="170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15.00</w:t>
            </w:r>
            <w:r>
              <w:rPr>
                <w:rFonts w:ascii="Times New Roman" w:hAnsi="Times New Roman"/>
                <w:b/>
                <w:color w:val="000000"/>
                <w:sz w:val="20"/>
                <w:u w:color="auto"/>
              </w:rPr>
              <w:t xml:space="preserve"> </w:t>
            </w:r>
          </w:p>
        </w:tc>
        <w:tc>
          <w:tcPr>
            <w:tcW w:w="170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15.00</w:t>
            </w:r>
            <w:r>
              <w:rPr>
                <w:rFonts w:ascii="Times New Roman" w:hAnsi="Times New Roman"/>
                <w:b/>
                <w:color w:val="000000"/>
                <w:sz w:val="20"/>
                <w:u w:color="auto"/>
              </w:rPr>
              <w:t xml:space="preserve"> </w:t>
            </w:r>
          </w:p>
        </w:tc>
        <w:tc>
          <w:tcPr>
            <w:tcW w:w="1833"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9" w:hRule="atLeast"/>
        </w:trPr>
        <w:tc>
          <w:tcPr>
            <w:tcW w:w="1635" w:type="dxa"/>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213</w:t>
            </w:r>
          </w:p>
        </w:tc>
        <w:tc>
          <w:tcPr>
            <w:tcW w:w="3285" w:type="dxa"/>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农林水支出</w:t>
            </w:r>
          </w:p>
        </w:tc>
        <w:tc>
          <w:tcPr>
            <w:tcW w:w="170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c>
          <w:tcPr>
            <w:tcW w:w="170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c>
          <w:tcPr>
            <w:tcW w:w="170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6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c>
          <w:tcPr>
            <w:tcW w:w="1833"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9" w:hRule="atLeast"/>
        </w:trPr>
        <w:tc>
          <w:tcPr>
            <w:tcW w:w="1635" w:type="dxa"/>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21366</w:t>
            </w:r>
          </w:p>
        </w:tc>
        <w:tc>
          <w:tcPr>
            <w:tcW w:w="3285" w:type="dxa"/>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大中型水库库区基金安排的支出</w:t>
            </w:r>
          </w:p>
        </w:tc>
        <w:tc>
          <w:tcPr>
            <w:tcW w:w="170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c>
          <w:tcPr>
            <w:tcW w:w="170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c>
          <w:tcPr>
            <w:tcW w:w="170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6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c>
          <w:tcPr>
            <w:tcW w:w="1833"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9" w:hRule="atLeast"/>
        </w:trPr>
        <w:tc>
          <w:tcPr>
            <w:tcW w:w="1635" w:type="dxa"/>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2136601</w:t>
            </w:r>
          </w:p>
        </w:tc>
        <w:tc>
          <w:tcPr>
            <w:tcW w:w="3285" w:type="dxa"/>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基础设施建设和经济发展</w:t>
            </w:r>
          </w:p>
        </w:tc>
        <w:tc>
          <w:tcPr>
            <w:tcW w:w="170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15.00</w:t>
            </w:r>
            <w:r>
              <w:rPr>
                <w:rFonts w:ascii="Times New Roman" w:hAnsi="Times New Roman"/>
                <w:color w:val="000000"/>
                <w:sz w:val="20"/>
                <w:u w:color="auto"/>
              </w:rPr>
              <w:t xml:space="preserve"> </w:t>
            </w:r>
          </w:p>
        </w:tc>
        <w:tc>
          <w:tcPr>
            <w:tcW w:w="170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15.00</w:t>
            </w:r>
            <w:r>
              <w:rPr>
                <w:rFonts w:ascii="Times New Roman" w:hAnsi="Times New Roman"/>
                <w:color w:val="000000"/>
                <w:sz w:val="20"/>
                <w:u w:color="auto"/>
              </w:rPr>
              <w:t xml:space="preserve"> </w:t>
            </w:r>
          </w:p>
        </w:tc>
        <w:tc>
          <w:tcPr>
            <w:tcW w:w="170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15.00</w:t>
            </w:r>
            <w:r>
              <w:rPr>
                <w:rFonts w:ascii="Times New Roman" w:hAnsi="Times New Roman"/>
                <w:color w:val="000000"/>
                <w:sz w:val="20"/>
                <w:u w:color="auto"/>
              </w:rPr>
              <w:t xml:space="preserve"> </w:t>
            </w:r>
          </w:p>
        </w:tc>
        <w:tc>
          <w:tcPr>
            <w:tcW w:w="1833"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备注：1.本表反映部门本年度政府性基金预算财政拨款收入支出及结转和结余情况。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12"/>
        <w:tblW w:w="15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001"/>
        <w:gridCol w:w="2917"/>
        <w:gridCol w:w="3264"/>
        <w:gridCol w:w="199"/>
        <w:gridCol w:w="3463"/>
        <w:gridCol w:w="77"/>
        <w:gridCol w:w="34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50" w:hRule="atLeast"/>
        </w:trPr>
        <w:tc>
          <w:tcPr>
            <w:tcW w:w="15322" w:type="dxa"/>
            <w:gridSpan w:val="7"/>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2" w:hRule="atLeast"/>
        </w:trPr>
        <w:tc>
          <w:tcPr>
            <w:tcW w:w="8182" w:type="dxa"/>
            <w:gridSpan w:val="3"/>
            <w:vMerge w:val="restart"/>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u w:color="auto"/>
              </w:rPr>
              <w:t>秀山土家族苗族自治县钟灵镇人民政府</w:t>
            </w:r>
          </w:p>
        </w:tc>
        <w:tc>
          <w:tcPr>
            <w:tcW w:w="3739" w:type="dxa"/>
            <w:gridSpan w:val="3"/>
            <w:shd w:val="clear" w:color="auto" w:fill="auto"/>
            <w:tcMar>
              <w:top w:w="15" w:type="dxa"/>
              <w:left w:w="15" w:type="dxa"/>
              <w:right w:w="15" w:type="dxa"/>
            </w:tcMar>
            <w:vAlign w:val="bottom"/>
          </w:tcPr>
          <w:p>
            <w:pPr>
              <w:rPr>
                <w:rFonts w:hint="default" w:cs="宋体"/>
                <w:color w:val="000000"/>
                <w:sz w:val="20"/>
                <w:szCs w:val="20"/>
              </w:rPr>
            </w:pPr>
          </w:p>
        </w:tc>
        <w:tc>
          <w:tcPr>
            <w:tcW w:w="3401" w:type="dxa"/>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2" w:hRule="atLeast"/>
        </w:trPr>
        <w:tc>
          <w:tcPr>
            <w:tcW w:w="8182" w:type="dxa"/>
            <w:gridSpan w:val="3"/>
            <w:vMerge w:val="continue"/>
            <w:shd w:val="clear" w:color="auto" w:fill="auto"/>
            <w:tcMar>
              <w:top w:w="15" w:type="dxa"/>
              <w:left w:w="15" w:type="dxa"/>
              <w:right w:w="15" w:type="dxa"/>
            </w:tcMar>
            <w:vAlign w:val="bottom"/>
          </w:tcPr>
          <w:p>
            <w:pPr>
              <w:rPr>
                <w:rFonts w:hint="default" w:cs="宋体"/>
                <w:color w:val="000000"/>
                <w:sz w:val="20"/>
                <w:szCs w:val="20"/>
              </w:rPr>
            </w:pPr>
          </w:p>
        </w:tc>
        <w:tc>
          <w:tcPr>
            <w:tcW w:w="3739" w:type="dxa"/>
            <w:gridSpan w:val="3"/>
            <w:shd w:val="clear" w:color="auto" w:fill="auto"/>
            <w:tcMar>
              <w:top w:w="15" w:type="dxa"/>
              <w:left w:w="15" w:type="dxa"/>
              <w:right w:w="15" w:type="dxa"/>
            </w:tcMar>
            <w:vAlign w:val="bottom"/>
          </w:tcPr>
          <w:p>
            <w:pPr>
              <w:rPr>
                <w:rFonts w:hint="default" w:cs="宋体"/>
                <w:color w:val="000000"/>
                <w:sz w:val="20"/>
                <w:szCs w:val="20"/>
              </w:rPr>
            </w:pPr>
          </w:p>
        </w:tc>
        <w:tc>
          <w:tcPr>
            <w:tcW w:w="3401" w:type="dxa"/>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2" w:hRule="atLeast"/>
        </w:trPr>
        <w:tc>
          <w:tcPr>
            <w:tcW w:w="4918" w:type="dxa"/>
            <w:gridSpan w:val="2"/>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04" w:type="dxa"/>
            <w:gridSpan w:val="5"/>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9" w:hRule="atLeast"/>
        </w:trPr>
        <w:tc>
          <w:tcPr>
            <w:tcW w:w="2001"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17"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78" w:type="dxa"/>
            <w:gridSpan w:val="2"/>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9" w:hRule="atLeast"/>
        </w:trPr>
        <w:tc>
          <w:tcPr>
            <w:tcW w:w="2001"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9" w:hRule="atLeast"/>
        </w:trPr>
        <w:tc>
          <w:tcPr>
            <w:tcW w:w="2001"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26" w:hRule="atLeast"/>
        </w:trPr>
        <w:tc>
          <w:tcPr>
            <w:tcW w:w="2001"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11" w:hRule="atLeast"/>
        </w:trPr>
        <w:tc>
          <w:tcPr>
            <w:tcW w:w="4918" w:type="dxa"/>
            <w:gridSpan w:val="2"/>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63" w:type="dxa"/>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78" w:type="dxa"/>
            <w:gridSpan w:val="2"/>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88" w:hRule="atLeast"/>
        </w:trPr>
        <w:tc>
          <w:tcPr>
            <w:tcW w:w="2001" w:type="dxa"/>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2917" w:type="dxa"/>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3463" w:type="dxa"/>
            <w:gridSpan w:val="2"/>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78" w:type="dxa"/>
            <w:gridSpan w:val="2"/>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12"/>
        <w:tblW w:w="141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
      <w:tblGrid>
        <w:gridCol w:w="3179"/>
        <w:gridCol w:w="2416"/>
        <w:gridCol w:w="2375"/>
        <w:gridCol w:w="3674"/>
        <w:gridCol w:w="24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343" w:hRule="atLeast"/>
        </w:trPr>
        <w:tc>
          <w:tcPr>
            <w:tcW w:w="14131" w:type="dxa"/>
            <w:gridSpan w:val="5"/>
            <w:shd w:val="clear" w:color="auto" w:fill="auto"/>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44" w:hRule="atLeast"/>
        </w:trPr>
        <w:tc>
          <w:tcPr>
            <w:tcW w:w="3179"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16" w:type="dxa"/>
            <w:shd w:val="clear" w:color="auto" w:fill="auto"/>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75" w:type="dxa"/>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44" w:hRule="atLeast"/>
        </w:trPr>
        <w:tc>
          <w:tcPr>
            <w:tcW w:w="5595" w:type="dxa"/>
            <w:gridSpan w:val="2"/>
            <w:shd w:val="clear" w:color="auto" w:fill="auto"/>
            <w:tcMar>
              <w:top w:w="15" w:type="dxa"/>
              <w:left w:w="15" w:type="dxa"/>
              <w:right w:w="15" w:type="dxa"/>
            </w:tcMar>
            <w:vAlign w:val="bottom"/>
          </w:tcPr>
          <w:p>
            <w:pPr>
              <w:spacing w:line="280" w:lineRule="exact"/>
              <w:rPr>
                <w:rFonts w:hint="default" w:cs="宋体"/>
                <w:color w:val="000000"/>
                <w:kern w:val="2"/>
                <w:sz w:val="20"/>
                <w:szCs w:val="20"/>
              </w:rPr>
            </w:pPr>
            <w:r>
              <w:rPr>
                <w:rFonts w:cs="宋体"/>
                <w:kern w:val="2"/>
                <w:sz w:val="20"/>
                <w:szCs w:val="20"/>
              </w:rPr>
              <w:t>部门</w:t>
            </w:r>
            <w:r>
              <w:rPr>
                <w:rFonts w:cs="宋体"/>
                <w:color w:val="000000"/>
                <w:kern w:val="2"/>
                <w:sz w:val="20"/>
                <w:szCs w:val="20"/>
              </w:rPr>
              <w:t>：</w:t>
            </w:r>
            <w:r>
              <w:rPr>
                <w:color w:val="000000"/>
                <w:sz w:val="20"/>
                <w:u w:color="auto"/>
              </w:rPr>
              <w:t>秀山土家族苗族自治县钟灵镇人民政府</w:t>
            </w:r>
          </w:p>
        </w:tc>
        <w:tc>
          <w:tcPr>
            <w:tcW w:w="2375" w:type="dxa"/>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82"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7"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82"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7"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145.02</w:t>
            </w: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92"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9.00</w:t>
            </w:r>
            <w:r>
              <w:rPr>
                <w:rFonts w:ascii="Times New Roman" w:hAnsi="Times New Roman"/>
                <w:color w:val="000000"/>
                <w:sz w:val="18"/>
                <w:u w:color="auto"/>
              </w:rPr>
              <w:t xml:space="preserve"> </w:t>
            </w:r>
          </w:p>
        </w:tc>
        <w:tc>
          <w:tcPr>
            <w:tcW w:w="2375"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9.00</w:t>
            </w:r>
            <w:r>
              <w:rPr>
                <w:rFonts w:ascii="Times New Roman" w:hAnsi="Times New Roman"/>
                <w:color w:val="000000"/>
                <w:sz w:val="18"/>
                <w:u w:color="auto"/>
              </w:rPr>
              <w:t xml:space="preserve"> </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7"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134.44</w:t>
            </w: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92"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7"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10.58</w:t>
            </w: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92"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9.00</w:t>
            </w:r>
            <w:r>
              <w:rPr>
                <w:rFonts w:ascii="Times New Roman" w:hAnsi="Times New Roman"/>
                <w:color w:val="000000"/>
                <w:sz w:val="18"/>
                <w:u w:color="auto"/>
              </w:rPr>
              <w:t xml:space="preserve"> </w:t>
            </w:r>
          </w:p>
        </w:tc>
        <w:tc>
          <w:tcPr>
            <w:tcW w:w="2375"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9.00</w:t>
            </w:r>
            <w:r>
              <w:rPr>
                <w:rFonts w:ascii="Times New Roman" w:hAnsi="Times New Roman"/>
                <w:color w:val="000000"/>
                <w:sz w:val="18"/>
                <w:u w:color="auto"/>
              </w:rPr>
              <w:t xml:space="preserve"> </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7"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92"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7"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92"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9.00</w:t>
            </w:r>
            <w:r>
              <w:rPr>
                <w:rFonts w:ascii="Times New Roman" w:hAnsi="Times New Roman"/>
                <w:color w:val="000000"/>
                <w:sz w:val="18"/>
                <w:u w:color="auto"/>
              </w:rPr>
              <w:t xml:space="preserve"> </w:t>
            </w:r>
          </w:p>
        </w:tc>
        <w:tc>
          <w:tcPr>
            <w:tcW w:w="2375"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9.00</w:t>
            </w:r>
            <w:r>
              <w:rPr>
                <w:rFonts w:ascii="Times New Roman" w:hAnsi="Times New Roman"/>
                <w:color w:val="000000"/>
                <w:sz w:val="18"/>
                <w:u w:color="auto"/>
              </w:rPr>
              <w:t xml:space="preserve"> </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7"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92"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7"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92"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7"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92"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7"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92"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7"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92"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7"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92"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7"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92"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7"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92"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7"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92"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w:t>
            </w:r>
            <w:r>
              <w:rPr>
                <w:rFonts w:ascii="Times New Roman" w:hAnsi="Times New Roman"/>
                <w:color w:val="000000"/>
                <w:sz w:val="18"/>
                <w:u w:color="auto"/>
              </w:rPr>
              <w:t xml:space="preserve"> </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7"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92"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7"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0.80</w:t>
            </w: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92"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7"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0.80</w:t>
            </w: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92"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7"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92"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7"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92"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7"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0.80</w:t>
            </w: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92"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7"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0.80</w:t>
            </w: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86"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3.19</w:t>
            </w:r>
            <w:r>
              <w:rPr>
                <w:rFonts w:ascii="Times New Roman" w:hAnsi="Times New Roman"/>
                <w:color w:val="000000"/>
                <w:sz w:val="18"/>
                <w:u w:color="auto"/>
              </w:rPr>
              <w:t xml:space="preserve"> </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389"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2.80</w:t>
            </w:r>
            <w:r>
              <w:rPr>
                <w:rFonts w:ascii="Times New Roman" w:hAnsi="Times New Roman"/>
                <w:color w:val="000000"/>
                <w:sz w:val="18"/>
                <w:u w:color="auto"/>
              </w:rPr>
              <w:t xml:space="preserve"> </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389"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3.09</w:t>
            </w:r>
            <w:r>
              <w:rPr>
                <w:rFonts w:ascii="Times New Roman" w:hAnsi="Times New Roman"/>
                <w:color w:val="000000"/>
                <w:sz w:val="18"/>
                <w:u w:color="auto"/>
              </w:rPr>
              <w:t xml:space="preserve"> </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487"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cs="宋体"/>
          <w:sz w:val="18"/>
          <w:szCs w:val="18"/>
        </w:rPr>
      </w:pPr>
      <w:r>
        <w:rPr>
          <w:rFonts w:cs="宋体"/>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p>
    <w:bookmarkEnd w:id="0"/>
    <w:sectPr>
      <w:headerReference r:id="rId5" w:type="default"/>
      <w:footerReference r:id="rId6"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rPr>
                              <w:rFonts w:hint="default"/>
                            </w:rPr>
                          </w:pPr>
                          <w:r>
                            <w:fldChar w:fldCharType="begin"/>
                          </w:r>
                          <w:r>
                            <w:instrText xml:space="preserve"> PAGE  \* MERGEFORMAT </w:instrText>
                          </w:r>
                          <w:r>
                            <w:fldChar w:fldCharType="separate"/>
                          </w:r>
                          <w:r>
                            <w:rPr>
                              <w:rFonts w:hint="default"/>
                            </w:rPr>
                            <w:t>- 4 -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yMZ+WxoCAAAhBAAADgAA&#10;AAAAAAABACAAAAAfAQAAZHJzL2Uyb0RvYy54bWxQSwUGAAAAAAYABgBZAQAAqwUAAAAA&#10;">
              <v:fill on="f" focussize="0,0"/>
              <v:stroke on="f" weight="0.5pt"/>
              <v:imagedata o:title=""/>
              <o:lock v:ext="edit" aspectratio="f"/>
              <v:textbox inset="0mm,0mm,0mm,0mm" style="mso-fit-shape-to-text:t;">
                <w:txbxContent>
                  <w:p>
                    <w:pPr>
                      <w:pStyle w:val="6"/>
                      <w:rPr>
                        <w:rFonts w:hint="default"/>
                      </w:rPr>
                    </w:pPr>
                    <w:r>
                      <w:fldChar w:fldCharType="begin"/>
                    </w:r>
                    <w:r>
                      <w:instrText xml:space="preserve"> PAGE  \* MERGEFORMAT </w:instrText>
                    </w:r>
                    <w:r>
                      <w:fldChar w:fldCharType="separate"/>
                    </w:r>
                    <w:r>
                      <w:rPr>
                        <w:rFonts w:hint="default"/>
                      </w:rPr>
                      <w:t>- 4 -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rPr>
                              <w:rFonts w:hint="default"/>
                            </w:rPr>
                          </w:pPr>
                          <w:r>
                            <w:fldChar w:fldCharType="begin"/>
                          </w:r>
                          <w:r>
                            <w:instrText xml:space="preserve"> PAGE  \* MERGEFORMAT </w:instrText>
                          </w:r>
                          <w:r>
                            <w:fldChar w:fldCharType="separate"/>
                          </w:r>
                          <w:r>
                            <w:rPr>
                              <w:rFonts w:hint="default"/>
                            </w:rPr>
                            <w:t>- 21 -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6"/>
                      <w:rPr>
                        <w:rFonts w:hint="default"/>
                      </w:rPr>
                    </w:pPr>
                    <w:r>
                      <w:fldChar w:fldCharType="begin"/>
                    </w:r>
                    <w:r>
                      <w:instrText xml:space="preserve"> PAGE  \* MERGEFORMAT </w:instrText>
                    </w:r>
                    <w:r>
                      <w:fldChar w:fldCharType="separate"/>
                    </w:r>
                    <w:r>
                      <w:rPr>
                        <w:rFonts w:hint="default"/>
                      </w:rPr>
                      <w:t>- 21 -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6"/>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6"/>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C01CC"/>
    <w:rsid w:val="000D7702"/>
    <w:rsid w:val="000F6721"/>
    <w:rsid w:val="001632EC"/>
    <w:rsid w:val="00261065"/>
    <w:rsid w:val="002D0E5A"/>
    <w:rsid w:val="002D71F4"/>
    <w:rsid w:val="002E5443"/>
    <w:rsid w:val="0032196C"/>
    <w:rsid w:val="004852DA"/>
    <w:rsid w:val="004C12FF"/>
    <w:rsid w:val="004D0390"/>
    <w:rsid w:val="00550ABE"/>
    <w:rsid w:val="005B023C"/>
    <w:rsid w:val="00600322"/>
    <w:rsid w:val="006137D7"/>
    <w:rsid w:val="00634FA8"/>
    <w:rsid w:val="0063613A"/>
    <w:rsid w:val="0068170B"/>
    <w:rsid w:val="006E2034"/>
    <w:rsid w:val="00732392"/>
    <w:rsid w:val="00792285"/>
    <w:rsid w:val="007A0D2E"/>
    <w:rsid w:val="007A3314"/>
    <w:rsid w:val="007B419D"/>
    <w:rsid w:val="007C5C5B"/>
    <w:rsid w:val="00810F13"/>
    <w:rsid w:val="00826B47"/>
    <w:rsid w:val="00893689"/>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C6B99"/>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F3521E"/>
    <w:rsid w:val="02ED53E3"/>
    <w:rsid w:val="03B87EA0"/>
    <w:rsid w:val="03D15768"/>
    <w:rsid w:val="03E3214F"/>
    <w:rsid w:val="044C50BA"/>
    <w:rsid w:val="048E61E2"/>
    <w:rsid w:val="05BC6D49"/>
    <w:rsid w:val="06194FF1"/>
    <w:rsid w:val="06A2550B"/>
    <w:rsid w:val="06F80EE2"/>
    <w:rsid w:val="07001CCA"/>
    <w:rsid w:val="075678DB"/>
    <w:rsid w:val="079D7CC7"/>
    <w:rsid w:val="08051BCA"/>
    <w:rsid w:val="086C12F4"/>
    <w:rsid w:val="087A7868"/>
    <w:rsid w:val="087B3940"/>
    <w:rsid w:val="08BA052C"/>
    <w:rsid w:val="08DB07BA"/>
    <w:rsid w:val="0969353F"/>
    <w:rsid w:val="098305D0"/>
    <w:rsid w:val="098A0877"/>
    <w:rsid w:val="0A5C4B69"/>
    <w:rsid w:val="0A745606"/>
    <w:rsid w:val="0A86124A"/>
    <w:rsid w:val="0AB54CC0"/>
    <w:rsid w:val="0B8F53E5"/>
    <w:rsid w:val="0B9335CE"/>
    <w:rsid w:val="0C7927C4"/>
    <w:rsid w:val="0C9B098C"/>
    <w:rsid w:val="0D673E11"/>
    <w:rsid w:val="0D7B79FD"/>
    <w:rsid w:val="0DDA54E4"/>
    <w:rsid w:val="0E3A5F83"/>
    <w:rsid w:val="0E74421A"/>
    <w:rsid w:val="0EA46639"/>
    <w:rsid w:val="0EC6180C"/>
    <w:rsid w:val="0F497FB6"/>
    <w:rsid w:val="0F836721"/>
    <w:rsid w:val="0FA25D96"/>
    <w:rsid w:val="0FBF6B43"/>
    <w:rsid w:val="107B59E5"/>
    <w:rsid w:val="10EC0126"/>
    <w:rsid w:val="10F70B9A"/>
    <w:rsid w:val="111445C7"/>
    <w:rsid w:val="114278C6"/>
    <w:rsid w:val="1158083A"/>
    <w:rsid w:val="11643A4B"/>
    <w:rsid w:val="11ED0F98"/>
    <w:rsid w:val="11F03528"/>
    <w:rsid w:val="12C921C4"/>
    <w:rsid w:val="12F52ECF"/>
    <w:rsid w:val="13871C70"/>
    <w:rsid w:val="139D5716"/>
    <w:rsid w:val="13A71CB4"/>
    <w:rsid w:val="13AF1D43"/>
    <w:rsid w:val="13CE1647"/>
    <w:rsid w:val="13DA0C25"/>
    <w:rsid w:val="13FD55AB"/>
    <w:rsid w:val="14200702"/>
    <w:rsid w:val="14457F7E"/>
    <w:rsid w:val="14907817"/>
    <w:rsid w:val="14C8524D"/>
    <w:rsid w:val="163A6CEE"/>
    <w:rsid w:val="16A44A51"/>
    <w:rsid w:val="173708E3"/>
    <w:rsid w:val="174C19C7"/>
    <w:rsid w:val="17C374FC"/>
    <w:rsid w:val="17F34C32"/>
    <w:rsid w:val="189079DC"/>
    <w:rsid w:val="189B0D0B"/>
    <w:rsid w:val="18B43F7C"/>
    <w:rsid w:val="194A1770"/>
    <w:rsid w:val="19B906A4"/>
    <w:rsid w:val="1B6F15B6"/>
    <w:rsid w:val="1BAA2EDC"/>
    <w:rsid w:val="1C5C0973"/>
    <w:rsid w:val="1CA55E64"/>
    <w:rsid w:val="1D014A01"/>
    <w:rsid w:val="1D022362"/>
    <w:rsid w:val="1D1B04B0"/>
    <w:rsid w:val="1D6534C4"/>
    <w:rsid w:val="1DBD6767"/>
    <w:rsid w:val="1DC52125"/>
    <w:rsid w:val="1DD26311"/>
    <w:rsid w:val="1E374ACB"/>
    <w:rsid w:val="1E5E27E3"/>
    <w:rsid w:val="1EA33588"/>
    <w:rsid w:val="1ECF0A66"/>
    <w:rsid w:val="1EF67CA4"/>
    <w:rsid w:val="1F020D3A"/>
    <w:rsid w:val="1F2C5189"/>
    <w:rsid w:val="1F4B0B02"/>
    <w:rsid w:val="1F7C3B61"/>
    <w:rsid w:val="1FBB35CD"/>
    <w:rsid w:val="1FCD26AF"/>
    <w:rsid w:val="20642787"/>
    <w:rsid w:val="208A5D79"/>
    <w:rsid w:val="21556F04"/>
    <w:rsid w:val="22403BD3"/>
    <w:rsid w:val="23907AB3"/>
    <w:rsid w:val="23DA37D9"/>
    <w:rsid w:val="24B92327"/>
    <w:rsid w:val="24C14514"/>
    <w:rsid w:val="2533755C"/>
    <w:rsid w:val="25791755"/>
    <w:rsid w:val="26396DF4"/>
    <w:rsid w:val="27167136"/>
    <w:rsid w:val="27B23302"/>
    <w:rsid w:val="29310A5F"/>
    <w:rsid w:val="29C37A35"/>
    <w:rsid w:val="2A076083"/>
    <w:rsid w:val="2A2C5791"/>
    <w:rsid w:val="2A73162E"/>
    <w:rsid w:val="2B167953"/>
    <w:rsid w:val="2B200583"/>
    <w:rsid w:val="2B220436"/>
    <w:rsid w:val="2B4F0308"/>
    <w:rsid w:val="2B8209DE"/>
    <w:rsid w:val="2C6762A3"/>
    <w:rsid w:val="2DC87FD7"/>
    <w:rsid w:val="2E152AA2"/>
    <w:rsid w:val="2EBF7B3E"/>
    <w:rsid w:val="2EDE1934"/>
    <w:rsid w:val="2FCA4B37"/>
    <w:rsid w:val="2FE029D7"/>
    <w:rsid w:val="2FF06E00"/>
    <w:rsid w:val="30562E26"/>
    <w:rsid w:val="30586FEC"/>
    <w:rsid w:val="307E4012"/>
    <w:rsid w:val="30E15268"/>
    <w:rsid w:val="30EC7046"/>
    <w:rsid w:val="315F0B22"/>
    <w:rsid w:val="319D022C"/>
    <w:rsid w:val="31C90022"/>
    <w:rsid w:val="31D84415"/>
    <w:rsid w:val="32285F6F"/>
    <w:rsid w:val="32770556"/>
    <w:rsid w:val="329C0913"/>
    <w:rsid w:val="32AA0460"/>
    <w:rsid w:val="3337290D"/>
    <w:rsid w:val="33497A6F"/>
    <w:rsid w:val="33503FFC"/>
    <w:rsid w:val="337431E1"/>
    <w:rsid w:val="33E31118"/>
    <w:rsid w:val="33EF7674"/>
    <w:rsid w:val="342D7BC6"/>
    <w:rsid w:val="34475F39"/>
    <w:rsid w:val="34D92688"/>
    <w:rsid w:val="352930DB"/>
    <w:rsid w:val="35573069"/>
    <w:rsid w:val="355F6038"/>
    <w:rsid w:val="358C217E"/>
    <w:rsid w:val="35937598"/>
    <w:rsid w:val="35953CF4"/>
    <w:rsid w:val="36C9128A"/>
    <w:rsid w:val="372E3953"/>
    <w:rsid w:val="37841E99"/>
    <w:rsid w:val="37BF1123"/>
    <w:rsid w:val="37C96673"/>
    <w:rsid w:val="37D66232"/>
    <w:rsid w:val="383C3F15"/>
    <w:rsid w:val="38BE4696"/>
    <w:rsid w:val="3939115E"/>
    <w:rsid w:val="39B82A39"/>
    <w:rsid w:val="39C42CA8"/>
    <w:rsid w:val="39DC4FD6"/>
    <w:rsid w:val="39F03D7A"/>
    <w:rsid w:val="39F33306"/>
    <w:rsid w:val="3A2C1C67"/>
    <w:rsid w:val="3AE75711"/>
    <w:rsid w:val="3B1705E5"/>
    <w:rsid w:val="3B18334B"/>
    <w:rsid w:val="3B36794F"/>
    <w:rsid w:val="3B3C4369"/>
    <w:rsid w:val="3C566AD6"/>
    <w:rsid w:val="3C6A5B02"/>
    <w:rsid w:val="3CD45FD0"/>
    <w:rsid w:val="3D2757A1"/>
    <w:rsid w:val="3D3D4FC4"/>
    <w:rsid w:val="3DDF3AB1"/>
    <w:rsid w:val="3E1D0952"/>
    <w:rsid w:val="3E42660A"/>
    <w:rsid w:val="3E4C2FB1"/>
    <w:rsid w:val="3E7555B1"/>
    <w:rsid w:val="3E787ED9"/>
    <w:rsid w:val="3EEC37F3"/>
    <w:rsid w:val="3F032E93"/>
    <w:rsid w:val="3F0527E5"/>
    <w:rsid w:val="3F2E37E9"/>
    <w:rsid w:val="3F4814B0"/>
    <w:rsid w:val="3F566A2B"/>
    <w:rsid w:val="3F5E5D98"/>
    <w:rsid w:val="3F694D83"/>
    <w:rsid w:val="3F885DCC"/>
    <w:rsid w:val="3FCD675E"/>
    <w:rsid w:val="3FD86860"/>
    <w:rsid w:val="3FEB6572"/>
    <w:rsid w:val="4004000C"/>
    <w:rsid w:val="40D54604"/>
    <w:rsid w:val="40F16DC2"/>
    <w:rsid w:val="411B6CE5"/>
    <w:rsid w:val="412070D7"/>
    <w:rsid w:val="41314E40"/>
    <w:rsid w:val="41E0734B"/>
    <w:rsid w:val="426554D0"/>
    <w:rsid w:val="426C1EA8"/>
    <w:rsid w:val="42736402"/>
    <w:rsid w:val="42E86A87"/>
    <w:rsid w:val="43307B09"/>
    <w:rsid w:val="43470647"/>
    <w:rsid w:val="438D0E97"/>
    <w:rsid w:val="43BB152F"/>
    <w:rsid w:val="44494994"/>
    <w:rsid w:val="444D7F48"/>
    <w:rsid w:val="44B96DCF"/>
    <w:rsid w:val="44C37687"/>
    <w:rsid w:val="44E74DFD"/>
    <w:rsid w:val="45CB699A"/>
    <w:rsid w:val="465B470D"/>
    <w:rsid w:val="469D6AD4"/>
    <w:rsid w:val="471E6C84"/>
    <w:rsid w:val="4748792B"/>
    <w:rsid w:val="475D719D"/>
    <w:rsid w:val="47674801"/>
    <w:rsid w:val="48225EF7"/>
    <w:rsid w:val="488F422B"/>
    <w:rsid w:val="48A10961"/>
    <w:rsid w:val="48D5075C"/>
    <w:rsid w:val="48E36915"/>
    <w:rsid w:val="495C4A24"/>
    <w:rsid w:val="497135DF"/>
    <w:rsid w:val="4A1605D9"/>
    <w:rsid w:val="4A263DF2"/>
    <w:rsid w:val="4A6F6675"/>
    <w:rsid w:val="4ABF0746"/>
    <w:rsid w:val="4B0502DF"/>
    <w:rsid w:val="4B135857"/>
    <w:rsid w:val="4B7951CB"/>
    <w:rsid w:val="4B7C315C"/>
    <w:rsid w:val="4C5C7786"/>
    <w:rsid w:val="4C7B62F6"/>
    <w:rsid w:val="4CCF773C"/>
    <w:rsid w:val="4DAC4ACA"/>
    <w:rsid w:val="4DBE01D2"/>
    <w:rsid w:val="4EFC6D10"/>
    <w:rsid w:val="4F0C6BA3"/>
    <w:rsid w:val="4F10477D"/>
    <w:rsid w:val="4F186D58"/>
    <w:rsid w:val="4F3D07E7"/>
    <w:rsid w:val="4FB03F60"/>
    <w:rsid w:val="4FEA65B7"/>
    <w:rsid w:val="5042146E"/>
    <w:rsid w:val="50F06B6E"/>
    <w:rsid w:val="51C35FF3"/>
    <w:rsid w:val="52234D33"/>
    <w:rsid w:val="52261ABA"/>
    <w:rsid w:val="522F6E0C"/>
    <w:rsid w:val="52463BA1"/>
    <w:rsid w:val="5298794F"/>
    <w:rsid w:val="52F163D4"/>
    <w:rsid w:val="531A2DB4"/>
    <w:rsid w:val="53C0244D"/>
    <w:rsid w:val="53DD4D4E"/>
    <w:rsid w:val="53E578CE"/>
    <w:rsid w:val="541330F0"/>
    <w:rsid w:val="54272666"/>
    <w:rsid w:val="543B029D"/>
    <w:rsid w:val="54861779"/>
    <w:rsid w:val="552256E1"/>
    <w:rsid w:val="554E5773"/>
    <w:rsid w:val="555A3CBC"/>
    <w:rsid w:val="5582012B"/>
    <w:rsid w:val="558E4E05"/>
    <w:rsid w:val="55BE2E85"/>
    <w:rsid w:val="55D82B6C"/>
    <w:rsid w:val="561D52C4"/>
    <w:rsid w:val="5628372F"/>
    <w:rsid w:val="5651697D"/>
    <w:rsid w:val="56530F5D"/>
    <w:rsid w:val="56692AE5"/>
    <w:rsid w:val="567700D3"/>
    <w:rsid w:val="567E056E"/>
    <w:rsid w:val="56FF7E9E"/>
    <w:rsid w:val="578867FC"/>
    <w:rsid w:val="5842572D"/>
    <w:rsid w:val="58C35F9B"/>
    <w:rsid w:val="597A6958"/>
    <w:rsid w:val="5A3B59D6"/>
    <w:rsid w:val="5AD134D8"/>
    <w:rsid w:val="5B6503B1"/>
    <w:rsid w:val="5C0F7EC4"/>
    <w:rsid w:val="5C263CE4"/>
    <w:rsid w:val="5C5D2777"/>
    <w:rsid w:val="5CF66BF3"/>
    <w:rsid w:val="5D290C69"/>
    <w:rsid w:val="5D63405E"/>
    <w:rsid w:val="5DCC73ED"/>
    <w:rsid w:val="5E97124A"/>
    <w:rsid w:val="5EDC06CB"/>
    <w:rsid w:val="5F2D4A41"/>
    <w:rsid w:val="60C74F6C"/>
    <w:rsid w:val="60F81AB5"/>
    <w:rsid w:val="61025A59"/>
    <w:rsid w:val="610B2F53"/>
    <w:rsid w:val="613D5BBC"/>
    <w:rsid w:val="61536C39"/>
    <w:rsid w:val="61B168B8"/>
    <w:rsid w:val="61E64F4A"/>
    <w:rsid w:val="623E0993"/>
    <w:rsid w:val="62944DD7"/>
    <w:rsid w:val="6319381F"/>
    <w:rsid w:val="63236436"/>
    <w:rsid w:val="63303185"/>
    <w:rsid w:val="63C25DC5"/>
    <w:rsid w:val="63C62057"/>
    <w:rsid w:val="63FC4695"/>
    <w:rsid w:val="64571EF5"/>
    <w:rsid w:val="64CB0157"/>
    <w:rsid w:val="64FA1ADF"/>
    <w:rsid w:val="64FB113D"/>
    <w:rsid w:val="65036946"/>
    <w:rsid w:val="654A25FE"/>
    <w:rsid w:val="656152C6"/>
    <w:rsid w:val="6587477F"/>
    <w:rsid w:val="658C3A08"/>
    <w:rsid w:val="65C031CA"/>
    <w:rsid w:val="65CE6852"/>
    <w:rsid w:val="65EB6584"/>
    <w:rsid w:val="66267C04"/>
    <w:rsid w:val="663A15F4"/>
    <w:rsid w:val="663F505A"/>
    <w:rsid w:val="66967186"/>
    <w:rsid w:val="66EE5541"/>
    <w:rsid w:val="67924660"/>
    <w:rsid w:val="67B3608E"/>
    <w:rsid w:val="683200C2"/>
    <w:rsid w:val="68407834"/>
    <w:rsid w:val="6883293E"/>
    <w:rsid w:val="688412AD"/>
    <w:rsid w:val="68A03BDA"/>
    <w:rsid w:val="68EB1B71"/>
    <w:rsid w:val="68F614EF"/>
    <w:rsid w:val="69475C96"/>
    <w:rsid w:val="6AAD2300"/>
    <w:rsid w:val="6B474EF5"/>
    <w:rsid w:val="6BB27588"/>
    <w:rsid w:val="6BBF53FD"/>
    <w:rsid w:val="6C560CAE"/>
    <w:rsid w:val="6C576495"/>
    <w:rsid w:val="6D903FF5"/>
    <w:rsid w:val="6DA955B8"/>
    <w:rsid w:val="6DE346AB"/>
    <w:rsid w:val="6DE5391A"/>
    <w:rsid w:val="6EEA5552"/>
    <w:rsid w:val="6EFD1324"/>
    <w:rsid w:val="6F5A53AC"/>
    <w:rsid w:val="6FAC003D"/>
    <w:rsid w:val="6FE55E12"/>
    <w:rsid w:val="6FFB2E76"/>
    <w:rsid w:val="70674F40"/>
    <w:rsid w:val="708F6F7F"/>
    <w:rsid w:val="70D94BD3"/>
    <w:rsid w:val="70FC1010"/>
    <w:rsid w:val="71C34D91"/>
    <w:rsid w:val="72C672F6"/>
    <w:rsid w:val="72DB435C"/>
    <w:rsid w:val="72E2613A"/>
    <w:rsid w:val="72F771F4"/>
    <w:rsid w:val="734150D5"/>
    <w:rsid w:val="736650B0"/>
    <w:rsid w:val="73934AD2"/>
    <w:rsid w:val="750837F0"/>
    <w:rsid w:val="754758CF"/>
    <w:rsid w:val="75682A8B"/>
    <w:rsid w:val="761275E6"/>
    <w:rsid w:val="764F62AB"/>
    <w:rsid w:val="765C45EC"/>
    <w:rsid w:val="768A7619"/>
    <w:rsid w:val="772E1EBA"/>
    <w:rsid w:val="77EB79F7"/>
    <w:rsid w:val="796D60A4"/>
    <w:rsid w:val="79A031D5"/>
    <w:rsid w:val="7A1525F7"/>
    <w:rsid w:val="7B420052"/>
    <w:rsid w:val="7B635191"/>
    <w:rsid w:val="7B861484"/>
    <w:rsid w:val="7BD06A28"/>
    <w:rsid w:val="7C3A7C0B"/>
    <w:rsid w:val="7C5248E4"/>
    <w:rsid w:val="7C566698"/>
    <w:rsid w:val="7C5866A3"/>
    <w:rsid w:val="7D7406BB"/>
    <w:rsid w:val="7DE94331"/>
    <w:rsid w:val="7F446A19"/>
    <w:rsid w:val="7F7452B9"/>
    <w:rsid w:val="7F8401D1"/>
    <w:rsid w:val="7FAC32D7"/>
    <w:rsid w:val="7FCC1A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0">
    <w:name w:val="Default Paragraph Font"/>
    <w:semiHidden/>
    <w:unhideWhenUsed/>
    <w:qFormat/>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character" w:styleId="11">
    <w:name w:val="Strong"/>
    <w:qFormat/>
    <w:uiPriority w:val="0"/>
    <w:rPr>
      <w:b/>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0"/>
    <w:link w:val="5"/>
    <w:qFormat/>
    <w:uiPriority w:val="0"/>
    <w:rPr>
      <w:rFonts w:ascii="宋体" w:hAnsi="宋体"/>
      <w:sz w:val="18"/>
      <w:szCs w:val="18"/>
    </w:rPr>
  </w:style>
  <w:style w:type="paragraph" w:customStyle="1" w:styleId="19">
    <w:name w:val="List Paragraph"/>
    <w:qFormat/>
    <w:uiPriority w:val="99"/>
    <w:pPr>
      <w:ind w:firstLine="420" w:firstLineChars="200"/>
    </w:pPr>
    <w:rPr>
      <w:rFonts w:hint="default"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3933</Words>
  <Characters>22421</Characters>
  <Lines>186</Lines>
  <Paragraphs>52</Paragraphs>
  <TotalTime>0</TotalTime>
  <ScaleCrop>false</ScaleCrop>
  <LinksUpToDate>false</LinksUpToDate>
  <CharactersWithSpaces>26302</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Administrator</cp:lastModifiedBy>
  <cp:lastPrinted>2025-09-26T07:06:00Z</cp:lastPrinted>
  <dcterms:modified xsi:type="dcterms:W3CDTF">2025-10-20T08:03:04Z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y fmtid="{D5CDD505-2E9C-101B-9397-08002B2CF9AE}" pid="3" name="ICV">
    <vt:lpwstr>BB46EABDBB2749749395447164B066B3_12</vt:lpwstr>
  </property>
</Properties>
</file>