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bookmarkStart w:id="0" w:name="_GoBack"/>
      <w:bookmarkEnd w:id="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中和街道综合行政执法大队</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sz w:val="32"/>
        </w:rPr>
      </w:pPr>
      <w:r>
        <w:rPr>
          <w:rFonts w:hint="eastAsia" w:ascii="Times New Roman" w:hAnsi="Times New Roman" w:eastAsia="方正仿宋_GBK"/>
          <w:sz w:val="32"/>
        </w:rPr>
        <w:t>受综合行政执法办公室委托，行使依法授权或委托的农林水利、规划建设、生态环境、卫生健康、文化旅游、民政管理等领域的行政执法权。建立与城市管理、食品药品安全监管等方面的联合执法机制。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综合行政执法大队</w:t>
      </w:r>
      <w:r>
        <w:rPr>
          <w:rFonts w:hint="eastAsia" w:ascii="Times New Roman" w:hAnsi="Times New Roman" w:eastAsia="方正仿宋_GBK"/>
          <w:sz w:val="32"/>
          <w:lang w:val="en-US" w:eastAsia="zh-CN"/>
        </w:rPr>
        <w:t>属于中和街道办事处下属事业单位</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3.93</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2.12</w:t>
      </w:r>
      <w:r>
        <w:rPr>
          <w:rFonts w:hint="default" w:ascii="Times New Roman" w:hAnsi="Times New Roman" w:eastAsia="方正仿宋_GBK" w:cs="Times New Roman"/>
          <w:i w:val="0"/>
          <w:iCs w:val="0"/>
          <w:caps w:val="0"/>
          <w:color w:val="333333"/>
          <w:spacing w:val="0"/>
          <w:sz w:val="32"/>
          <w:szCs w:val="32"/>
          <w:u w:val="none"/>
          <w:shd w:val="clear" w:fill="FFFFFF"/>
        </w:rPr>
        <w:t>万元，城乡社区支出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27.37万元，</w:t>
      </w:r>
      <w:r>
        <w:rPr>
          <w:rFonts w:hint="default" w:ascii="Times New Roman" w:hAnsi="Times New Roman" w:eastAsia="方正仿宋_GBK" w:cs="Times New Roman"/>
          <w:i w:val="0"/>
          <w:iCs w:val="0"/>
          <w:caps w:val="0"/>
          <w:color w:val="333333"/>
          <w:spacing w:val="0"/>
          <w:sz w:val="32"/>
          <w:szCs w:val="32"/>
          <w:u w:val="none"/>
          <w:shd w:val="clear" w:fill="FFFFFF"/>
        </w:rPr>
        <w:t>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1.97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35.39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4.23</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2023年补缴2年住房公积金调整差额等社保调整</w:t>
      </w:r>
      <w:r>
        <w:rPr>
          <w:rFonts w:hint="default" w:ascii="Times New Roman" w:hAnsi="Times New Roman" w:eastAsia="方正仿宋_GBK" w:cs="Times New Roman"/>
          <w:i w:val="0"/>
          <w:iCs w:val="0"/>
          <w:caps w:val="0"/>
          <w:color w:val="333333"/>
          <w:spacing w:val="0"/>
          <w:sz w:val="32"/>
          <w:szCs w:val="32"/>
          <w:u w:val="none"/>
          <w:shd w:val="clear" w:fill="FFFFFF"/>
        </w:rPr>
        <w:t>，主要用保障</w:t>
      </w:r>
      <w:r>
        <w:rPr>
          <w:rFonts w:hint="eastAsia" w:ascii="Times New Roman" w:hAnsi="Times New Roman" w:eastAsia="方正仿宋_GBK" w:cs="Times New Roman"/>
          <w:i w:val="0"/>
          <w:iCs w:val="0"/>
          <w:caps w:val="0"/>
          <w:color w:val="333333"/>
          <w:spacing w:val="0"/>
          <w:sz w:val="32"/>
          <w:szCs w:val="32"/>
          <w:u w:val="none"/>
          <w:shd w:val="clear" w:fill="FFFFFF"/>
        </w:rPr>
        <w:t>在职人员工资福利及社会保险缴费，</w:t>
      </w:r>
      <w:r>
        <w:rPr>
          <w:rFonts w:hint="default" w:ascii="Times New Roman" w:hAnsi="Times New Roman" w:eastAsia="方正仿宋_GBK" w:cs="Times New Roman"/>
          <w:i w:val="0"/>
          <w:iCs w:val="0"/>
          <w:caps w:val="0"/>
          <w:color w:val="333333"/>
          <w:spacing w:val="0"/>
          <w:sz w:val="32"/>
          <w:szCs w:val="32"/>
          <w:u w:val="none"/>
          <w:shd w:val="clear" w:fill="FFFFFF"/>
        </w:rPr>
        <w:t>退休人员</w:t>
      </w:r>
      <w:r>
        <w:rPr>
          <w:rFonts w:hint="eastAsia" w:ascii="Times New Roman" w:hAnsi="Times New Roman" w:eastAsia="方正仿宋_GBK" w:cs="Times New Roman"/>
          <w:i w:val="0"/>
          <w:iCs w:val="0"/>
          <w:caps w:val="0"/>
          <w:color w:val="333333"/>
          <w:spacing w:val="0"/>
          <w:sz w:val="32"/>
          <w:szCs w:val="32"/>
          <w:u w:val="none"/>
          <w:shd w:val="clear" w:fill="FFFFFF"/>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综合行政执法大队</w:t>
      </w:r>
      <w:r>
        <w:rPr>
          <w:rFonts w:hint="eastAsia" w:ascii="Times New Roman" w:hAnsi="Times New Roman" w:eastAsia="方正仿宋_GBK"/>
          <w:sz w:val="32"/>
          <w:lang w:val="en-US" w:eastAsia="zh-CN"/>
        </w:rPr>
        <w:t>无项目支出预算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综合行政执法大队</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年减少 </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zh-CN"/>
        </w:rPr>
        <w:t>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sz w:val="32"/>
          <w:lang w:val="en-US" w:eastAsia="zh-CN"/>
        </w:rPr>
        <w:t>中和街道</w:t>
      </w:r>
      <w:r>
        <w:rPr>
          <w:rFonts w:hint="eastAsia" w:ascii="Times New Roman" w:hAnsi="Times New Roman" w:eastAsia="方正仿宋_GBK"/>
          <w:sz w:val="32"/>
        </w:rPr>
        <w:t>综合行政执法大队</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 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50E1FA9"/>
    <w:rsid w:val="05B4202B"/>
    <w:rsid w:val="07295976"/>
    <w:rsid w:val="0D47753A"/>
    <w:rsid w:val="10EA445F"/>
    <w:rsid w:val="14D1325F"/>
    <w:rsid w:val="198F6E75"/>
    <w:rsid w:val="1A463C11"/>
    <w:rsid w:val="1AAD13F2"/>
    <w:rsid w:val="1B1625F6"/>
    <w:rsid w:val="1C365209"/>
    <w:rsid w:val="1D87091B"/>
    <w:rsid w:val="1E4C393C"/>
    <w:rsid w:val="2340333C"/>
    <w:rsid w:val="276D1C79"/>
    <w:rsid w:val="2C0B1A4F"/>
    <w:rsid w:val="2D7D1017"/>
    <w:rsid w:val="2F8C35A1"/>
    <w:rsid w:val="3C367192"/>
    <w:rsid w:val="3F556F76"/>
    <w:rsid w:val="44AC4783"/>
    <w:rsid w:val="461842D2"/>
    <w:rsid w:val="46DD2661"/>
    <w:rsid w:val="47E12F43"/>
    <w:rsid w:val="490E5B0E"/>
    <w:rsid w:val="4A936858"/>
    <w:rsid w:val="4B335482"/>
    <w:rsid w:val="4E0968BC"/>
    <w:rsid w:val="4E0D644A"/>
    <w:rsid w:val="519B52CC"/>
    <w:rsid w:val="55F81185"/>
    <w:rsid w:val="5BB170CB"/>
    <w:rsid w:val="5F424B60"/>
    <w:rsid w:val="63840EDC"/>
    <w:rsid w:val="6432761A"/>
    <w:rsid w:val="67C47E6E"/>
    <w:rsid w:val="68480129"/>
    <w:rsid w:val="710F3952"/>
    <w:rsid w:val="71774FB6"/>
    <w:rsid w:val="76DA7A0D"/>
    <w:rsid w:val="7BAF3E73"/>
    <w:rsid w:val="7D6B7746"/>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