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lang w:val="en-US" w:eastAsia="zh-CN"/>
        </w:rPr>
      </w:pPr>
      <w:bookmarkStart w:id="0" w:name="_GoBack"/>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秀山土家族苗族自治县</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中和街道农业服务中心（特色产业发展中心）</w:t>
      </w:r>
      <w:r>
        <w:rPr>
          <w:rFonts w:hint="eastAsia" w:ascii="方正小标宋_GBK" w:hAnsi="方正小标宋_GBK" w:eastAsia="方正小标宋_GBK" w:cs="方正小标宋_GBK"/>
          <w:i w:val="0"/>
          <w:iCs w:val="0"/>
          <w:caps w:val="0"/>
          <w:color w:val="333333"/>
          <w:spacing w:val="0"/>
          <w:sz w:val="44"/>
          <w:szCs w:val="44"/>
          <w:shd w:val="clear" w:fill="FFFFFF"/>
        </w:rPr>
        <w:t>202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4</w:t>
      </w:r>
      <w:r>
        <w:rPr>
          <w:rFonts w:hint="eastAsia" w:ascii="方正小标宋_GBK" w:hAnsi="方正小标宋_GBK" w:eastAsia="方正小标宋_GBK" w:cs="方正小标宋_GBK"/>
          <w:i w:val="0"/>
          <w:iCs w:val="0"/>
          <w:caps w:val="0"/>
          <w:color w:val="333333"/>
          <w:spacing w:val="0"/>
          <w:sz w:val="44"/>
          <w:szCs w:val="44"/>
          <w:shd w:val="clear" w:fill="FFFFFF"/>
        </w:rPr>
        <w:t>年部门</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单位）</w:t>
      </w:r>
      <w:r>
        <w:rPr>
          <w:rFonts w:hint="eastAsia" w:ascii="方正小标宋_GBK" w:hAnsi="方正小标宋_GBK" w:eastAsia="方正小标宋_GBK" w:cs="方正小标宋_GBK"/>
          <w:i w:val="0"/>
          <w:iCs w:val="0"/>
          <w:caps w:val="0"/>
          <w:color w:val="333333"/>
          <w:spacing w:val="0"/>
          <w:sz w:val="44"/>
          <w:szCs w:val="44"/>
          <w:shd w:val="clear" w:fill="FFFFFF"/>
        </w:rPr>
        <w:t>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center"/>
        <w:textAlignment w:val="auto"/>
        <w:outlineLvl w:val="9"/>
        <w:rPr>
          <w:rFonts w:hint="eastAsia" w:ascii="华文中宋" w:hAnsi="华文中宋" w:eastAsia="华文中宋" w:cs="华文中宋"/>
          <w:i w:val="0"/>
          <w:iCs w:val="0"/>
          <w:caps w:val="0"/>
          <w:color w:val="333333"/>
          <w:spacing w:val="0"/>
          <w:sz w:val="43"/>
          <w:szCs w:val="43"/>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一、单位基本情况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职能职责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pPr>
      <w:r>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t xml:space="preserve"> 中和街道农业服务中心（特色产业发展中心）。主要承担贯彻执行上级有关村（社区）建设服务政策，制定并组织实施村（社区）服务总体规划和年度计划，指导社区居委会和村委会开展组织建设、制度建设和其他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单位构成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ascii="方正仿宋_GBK" w:hAnsi="方正仿宋_GBK" w:eastAsia="方正仿宋_GBK" w:cs="方正仿宋_GBK"/>
          <w:i w:val="0"/>
          <w:iCs w:val="0"/>
          <w:caps w:val="0"/>
          <w:color w:val="333333"/>
          <w:spacing w:val="0"/>
          <w:sz w:val="32"/>
          <w:szCs w:val="32"/>
          <w:shd w:val="clear" w:fill="FFFFFF"/>
        </w:rPr>
      </w:pPr>
      <w:r>
        <w:rPr>
          <w:rFonts w:hint="eastAsia" w:ascii="仿宋_GB2312" w:hAnsi="仿宋_GB2312" w:eastAsia="仿宋_GB2312" w:cs="仿宋_GB2312"/>
          <w:color w:val="111111"/>
          <w:kern w:val="0"/>
          <w:sz w:val="32"/>
          <w:szCs w:val="32"/>
        </w:rPr>
        <w:t xml:space="preserve"> </w:t>
      </w:r>
      <w:r>
        <w:rPr>
          <w:rFonts w:hint="eastAsia" w:ascii="Times New Roman" w:hAnsi="Times New Roman" w:eastAsia="方正仿宋_GBK"/>
          <w:sz w:val="32"/>
          <w:lang w:val="en-US" w:eastAsia="zh-CN"/>
        </w:rPr>
        <w:t>中和街道农业服务中心（特色产业发展中心）属于中和街道办事处下属事业单位</w:t>
      </w:r>
      <w:r>
        <w:rPr>
          <w:rFonts w:ascii="方正仿宋_GBK" w:hAnsi="方正仿宋_GBK" w:eastAsia="方正仿宋_GBK" w:cs="方正仿宋_GBK"/>
          <w:i w:val="0"/>
          <w:iCs w:val="0"/>
          <w:caps w:val="0"/>
          <w:color w:val="333333"/>
          <w:spacing w:val="0"/>
          <w:sz w:val="32"/>
          <w:szCs w:val="32"/>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二、部门收支总体情况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rPr>
        <w:t>（一）收入预算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831.21</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790.98</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40.23</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77.50</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社区干部报酬调标且补发增加预算，事业人员超额绩效清算结转</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方正楷体_GBK" w:hAnsi="方正楷体_GBK" w:eastAsia="方正楷体_GBK" w:cs="方正楷体_GBK"/>
          <w:i w:val="0"/>
          <w:iCs w:val="0"/>
          <w:caps w:val="0"/>
          <w:color w:val="333333"/>
          <w:spacing w:val="0"/>
          <w:sz w:val="32"/>
          <w:szCs w:val="32"/>
          <w:u w:val="none"/>
          <w:shd w:val="clear" w:fill="FFFFFF"/>
        </w:rPr>
        <w:t>（二）支出预算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831.21</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万元，其中：一般公共服务</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48.85</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12.01</w:t>
      </w:r>
      <w:r>
        <w:rPr>
          <w:rFonts w:hint="default" w:ascii="Times New Roman" w:hAnsi="Times New Roman" w:eastAsia="方正仿宋_GBK" w:cs="Times New Roman"/>
          <w:i w:val="0"/>
          <w:iCs w:val="0"/>
          <w:caps w:val="0"/>
          <w:color w:val="333333"/>
          <w:spacing w:val="0"/>
          <w:sz w:val="32"/>
          <w:szCs w:val="32"/>
          <w:u w:val="none"/>
          <w:shd w:val="clear" w:fill="FFFFFF"/>
        </w:rPr>
        <w:t>万元，农林水支出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758.83万元，</w:t>
      </w:r>
      <w:r>
        <w:rPr>
          <w:rFonts w:hint="default" w:ascii="Times New Roman" w:hAnsi="Times New Roman" w:eastAsia="方正仿宋_GBK" w:cs="Times New Roman"/>
          <w:i w:val="0"/>
          <w:iCs w:val="0"/>
          <w:caps w:val="0"/>
          <w:color w:val="333333"/>
          <w:spacing w:val="0"/>
          <w:sz w:val="32"/>
          <w:szCs w:val="32"/>
          <w:u w:val="none"/>
          <w:shd w:val="clear" w:fill="FFFFFF"/>
        </w:rPr>
        <w:t>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11.53</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77.50</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是基本支出增加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25.63</w:t>
      </w:r>
      <w:r>
        <w:rPr>
          <w:rFonts w:hint="default" w:ascii="Times New Roman" w:hAnsi="Times New Roman" w:eastAsia="方正仿宋_GBK" w:cs="Times New Roman"/>
          <w:i w:val="0"/>
          <w:iCs w:val="0"/>
          <w:caps w:val="0"/>
          <w:color w:val="333333"/>
          <w:spacing w:val="0"/>
          <w:sz w:val="32"/>
          <w:szCs w:val="32"/>
          <w:u w:val="none"/>
          <w:shd w:val="clear" w:fill="FFFFFF"/>
        </w:rPr>
        <w:t>万元，项目支出增加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51.87</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三、部门预算情况说明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790.98</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其中：上年结转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790.98</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37.27</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236.08</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减少14.60</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2023年存在人员退休情况</w:t>
      </w:r>
      <w:r>
        <w:rPr>
          <w:rFonts w:hint="default" w:ascii="Times New Roman" w:hAnsi="Times New Roman" w:eastAsia="方正仿宋_GBK" w:cs="Times New Roman"/>
          <w:i w:val="0"/>
          <w:iCs w:val="0"/>
          <w:caps w:val="0"/>
          <w:color w:val="333333"/>
          <w:spacing w:val="0"/>
          <w:sz w:val="32"/>
          <w:szCs w:val="32"/>
          <w:u w:val="none"/>
          <w:shd w:val="clear" w:fill="FFFFFF"/>
        </w:rPr>
        <w:t>，主要用于</w:t>
      </w:r>
      <w:r>
        <w:rPr>
          <w:rFonts w:ascii="仿宋_GB2312" w:hAnsi="仿宋_GB2312" w:eastAsia="仿宋_GB2312" w:cs="仿宋_GB2312"/>
          <w:color w:val="auto"/>
          <w:sz w:val="32"/>
        </w:rPr>
        <w:t>保障</w:t>
      </w:r>
      <w:r>
        <w:rPr>
          <w:rFonts w:hint="eastAsia" w:ascii="仿宋_GB2312" w:hAnsi="仿宋_GB2312" w:eastAsia="仿宋_GB2312" w:cs="仿宋_GB2312"/>
          <w:color w:val="auto"/>
          <w:sz w:val="32"/>
        </w:rPr>
        <w:t>在职人员工资福利及社会保险缴费，</w:t>
      </w:r>
      <w:r>
        <w:rPr>
          <w:rFonts w:ascii="仿宋_GB2312" w:hAnsi="仿宋_GB2312" w:eastAsia="仿宋_GB2312" w:cs="仿宋_GB2312"/>
          <w:color w:val="auto"/>
          <w:sz w:val="32"/>
        </w:rPr>
        <w:t>退休人员</w:t>
      </w:r>
      <w:r>
        <w:rPr>
          <w:rFonts w:hint="eastAsia" w:ascii="仿宋_GB2312" w:hAnsi="仿宋_GB2312" w:eastAsia="仿宋_GB2312" w:cs="仿宋_GB2312"/>
          <w:color w:val="auto"/>
          <w:sz w:val="32"/>
        </w:rPr>
        <w:t>补助等，保障部门正常运转的各项商品服务支出</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554.91</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51.87</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2024年社区干部报酬调标并补发增加预算</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eastAsia" w:ascii="Times New Roman" w:hAnsi="Times New Roman" w:eastAsia="方正仿宋_GBK"/>
          <w:sz w:val="32"/>
          <w:lang w:val="en-US" w:eastAsia="zh-CN"/>
        </w:rPr>
        <w:t>中和街道农业服务中心（特色产业发展中心）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年未使用政府性基金预算拨款安排的支出</w:t>
      </w:r>
      <w:r>
        <w:rPr>
          <w:rFonts w:hint="eastAsia" w:ascii="Times New Roman" w:hAnsi="Times New Roman" w:eastAsia="方正仿宋_GBK" w:cs="Times New Roman"/>
          <w:i w:val="0"/>
          <w:iCs w:val="0"/>
          <w:caps w:val="0"/>
          <w:color w:val="333333"/>
          <w:spacing w:val="0"/>
          <w:sz w:val="32"/>
          <w:szCs w:val="32"/>
          <w:u w:val="none"/>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三公”经费情况说明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万元。其中：因公出国（境）费用</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万元；公务接待费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 万元，主要原因是公务接待减少，认真贯彻落实中央八项规定精神，严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经费；公务用车运行维护费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经费；公务用车购置费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五、其他重要事项的情况说明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年一般公共预算财政拨款运行经费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万元，比上年减少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zh-CN"/>
        </w:rPr>
        <w:t>我单位为事业单位，不在机关运行经费统计范围之内</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主要用于办公费、印刷费、邮电费、水电费、物管费、差旅费、会议费、培训费及其他商品和服务支出等。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年项目支出均实行了绩效目标管理，涉及一般公共预算当年财政拨款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554.91</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。所属各预算单位政府采购预算总额</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万元；其中一般公共预算拨款政府采购</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六、专业名词解释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（一）财政拨款收入</w:t>
      </w:r>
      <w:r>
        <w:rPr>
          <w:rFonts w:hint="eastAsia" w:ascii="方正仿宋_GBK" w:hAnsi="方正仿宋_GBK" w:eastAsia="方正仿宋_GBK" w:cs="方正仿宋_GBK"/>
          <w:i w:val="0"/>
          <w:iCs w:val="0"/>
          <w:caps w:val="0"/>
          <w:color w:val="333333"/>
          <w:spacing w:val="0"/>
          <w:sz w:val="32"/>
          <w:szCs w:val="32"/>
          <w:shd w:val="clear" w:fill="FFFFFF"/>
        </w:rPr>
        <w:t>：指本年度从本级财政部门取得的财政拨款，包括一般公共预算财政拨款和政府性基金预算财政拨款。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（二）其他收入：</w:t>
      </w:r>
      <w:r>
        <w:rPr>
          <w:rFonts w:hint="default" w:ascii="方正仿宋_GBK" w:hAnsi="方正仿宋_GBK" w:eastAsia="方正仿宋_GBK" w:cs="方正仿宋_GBK"/>
          <w:i w:val="0"/>
          <w:iCs w:val="0"/>
          <w:caps w:val="0"/>
          <w:color w:val="333333"/>
          <w:spacing w:val="0"/>
          <w:sz w:val="32"/>
          <w:szCs w:val="32"/>
          <w:shd w:val="clear" w:fill="FFFFFF"/>
        </w:rPr>
        <w:t>指单位取得的除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财政拨款收入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事业收入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经营收入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（三）基本支出：</w:t>
      </w:r>
      <w:r>
        <w:rPr>
          <w:rFonts w:hint="default" w:ascii="方正仿宋_GBK" w:hAnsi="方正仿宋_GBK" w:eastAsia="方正仿宋_GBK" w:cs="方正仿宋_GBK"/>
          <w:i w:val="0"/>
          <w:iCs w:val="0"/>
          <w:caps w:val="0"/>
          <w:color w:val="333333"/>
          <w:spacing w:val="0"/>
          <w:sz w:val="32"/>
          <w:szCs w:val="32"/>
          <w:shd w:val="clear"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；公用经费指政府收支分类经济科目中除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外的其他支出。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（四）项目支出：</w:t>
      </w:r>
      <w:r>
        <w:rPr>
          <w:rFonts w:hint="default" w:ascii="方正仿宋_GBK" w:hAnsi="方正仿宋_GBK" w:eastAsia="方正仿宋_GBK" w:cs="方正仿宋_GBK"/>
          <w:i w:val="0"/>
          <w:iCs w:val="0"/>
          <w:caps w:val="0"/>
          <w:color w:val="333333"/>
          <w:spacing w:val="0"/>
          <w:sz w:val="32"/>
          <w:szCs w:val="32"/>
          <w:shd w:val="clear" w:fill="FFFFFF"/>
        </w:rPr>
        <w:t>指在基本支出之外为完成特定行政任务和事业发展目标所发生的支出。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（五）经营支出：</w:t>
      </w:r>
      <w:r>
        <w:rPr>
          <w:rFonts w:hint="default" w:ascii="方正仿宋_GBK" w:hAnsi="方正仿宋_GBK" w:eastAsia="方正仿宋_GBK" w:cs="方正仿宋_GBK"/>
          <w:i w:val="0"/>
          <w:iCs w:val="0"/>
          <w:caps w:val="0"/>
          <w:color w:val="333333"/>
          <w:spacing w:val="0"/>
          <w:sz w:val="32"/>
          <w:szCs w:val="32"/>
          <w:shd w:val="clear" w:fill="FFFFFF"/>
        </w:rPr>
        <w:t>指事业单位在专业业务活动及其辅助活动之外开展非独立核算经营活动发生的支出。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（六）“三公”经费：</w:t>
      </w:r>
      <w:r>
        <w:rPr>
          <w:rFonts w:hint="default" w:ascii="方正仿宋_GBK" w:hAnsi="方正仿宋_GBK" w:eastAsia="方正仿宋_GBK" w:cs="方正仿宋_GBK"/>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（七）机关运行经费：</w:t>
      </w:r>
      <w:r>
        <w:rPr>
          <w:rFonts w:hint="default" w:ascii="方正仿宋_GBK" w:hAnsi="方正仿宋_GBK" w:eastAsia="方正仿宋_GBK" w:cs="方正仿宋_GBK"/>
          <w:i w:val="0"/>
          <w:iCs w:val="0"/>
          <w:caps w:val="0"/>
          <w:color w:val="333333"/>
          <w:spacing w:val="0"/>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（八）工资福利支出（支出经济分类科目类级）：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（九）商品和服务支出（支出经济分类科目类级）：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反映单位购买商品和服务的支出（不包括用于购置固定资产的支出、战略性和应急储备支出）。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（十）对个人和家庭的补助（支出经济分类科目类级）：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反映用于对个人和家庭的补助支出。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（十一）其他资本性支出（支出经济分类科目类级）：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pPr>
      <w:r>
        <w:rPr>
          <w:rFonts w:hint="eastAsia" w:ascii="方正仿宋_GBK" w:hAnsi="方正仿宋_GBK" w:eastAsia="方正仿宋_GBK" w:cs="方正仿宋_GBK"/>
          <w:sz w:val="32"/>
          <w:szCs w:val="32"/>
          <w:lang w:eastAsia="zh-CN"/>
        </w:rPr>
        <w:t>联系人：</w:t>
      </w:r>
      <w:r>
        <w:rPr>
          <w:rFonts w:hint="eastAsia" w:ascii="方正仿宋_GBK" w:hAnsi="方正仿宋_GBK" w:eastAsia="方正仿宋_GBK" w:cs="方正仿宋_GBK"/>
          <w:sz w:val="32"/>
          <w:szCs w:val="32"/>
          <w:lang w:val="en-US" w:eastAsia="zh-CN"/>
        </w:rPr>
        <w:t xml:space="preserve">杨丽华      </w:t>
      </w:r>
      <w:r>
        <w:rPr>
          <w:rFonts w:hint="eastAsia" w:ascii="方正仿宋_GBK" w:hAnsi="方正仿宋_GBK" w:eastAsia="方正仿宋_GBK" w:cs="方正仿宋_GBK"/>
          <w:sz w:val="32"/>
          <w:szCs w:val="32"/>
          <w:lang w:eastAsia="zh-CN"/>
        </w:rPr>
        <w:t>联系方式：</w:t>
      </w:r>
      <w:r>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t>023-76869943</w:t>
      </w:r>
    </w:p>
    <w:bookmarkEnd w:id="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00172A27"/>
    <w:rsid w:val="020748D0"/>
    <w:rsid w:val="045B5A9F"/>
    <w:rsid w:val="056E5203"/>
    <w:rsid w:val="05B4202B"/>
    <w:rsid w:val="060E737A"/>
    <w:rsid w:val="06D74CBF"/>
    <w:rsid w:val="07295976"/>
    <w:rsid w:val="094E069B"/>
    <w:rsid w:val="09A45837"/>
    <w:rsid w:val="0D456478"/>
    <w:rsid w:val="0D47753A"/>
    <w:rsid w:val="0DFF07CB"/>
    <w:rsid w:val="10EA445F"/>
    <w:rsid w:val="11BF2C0C"/>
    <w:rsid w:val="13F77B8F"/>
    <w:rsid w:val="143C0151"/>
    <w:rsid w:val="147E3699"/>
    <w:rsid w:val="14D1325F"/>
    <w:rsid w:val="151B6FBC"/>
    <w:rsid w:val="190A6C24"/>
    <w:rsid w:val="198F6E75"/>
    <w:rsid w:val="1B1625F6"/>
    <w:rsid w:val="1C365209"/>
    <w:rsid w:val="1C4364D2"/>
    <w:rsid w:val="1C545E66"/>
    <w:rsid w:val="1D87091B"/>
    <w:rsid w:val="1D9767A7"/>
    <w:rsid w:val="1E310513"/>
    <w:rsid w:val="21C263F6"/>
    <w:rsid w:val="228F6E00"/>
    <w:rsid w:val="2340333C"/>
    <w:rsid w:val="25225147"/>
    <w:rsid w:val="25400457"/>
    <w:rsid w:val="27F8220B"/>
    <w:rsid w:val="283C4EE9"/>
    <w:rsid w:val="2A722697"/>
    <w:rsid w:val="310B4C89"/>
    <w:rsid w:val="3269296C"/>
    <w:rsid w:val="32B534AD"/>
    <w:rsid w:val="37A20CA7"/>
    <w:rsid w:val="39BA464D"/>
    <w:rsid w:val="3D9E4A07"/>
    <w:rsid w:val="436C7C62"/>
    <w:rsid w:val="440A07B6"/>
    <w:rsid w:val="44AC4783"/>
    <w:rsid w:val="47E12F43"/>
    <w:rsid w:val="48667BA2"/>
    <w:rsid w:val="490E5B0E"/>
    <w:rsid w:val="4D850D6E"/>
    <w:rsid w:val="4E0D644A"/>
    <w:rsid w:val="4E3F1661"/>
    <w:rsid w:val="4EA43D91"/>
    <w:rsid w:val="53260528"/>
    <w:rsid w:val="578F7853"/>
    <w:rsid w:val="5BB170CB"/>
    <w:rsid w:val="5BFB489D"/>
    <w:rsid w:val="5C140011"/>
    <w:rsid w:val="5E3C1033"/>
    <w:rsid w:val="5F424B60"/>
    <w:rsid w:val="60431DE7"/>
    <w:rsid w:val="62E145E4"/>
    <w:rsid w:val="65962CD6"/>
    <w:rsid w:val="67C47E6E"/>
    <w:rsid w:val="68480129"/>
    <w:rsid w:val="6994154B"/>
    <w:rsid w:val="6D2D2D77"/>
    <w:rsid w:val="6DE31E5A"/>
    <w:rsid w:val="6DEC7FBD"/>
    <w:rsid w:val="6F7D4076"/>
    <w:rsid w:val="70905D23"/>
    <w:rsid w:val="710F3952"/>
    <w:rsid w:val="71774FB6"/>
    <w:rsid w:val="77493922"/>
    <w:rsid w:val="777B09B5"/>
    <w:rsid w:val="77A94E6E"/>
    <w:rsid w:val="783A6A4C"/>
    <w:rsid w:val="78AD3CCD"/>
    <w:rsid w:val="791F42A1"/>
    <w:rsid w:val="7A504F34"/>
    <w:rsid w:val="7BAF3E73"/>
    <w:rsid w:val="7DEF2B96"/>
    <w:rsid w:val="7ED62D77"/>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ASUS</cp:lastModifiedBy>
  <dcterms:modified xsi:type="dcterms:W3CDTF">2024-02-07T03:18:31Z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F44D2AF8A2C742C2BD20A5082B04F5CC</vt:lpwstr>
  </property>
</Properties>
</file>