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964BF2">
      <w:pPr>
        <w:keepNext w:val="0"/>
        <w:keepLines w:val="0"/>
        <w:pageBreakBefore w:val="0"/>
        <w:widowControl w:val="0"/>
        <w:kinsoku/>
        <w:wordWrap/>
        <w:overflowPunct/>
        <w:topLinePunct w:val="0"/>
        <w:autoSpaceDE/>
        <w:autoSpaceDN/>
        <w:bidi w:val="0"/>
        <w:adjustRightInd w:val="0"/>
        <w:snapToGrid w:val="0"/>
        <w:spacing w:afterLines="50" w:line="240" w:lineRule="auto"/>
        <w:ind w:firstLine="560" w:firstLineChars="200"/>
        <w:jc w:val="center"/>
        <w:textAlignment w:val="auto"/>
        <w:rPr>
          <w:rFonts w:hint="eastAsia" w:ascii="等线 Light" w:hAnsi="等线 Light" w:eastAsia="等线 Light" w:cs="Times New Roman"/>
          <w:b/>
          <w:color w:val="auto"/>
          <w:sz w:val="36"/>
          <w:szCs w:val="36"/>
          <w:highlight w:val="none"/>
        </w:rPr>
      </w:pPr>
      <w:r>
        <w:rPr>
          <w:rFonts w:hint="eastAsia" w:ascii="仿宋_GB2312" w:hAnsi="宋体" w:eastAsia="仿宋_GB2312"/>
          <w:b/>
          <w:bCs/>
          <w:color w:val="auto"/>
          <w:sz w:val="28"/>
          <w:szCs w:val="28"/>
          <w:highlight w:val="none"/>
          <w:lang w:val="en-US" w:eastAsia="zh-CN"/>
        </w:rPr>
        <w:t xml:space="preserve"> </w:t>
      </w:r>
    </w:p>
    <w:p w14:paraId="6EF8B9B1">
      <w:pPr>
        <w:keepNext w:val="0"/>
        <w:keepLines w:val="0"/>
        <w:pageBreakBefore w:val="0"/>
        <w:widowControl w:val="0"/>
        <w:kinsoku/>
        <w:wordWrap/>
        <w:overflowPunct/>
        <w:topLinePunct w:val="0"/>
        <w:autoSpaceDE/>
        <w:autoSpaceDN/>
        <w:bidi w:val="0"/>
        <w:adjustRightInd w:val="0"/>
        <w:snapToGrid w:val="0"/>
        <w:spacing w:afterLines="50" w:line="360" w:lineRule="auto"/>
        <w:ind w:firstLine="560" w:firstLineChars="200"/>
        <w:jc w:val="center"/>
        <w:textAlignment w:val="auto"/>
        <w:rPr>
          <w:rFonts w:ascii="等线 Light" w:hAnsi="等线 Light" w:eastAsia="等线 Light" w:cs="Times New Roman"/>
          <w:b/>
          <w:color w:val="auto"/>
          <w:sz w:val="28"/>
          <w:szCs w:val="28"/>
          <w:highlight w:val="none"/>
        </w:rPr>
      </w:pPr>
    </w:p>
    <w:p w14:paraId="3310DD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eastAsia" w:ascii="Times New Roman" w:hAnsi="Times New Roman" w:eastAsia="华文中宋" w:cs="Times New Roman"/>
          <w:b/>
          <w:bCs w:val="0"/>
          <w:snapToGrid w:val="0"/>
          <w:color w:val="auto"/>
          <w:kern w:val="0"/>
          <w:sz w:val="52"/>
          <w:szCs w:val="52"/>
          <w:highlight w:val="none"/>
          <w:lang w:eastAsia="zh-CN"/>
        </w:rPr>
      </w:pPr>
      <w:r>
        <w:rPr>
          <w:rFonts w:hint="eastAsia" w:ascii="Times New Roman" w:hAnsi="Times New Roman" w:eastAsia="华文中宋" w:cs="Times New Roman"/>
          <w:b/>
          <w:bCs w:val="0"/>
          <w:snapToGrid w:val="0"/>
          <w:color w:val="auto"/>
          <w:kern w:val="0"/>
          <w:sz w:val="52"/>
          <w:szCs w:val="52"/>
          <w:highlight w:val="none"/>
          <w:lang w:eastAsia="zh-CN"/>
        </w:rPr>
        <w:t>重庆市</w:t>
      </w:r>
      <w:r>
        <w:rPr>
          <w:rFonts w:hint="eastAsia" w:eastAsia="华文中宋" w:cs="Times New Roman"/>
          <w:b/>
          <w:bCs w:val="0"/>
          <w:snapToGrid w:val="0"/>
          <w:color w:val="auto"/>
          <w:kern w:val="0"/>
          <w:sz w:val="52"/>
          <w:szCs w:val="52"/>
          <w:highlight w:val="none"/>
          <w:lang w:val="en-US" w:eastAsia="zh-CN"/>
        </w:rPr>
        <w:t>秀山县石耶镇</w:t>
      </w:r>
    </w:p>
    <w:p w14:paraId="4001C6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bCs w:val="0"/>
          <w:snapToGrid w:val="0"/>
          <w:color w:val="auto"/>
          <w:kern w:val="0"/>
          <w:sz w:val="52"/>
          <w:szCs w:val="52"/>
          <w:highlight w:val="none"/>
          <w:lang w:eastAsia="zh-CN"/>
        </w:rPr>
      </w:pP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一</w:t>
      </w:r>
      <w:r>
        <w:rPr>
          <w:rFonts w:hint="eastAsia" w:eastAsia="华文中宋" w:cs="Times New Roman"/>
          <w:b/>
          <w:bCs w:val="0"/>
          <w:snapToGrid w:val="0"/>
          <w:color w:val="auto"/>
          <w:kern w:val="0"/>
          <w:sz w:val="52"/>
          <w:szCs w:val="52"/>
          <w:highlight w:val="none"/>
          <w:lang w:val="en-US" w:eastAsia="zh-CN"/>
        </w:rPr>
        <w:t>河</w:t>
      </w:r>
      <w:r>
        <w:rPr>
          <w:rFonts w:hint="eastAsia" w:ascii="Times New Roman" w:hAnsi="Times New Roman" w:eastAsia="华文中宋" w:cs="Times New Roman"/>
          <w:b/>
          <w:bCs w:val="0"/>
          <w:snapToGrid w:val="0"/>
          <w:color w:val="auto"/>
          <w:kern w:val="0"/>
          <w:sz w:val="52"/>
          <w:szCs w:val="52"/>
          <w:highlight w:val="none"/>
          <w:lang w:eastAsia="zh-CN"/>
        </w:rPr>
        <w:t>一策</w:t>
      </w:r>
      <w:r>
        <w:rPr>
          <w:rFonts w:hint="eastAsia" w:eastAsia="华文中宋" w:cs="Times New Roman"/>
          <w:b/>
          <w:bCs w:val="0"/>
          <w:snapToGrid w:val="0"/>
          <w:color w:val="auto"/>
          <w:kern w:val="0"/>
          <w:sz w:val="52"/>
          <w:szCs w:val="52"/>
          <w:highlight w:val="none"/>
          <w:lang w:eastAsia="zh-CN"/>
        </w:rPr>
        <w:t>”（</w:t>
      </w:r>
      <w:r>
        <w:rPr>
          <w:rFonts w:hint="eastAsia" w:eastAsia="华文中宋" w:cs="Times New Roman"/>
          <w:b/>
          <w:bCs w:val="0"/>
          <w:snapToGrid w:val="0"/>
          <w:color w:val="auto"/>
          <w:kern w:val="0"/>
          <w:sz w:val="52"/>
          <w:szCs w:val="52"/>
          <w:highlight w:val="none"/>
          <w:lang w:val="en-US" w:eastAsia="zh-CN"/>
        </w:rPr>
        <w:t>2021-2025年</w:t>
      </w:r>
      <w:r>
        <w:rPr>
          <w:rFonts w:hint="eastAsia" w:eastAsia="华文中宋" w:cs="Times New Roman"/>
          <w:b/>
          <w:bCs w:val="0"/>
          <w:snapToGrid w:val="0"/>
          <w:color w:val="auto"/>
          <w:kern w:val="0"/>
          <w:sz w:val="52"/>
          <w:szCs w:val="52"/>
          <w:highlight w:val="none"/>
          <w:lang w:eastAsia="zh-CN"/>
        </w:rPr>
        <w:t>）</w:t>
      </w:r>
      <w:r>
        <w:rPr>
          <w:rFonts w:hint="eastAsia" w:ascii="Times New Roman" w:hAnsi="Times New Roman" w:eastAsia="华文中宋" w:cs="Times New Roman"/>
          <w:b/>
          <w:bCs w:val="0"/>
          <w:snapToGrid w:val="0"/>
          <w:color w:val="auto"/>
          <w:kern w:val="0"/>
          <w:sz w:val="52"/>
          <w:szCs w:val="52"/>
          <w:highlight w:val="none"/>
          <w:lang w:eastAsia="zh-CN"/>
        </w:rPr>
        <w:t>方案</w:t>
      </w:r>
    </w:p>
    <w:p w14:paraId="26A302D1">
      <w:pPr>
        <w:adjustRightInd w:val="0"/>
        <w:snapToGrid w:val="0"/>
        <w:spacing w:afterLines="50" w:line="360" w:lineRule="auto"/>
        <w:jc w:val="center"/>
        <w:rPr>
          <w:rFonts w:ascii="华文中宋" w:hAnsi="华文中宋" w:eastAsia="华文中宋" w:cs="Times New Roman"/>
          <w:color w:val="auto"/>
          <w:kern w:val="0"/>
          <w:sz w:val="36"/>
          <w:szCs w:val="36"/>
          <w:highlight w:val="none"/>
        </w:rPr>
      </w:pPr>
    </w:p>
    <w:p w14:paraId="567FAEE2">
      <w:pPr>
        <w:adjustRightInd w:val="0"/>
        <w:snapToGrid w:val="0"/>
        <w:spacing w:afterLines="50" w:line="360" w:lineRule="auto"/>
        <w:jc w:val="center"/>
        <w:rPr>
          <w:rFonts w:ascii="宋体" w:hAnsi="宋体" w:eastAsia="宋体" w:cs="Times New Roman"/>
          <w:b/>
          <w:color w:val="auto"/>
          <w:sz w:val="30"/>
          <w:szCs w:val="30"/>
          <w:highlight w:val="none"/>
        </w:rPr>
      </w:pPr>
      <w:bookmarkStart w:id="150" w:name="_GoBack"/>
      <w:bookmarkEnd w:id="150"/>
    </w:p>
    <w:p w14:paraId="3411339C">
      <w:pPr>
        <w:adjustRightInd w:val="0"/>
        <w:snapToGrid w:val="0"/>
        <w:spacing w:afterLines="50" w:line="360" w:lineRule="auto"/>
        <w:jc w:val="center"/>
        <w:rPr>
          <w:rFonts w:ascii="宋体" w:hAnsi="宋体" w:eastAsia="宋体" w:cs="Times New Roman"/>
          <w:b/>
          <w:color w:val="auto"/>
          <w:sz w:val="36"/>
          <w:szCs w:val="36"/>
          <w:highlight w:val="none"/>
        </w:rPr>
      </w:pPr>
    </w:p>
    <w:p w14:paraId="433CD08D">
      <w:pPr>
        <w:pStyle w:val="20"/>
        <w:rPr>
          <w:rFonts w:hint="default" w:eastAsiaTheme="minorEastAsia"/>
          <w:color w:val="auto"/>
          <w:highlight w:val="none"/>
          <w:lang w:val="en-US" w:eastAsia="zh-CN"/>
        </w:rPr>
      </w:pPr>
      <w:r>
        <w:rPr>
          <w:rFonts w:hint="eastAsia"/>
          <w:color w:val="auto"/>
          <w:highlight w:val="none"/>
          <w:lang w:val="en-US" w:eastAsia="zh-CN"/>
        </w:rPr>
        <w:t xml:space="preserve">     </w:t>
      </w:r>
    </w:p>
    <w:p w14:paraId="750FDD01">
      <w:pPr>
        <w:pStyle w:val="20"/>
        <w:rPr>
          <w:color w:val="auto"/>
          <w:highlight w:val="none"/>
        </w:rPr>
      </w:pPr>
    </w:p>
    <w:p w14:paraId="4BD8EF4D">
      <w:pPr>
        <w:pStyle w:val="20"/>
        <w:rPr>
          <w:color w:val="auto"/>
          <w:highlight w:val="none"/>
        </w:rPr>
      </w:pPr>
    </w:p>
    <w:p w14:paraId="7B27703A">
      <w:pPr>
        <w:pStyle w:val="20"/>
        <w:rPr>
          <w:color w:val="auto"/>
          <w:highlight w:val="none"/>
        </w:rPr>
      </w:pPr>
    </w:p>
    <w:p w14:paraId="78C20689">
      <w:pPr>
        <w:pStyle w:val="20"/>
        <w:rPr>
          <w:color w:val="auto"/>
          <w:highlight w:val="none"/>
        </w:rPr>
      </w:pPr>
    </w:p>
    <w:p w14:paraId="23EF9F15">
      <w:pPr>
        <w:pStyle w:val="20"/>
        <w:rPr>
          <w:color w:val="auto"/>
          <w:highlight w:val="none"/>
        </w:rPr>
      </w:pPr>
    </w:p>
    <w:p w14:paraId="4E848515">
      <w:pPr>
        <w:spacing w:line="360" w:lineRule="auto"/>
        <w:ind w:left="1274" w:leftChars="607" w:right="1218" w:rightChars="580"/>
        <w:jc w:val="distribute"/>
        <w:textAlignment w:val="center"/>
        <w:rPr>
          <w:rFonts w:hint="default" w:ascii="Times New Roman" w:hAnsi="Times New Roman" w:eastAsia="黑体" w:cs="Times New Roman"/>
          <w:b/>
          <w:color w:val="auto"/>
          <w:sz w:val="36"/>
          <w:szCs w:val="36"/>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6"/>
          <w:szCs w:val="36"/>
          <w:highlight w:val="none"/>
        </w:rPr>
        <w:t>重庆元周工程技术咨询有限公司</w:t>
      </w:r>
    </w:p>
    <w:p w14:paraId="35B35E61">
      <w:pPr>
        <w:pStyle w:val="5"/>
        <w:ind w:firstLine="0" w:firstLineChars="0"/>
        <w:jc w:val="center"/>
        <w:rPr>
          <w:rFonts w:hint="eastAsia"/>
          <w:b/>
          <w:color w:val="auto"/>
          <w:sz w:val="32"/>
          <w:szCs w:val="32"/>
          <w:highlight w:val="none"/>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黑体" w:cs="Times New Roman"/>
          <w:b/>
          <w:color w:val="auto"/>
          <w:sz w:val="36"/>
          <w:szCs w:val="36"/>
          <w:highlight w:val="none"/>
        </w:rPr>
        <w:t>二〇</w:t>
      </w:r>
      <w:r>
        <w:rPr>
          <w:rFonts w:hint="eastAsia" w:ascii="Times New Roman" w:hAnsi="Times New Roman" w:eastAsia="黑体" w:cs="Times New Roman"/>
          <w:b/>
          <w:color w:val="auto"/>
          <w:sz w:val="36"/>
          <w:szCs w:val="36"/>
          <w:highlight w:val="none"/>
          <w:lang w:eastAsia="zh-CN"/>
        </w:rPr>
        <w:t>二一</w:t>
      </w:r>
      <w:r>
        <w:rPr>
          <w:rFonts w:hint="default" w:ascii="Times New Roman" w:hAnsi="Times New Roman" w:eastAsia="黑体" w:cs="Times New Roman"/>
          <w:b/>
          <w:color w:val="auto"/>
          <w:sz w:val="36"/>
          <w:szCs w:val="36"/>
          <w:highlight w:val="none"/>
        </w:rPr>
        <w:t>年</w:t>
      </w:r>
      <w:r>
        <w:rPr>
          <w:rFonts w:hint="eastAsia" w:eastAsia="黑体" w:cs="Times New Roman"/>
          <w:b/>
          <w:color w:val="auto"/>
          <w:sz w:val="36"/>
          <w:szCs w:val="36"/>
          <w:highlight w:val="none"/>
          <w:lang w:val="en-US" w:eastAsia="zh-CN"/>
        </w:rPr>
        <w:t>十一</w:t>
      </w:r>
      <w:r>
        <w:rPr>
          <w:rFonts w:hint="default" w:ascii="Times New Roman" w:hAnsi="Times New Roman" w:eastAsia="黑体" w:cs="Times New Roman"/>
          <w:b/>
          <w:color w:val="auto"/>
          <w:sz w:val="36"/>
          <w:szCs w:val="36"/>
          <w:highlight w:val="none"/>
        </w:rPr>
        <w:t>月</w:t>
      </w:r>
      <w:r>
        <w:rPr>
          <w:rFonts w:hint="eastAsia"/>
          <w:b/>
          <w:color w:val="auto"/>
          <w:sz w:val="32"/>
          <w:szCs w:val="32"/>
          <w:highlight w:val="none"/>
        </w:rPr>
        <w:br w:type="page"/>
      </w:r>
    </w:p>
    <w:p w14:paraId="0D09A95B">
      <w:pPr>
        <w:bidi w:val="0"/>
        <w:rPr>
          <w:rFonts w:hint="eastAsia"/>
          <w:color w:val="auto"/>
          <w:sz w:val="24"/>
          <w:szCs w:val="24"/>
          <w:highlight w:val="none"/>
          <w:lang w:eastAsia="zh-CN"/>
        </w:rPr>
      </w:pPr>
    </w:p>
    <w:p w14:paraId="1D9F0D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华文中宋" w:cs="Times New Roman"/>
          <w:b/>
          <w:snapToGrid w:val="0"/>
          <w:color w:val="auto"/>
          <w:kern w:val="0"/>
          <w:sz w:val="48"/>
          <w:szCs w:val="48"/>
          <w:highlight w:val="none"/>
          <w:lang w:val="en-US" w:eastAsia="zh-CN"/>
        </w:rPr>
      </w:pPr>
      <w:r>
        <w:rPr>
          <w:rFonts w:hint="eastAsia" w:ascii="Times New Roman" w:hAnsi="Times New Roman" w:eastAsia="华文中宋" w:cs="Times New Roman"/>
          <w:b/>
          <w:snapToGrid w:val="0"/>
          <w:color w:val="auto"/>
          <w:kern w:val="0"/>
          <w:sz w:val="48"/>
          <w:szCs w:val="48"/>
          <w:highlight w:val="none"/>
          <w:lang w:eastAsia="zh-CN"/>
        </w:rPr>
        <w:t>重庆市</w:t>
      </w:r>
      <w:r>
        <w:rPr>
          <w:rFonts w:hint="eastAsia" w:eastAsia="华文中宋" w:cs="Times New Roman"/>
          <w:b/>
          <w:snapToGrid w:val="0"/>
          <w:color w:val="auto"/>
          <w:kern w:val="0"/>
          <w:sz w:val="48"/>
          <w:szCs w:val="48"/>
          <w:highlight w:val="none"/>
          <w:lang w:val="en-US" w:eastAsia="zh-CN"/>
        </w:rPr>
        <w:t>秀山县石耶镇</w:t>
      </w:r>
    </w:p>
    <w:p w14:paraId="3E62A06B">
      <w:pPr>
        <w:snapToGrid w:val="0"/>
        <w:spacing w:line="360" w:lineRule="auto"/>
        <w:jc w:val="center"/>
        <w:rPr>
          <w:rFonts w:hint="default" w:ascii="Times New Roman" w:hAnsi="Times New Roman" w:cs="Times New Roman"/>
          <w:b/>
          <w:snapToGrid w:val="0"/>
          <w:color w:val="auto"/>
          <w:kern w:val="0"/>
          <w:sz w:val="48"/>
          <w:szCs w:val="48"/>
          <w:highlight w:val="none"/>
        </w:rPr>
      </w:pP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一</w:t>
      </w:r>
      <w:r>
        <w:rPr>
          <w:rFonts w:hint="eastAsia" w:eastAsia="华文中宋" w:cs="Times New Roman"/>
          <w:b/>
          <w:snapToGrid w:val="0"/>
          <w:color w:val="auto"/>
          <w:kern w:val="0"/>
          <w:sz w:val="48"/>
          <w:szCs w:val="48"/>
          <w:highlight w:val="none"/>
          <w:lang w:val="en-US" w:eastAsia="zh-CN"/>
        </w:rPr>
        <w:t>河</w:t>
      </w:r>
      <w:r>
        <w:rPr>
          <w:rFonts w:hint="eastAsia" w:ascii="Times New Roman" w:hAnsi="Times New Roman" w:eastAsia="华文中宋" w:cs="Times New Roman"/>
          <w:b/>
          <w:snapToGrid w:val="0"/>
          <w:color w:val="auto"/>
          <w:kern w:val="0"/>
          <w:sz w:val="48"/>
          <w:szCs w:val="48"/>
          <w:highlight w:val="none"/>
          <w:lang w:eastAsia="zh-CN"/>
        </w:rPr>
        <w:t>一策</w:t>
      </w:r>
      <w:r>
        <w:rPr>
          <w:rFonts w:hint="eastAsia" w:eastAsia="华文中宋" w:cs="Times New Roman"/>
          <w:b/>
          <w:snapToGrid w:val="0"/>
          <w:color w:val="auto"/>
          <w:kern w:val="0"/>
          <w:sz w:val="48"/>
          <w:szCs w:val="48"/>
          <w:highlight w:val="none"/>
          <w:lang w:eastAsia="zh-CN"/>
        </w:rPr>
        <w:t>”（</w:t>
      </w:r>
      <w:r>
        <w:rPr>
          <w:rFonts w:hint="eastAsia" w:eastAsia="华文中宋" w:cs="Times New Roman"/>
          <w:b/>
          <w:snapToGrid w:val="0"/>
          <w:color w:val="auto"/>
          <w:kern w:val="0"/>
          <w:sz w:val="48"/>
          <w:szCs w:val="48"/>
          <w:highlight w:val="none"/>
          <w:lang w:val="en-US" w:eastAsia="zh-CN"/>
        </w:rPr>
        <w:t>2021-2025年</w:t>
      </w:r>
      <w:r>
        <w:rPr>
          <w:rFonts w:hint="eastAsia" w:eastAsia="华文中宋" w:cs="Times New Roman"/>
          <w:b/>
          <w:snapToGrid w:val="0"/>
          <w:color w:val="auto"/>
          <w:kern w:val="0"/>
          <w:sz w:val="48"/>
          <w:szCs w:val="48"/>
          <w:highlight w:val="none"/>
          <w:lang w:eastAsia="zh-CN"/>
        </w:rPr>
        <w:t>）</w:t>
      </w:r>
      <w:r>
        <w:rPr>
          <w:rFonts w:hint="eastAsia" w:ascii="Times New Roman" w:hAnsi="Times New Roman" w:eastAsia="华文中宋" w:cs="Times New Roman"/>
          <w:b/>
          <w:snapToGrid w:val="0"/>
          <w:color w:val="auto"/>
          <w:kern w:val="0"/>
          <w:sz w:val="48"/>
          <w:szCs w:val="48"/>
          <w:highlight w:val="none"/>
          <w:lang w:eastAsia="zh-CN"/>
        </w:rPr>
        <w:t>方案</w:t>
      </w:r>
    </w:p>
    <w:p w14:paraId="466B3A2D">
      <w:pPr>
        <w:snapToGrid w:val="0"/>
        <w:spacing w:line="360" w:lineRule="auto"/>
        <w:rPr>
          <w:rFonts w:hint="default" w:ascii="Times New Roman" w:hAnsi="Times New Roman" w:cs="Times New Roman"/>
          <w:b/>
          <w:snapToGrid w:val="0"/>
          <w:color w:val="auto"/>
          <w:kern w:val="0"/>
          <w:sz w:val="48"/>
          <w:highlight w:val="none"/>
        </w:rPr>
      </w:pPr>
    </w:p>
    <w:p w14:paraId="53379539">
      <w:pPr>
        <w:pStyle w:val="2"/>
        <w:rPr>
          <w:rFonts w:hint="default"/>
        </w:rPr>
      </w:pPr>
    </w:p>
    <w:p w14:paraId="2395B5EB">
      <w:pPr>
        <w:snapToGrid w:val="0"/>
        <w:spacing w:line="360" w:lineRule="auto"/>
        <w:rPr>
          <w:rFonts w:hint="default" w:ascii="Times New Roman" w:hAnsi="Times New Roman" w:cs="Times New Roman"/>
          <w:b/>
          <w:snapToGrid w:val="0"/>
          <w:color w:val="auto"/>
          <w:kern w:val="0"/>
          <w:sz w:val="48"/>
          <w:highlight w:val="none"/>
        </w:rPr>
      </w:pPr>
    </w:p>
    <w:p w14:paraId="0EAC9539">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批    准：</w:t>
      </w:r>
    </w:p>
    <w:p w14:paraId="7482F364">
      <w:pPr>
        <w:keepNext w:val="0"/>
        <w:keepLines w:val="0"/>
        <w:pageBreakBefore w:val="0"/>
        <w:widowControl w:val="0"/>
        <w:kinsoku/>
        <w:wordWrap/>
        <w:overflowPunct/>
        <w:topLinePunct w:val="0"/>
        <w:autoSpaceDE/>
        <w:autoSpaceDN/>
        <w:bidi w:val="0"/>
        <w:adjustRightInd/>
        <w:snapToGrid w:val="0"/>
        <w:spacing w:line="288" w:lineRule="auto"/>
        <w:ind w:firstLine="3012" w:firstLineChars="1000"/>
        <w:textAlignment w:val="auto"/>
        <w:rPr>
          <w:rFonts w:hint="default" w:ascii="Times New Roman" w:hAnsi="Times New Roman" w:eastAsia="宋体" w:cs="Times New Roman"/>
          <w:b/>
          <w:snapToGrid w:val="0"/>
          <w:color w:val="auto"/>
          <w:kern w:val="0"/>
          <w:sz w:val="30"/>
          <w:highlight w:val="none"/>
          <w:lang w:val="en-US" w:eastAsia="zh-CN"/>
        </w:rPr>
      </w:pPr>
      <w:r>
        <w:rPr>
          <w:rFonts w:hint="eastAsia" w:ascii="Times New Roman" w:hAnsi="Times New Roman" w:cs="Times New Roman"/>
          <w:b/>
          <w:snapToGrid w:val="0"/>
          <w:color w:val="auto"/>
          <w:kern w:val="0"/>
          <w:sz w:val="30"/>
          <w:highlight w:val="none"/>
          <w:lang w:val="en-US" w:eastAsia="zh-CN"/>
        </w:rPr>
        <w:t>赵  万</w:t>
      </w:r>
    </w:p>
    <w:p w14:paraId="11E823F4">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审    定:</w:t>
      </w:r>
    </w:p>
    <w:p w14:paraId="2FBA3AC4">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14:paraId="0BC0A2C1">
      <w:pPr>
        <w:snapToGrid w:val="0"/>
        <w:spacing w:line="288" w:lineRule="auto"/>
        <w:ind w:firstLine="1205" w:firstLineChars="400"/>
        <w:rPr>
          <w:rFonts w:hint="eastAsia" w:ascii="Times New Roman" w:hAnsi="Times New Roman" w:eastAsia="宋体"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审    查：  </w:t>
      </w:r>
      <w:r>
        <w:rPr>
          <w:rFonts w:hint="eastAsia" w:ascii="Times New Roman" w:hAnsi="Times New Roman" w:cs="Times New Roman"/>
          <w:b/>
          <w:snapToGrid w:val="0"/>
          <w:color w:val="auto"/>
          <w:kern w:val="0"/>
          <w:sz w:val="30"/>
          <w:highlight w:val="none"/>
          <w:lang w:val="en-US" w:eastAsia="zh-CN"/>
        </w:rPr>
        <w:t>尹光军</w:t>
      </w:r>
    </w:p>
    <w:p w14:paraId="452911D6">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14:paraId="561C9D09">
      <w:pPr>
        <w:snapToGrid w:val="0"/>
        <w:spacing w:line="288" w:lineRule="auto"/>
        <w:ind w:firstLine="1205" w:firstLineChars="400"/>
        <w:rPr>
          <w:rFonts w:hint="default" w:ascii="Times New Roman" w:hAnsi="Times New Roman" w:cs="Times New Roman"/>
          <w:b/>
          <w:snapToGrid w:val="0"/>
          <w:color w:val="auto"/>
          <w:kern w:val="0"/>
          <w:sz w:val="30"/>
          <w:highlight w:val="none"/>
        </w:rPr>
      </w:pPr>
      <w:r>
        <w:rPr>
          <w:rFonts w:hint="default" w:ascii="Times New Roman" w:hAnsi="Times New Roman" w:cs="Times New Roman"/>
          <w:b/>
          <w:snapToGrid w:val="0"/>
          <w:color w:val="auto"/>
          <w:kern w:val="0"/>
          <w:sz w:val="30"/>
          <w:highlight w:val="none"/>
        </w:rPr>
        <w:t xml:space="preserve">校    核：  </w:t>
      </w:r>
      <w:r>
        <w:rPr>
          <w:rFonts w:hint="default" w:ascii="Times New Roman" w:hAnsi="Times New Roman" w:cs="Times New Roman"/>
          <w:b/>
          <w:snapToGrid w:val="0"/>
          <w:color w:val="auto"/>
          <w:kern w:val="0"/>
          <w:sz w:val="30"/>
          <w:highlight w:val="none"/>
          <w:lang w:val="en-US" w:eastAsia="zh-CN"/>
        </w:rPr>
        <w:t>许祖国</w:t>
      </w:r>
    </w:p>
    <w:p w14:paraId="671B12E5">
      <w:pPr>
        <w:snapToGrid w:val="0"/>
        <w:spacing w:line="288" w:lineRule="auto"/>
        <w:ind w:firstLine="901" w:firstLineChars="299"/>
        <w:rPr>
          <w:rFonts w:hint="default" w:ascii="Times New Roman" w:hAnsi="Times New Roman" w:cs="Times New Roman"/>
          <w:b/>
          <w:snapToGrid w:val="0"/>
          <w:color w:val="auto"/>
          <w:kern w:val="0"/>
          <w:sz w:val="30"/>
          <w:highlight w:val="none"/>
        </w:rPr>
      </w:pPr>
    </w:p>
    <w:p w14:paraId="09C0D279">
      <w:pPr>
        <w:snapToGrid w:val="0"/>
        <w:spacing w:line="480" w:lineRule="auto"/>
        <w:ind w:firstLine="1205" w:firstLineChars="400"/>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rPr>
        <w:t xml:space="preserve">编制人员：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eastAsia="zh-CN"/>
        </w:rPr>
        <w:t>郭娟如</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黎犹旺</w:t>
      </w:r>
      <w:r>
        <w:rPr>
          <w:rFonts w:hint="eastAsia" w:ascii="Times New Roman" w:hAnsi="Times New Roman" w:cs="Times New Roman"/>
          <w:b/>
          <w:snapToGrid w:val="0"/>
          <w:color w:val="auto"/>
          <w:kern w:val="0"/>
          <w:sz w:val="30"/>
          <w:highlight w:val="none"/>
          <w:lang w:val="en-US" w:eastAsia="zh-CN"/>
        </w:rPr>
        <w:t xml:space="preserve">    郭志恒</w:t>
      </w: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30"/>
          <w:highlight w:val="none"/>
          <w:lang w:val="en-US" w:eastAsia="zh-CN"/>
        </w:rPr>
        <w:t xml:space="preserve"> </w:t>
      </w:r>
    </w:p>
    <w:p w14:paraId="0DA3958C">
      <w:pPr>
        <w:keepNext w:val="0"/>
        <w:keepLines w:val="0"/>
        <w:pageBreakBefore w:val="0"/>
        <w:widowControl w:val="0"/>
        <w:kinsoku/>
        <w:wordWrap/>
        <w:overflowPunct/>
        <w:topLinePunct w:val="0"/>
        <w:autoSpaceDE/>
        <w:autoSpaceDN/>
        <w:bidi w:val="0"/>
        <w:adjustRightInd/>
        <w:snapToGrid w:val="0"/>
        <w:spacing w:line="480" w:lineRule="auto"/>
        <w:ind w:firstLine="904" w:firstLineChars="300"/>
        <w:textAlignment w:val="auto"/>
        <w:rPr>
          <w:rFonts w:hint="default" w:ascii="Times New Roman" w:hAnsi="Times New Roman" w:cs="Times New Roman"/>
          <w:b/>
          <w:snapToGrid w:val="0"/>
          <w:color w:val="auto"/>
          <w:kern w:val="0"/>
          <w:sz w:val="30"/>
          <w:highlight w:val="none"/>
          <w:lang w:val="en-US" w:eastAsia="zh-CN"/>
        </w:rPr>
      </w:pPr>
      <w:r>
        <w:rPr>
          <w:rFonts w:hint="default" w:ascii="Times New Roman" w:hAnsi="Times New Roman" w:cs="Times New Roman"/>
          <w:b/>
          <w:snapToGrid w:val="0"/>
          <w:color w:val="auto"/>
          <w:kern w:val="0"/>
          <w:sz w:val="30"/>
          <w:highlight w:val="none"/>
          <w:lang w:val="en-US" w:eastAsia="zh-CN"/>
        </w:rPr>
        <w:t xml:space="preserve">         </w:t>
      </w:r>
      <w:r>
        <w:rPr>
          <w:rFonts w:hint="default" w:ascii="Times New Roman" w:hAnsi="Times New Roman" w:cs="Times New Roman"/>
          <w:b/>
          <w:snapToGrid w:val="0"/>
          <w:color w:val="auto"/>
          <w:kern w:val="0"/>
          <w:sz w:val="21"/>
          <w:szCs w:val="21"/>
          <w:highlight w:val="none"/>
          <w:lang w:val="en-US" w:eastAsia="zh-CN"/>
        </w:rPr>
        <w:t xml:space="preserve">     </w:t>
      </w:r>
      <w:r>
        <w:rPr>
          <w:rFonts w:hint="default" w:ascii="Times New Roman" w:hAnsi="Times New Roman" w:cs="Times New Roman"/>
          <w:b/>
          <w:snapToGrid w:val="0"/>
          <w:color w:val="auto"/>
          <w:kern w:val="0"/>
          <w:sz w:val="21"/>
          <w:szCs w:val="21"/>
          <w:highlight w:val="none"/>
        </w:rPr>
        <w:t xml:space="preserve">  </w:t>
      </w:r>
      <w:r>
        <w:rPr>
          <w:rFonts w:hint="eastAsia" w:ascii="Times New Roman" w:hAnsi="Times New Roman" w:cs="Times New Roman"/>
          <w:b/>
          <w:snapToGrid w:val="0"/>
          <w:color w:val="auto"/>
          <w:kern w:val="0"/>
          <w:sz w:val="30"/>
          <w:highlight w:val="none"/>
          <w:lang w:val="en-US" w:eastAsia="zh-CN"/>
        </w:rPr>
        <w:t xml:space="preserve">夏  芬    崔欣宇    </w:t>
      </w:r>
      <w:r>
        <w:rPr>
          <w:rFonts w:hint="default" w:ascii="Times New Roman" w:hAnsi="Times New Roman" w:cs="Times New Roman"/>
          <w:b/>
          <w:snapToGrid w:val="0"/>
          <w:color w:val="auto"/>
          <w:kern w:val="0"/>
          <w:sz w:val="30"/>
          <w:highlight w:val="none"/>
          <w:lang w:val="en-US" w:eastAsia="zh-CN"/>
        </w:rPr>
        <w:t>柯</w:t>
      </w:r>
      <w:r>
        <w:rPr>
          <w:rFonts w:hint="eastAsia" w:ascii="Times New Roman" w:hAnsi="Times New Roman" w:cs="Times New Roman"/>
          <w:b/>
          <w:snapToGrid w:val="0"/>
          <w:color w:val="auto"/>
          <w:kern w:val="0"/>
          <w:sz w:val="30"/>
          <w:highlight w:val="none"/>
          <w:lang w:val="en-US" w:eastAsia="zh-CN"/>
        </w:rPr>
        <w:t>思扬</w:t>
      </w:r>
    </w:p>
    <w:p w14:paraId="2B7FBF25">
      <w:pPr>
        <w:keepNext w:val="0"/>
        <w:keepLines w:val="0"/>
        <w:pageBreakBefore w:val="0"/>
        <w:widowControl w:val="0"/>
        <w:kinsoku/>
        <w:wordWrap/>
        <w:overflowPunct/>
        <w:topLinePunct w:val="0"/>
        <w:autoSpaceDE/>
        <w:autoSpaceDN/>
        <w:bidi w:val="0"/>
        <w:adjustRightInd/>
        <w:snapToGrid w:val="0"/>
        <w:spacing w:line="480" w:lineRule="auto"/>
        <w:textAlignment w:val="auto"/>
        <w:rPr>
          <w:rFonts w:hint="default" w:ascii="Times New Roman" w:hAnsi="Times New Roman" w:cs="Times New Roman"/>
          <w:b/>
          <w:snapToGrid w:val="0"/>
          <w:color w:val="auto"/>
          <w:kern w:val="0"/>
          <w:sz w:val="21"/>
          <w:szCs w:val="21"/>
          <w:highlight w:val="none"/>
          <w:lang w:val="en-US"/>
        </w:rPr>
      </w:pPr>
      <w:r>
        <w:rPr>
          <w:rFonts w:hint="default" w:ascii="Times New Roman" w:hAnsi="Times New Roman" w:cs="Times New Roman"/>
          <w:b/>
          <w:snapToGrid w:val="0"/>
          <w:color w:val="auto"/>
          <w:kern w:val="0"/>
          <w:sz w:val="30"/>
          <w:highlight w:val="none"/>
          <w:lang w:val="en-US" w:eastAsia="zh-CN"/>
        </w:rPr>
        <w:t xml:space="preserve"> </w:t>
      </w:r>
      <w:r>
        <w:rPr>
          <w:rFonts w:hint="eastAsia" w:ascii="Times New Roman" w:hAnsi="Times New Roman" w:cs="Times New Roman"/>
          <w:b/>
          <w:snapToGrid w:val="0"/>
          <w:color w:val="auto"/>
          <w:kern w:val="0"/>
          <w:sz w:val="30"/>
          <w:highlight w:val="none"/>
          <w:lang w:val="en-US" w:eastAsia="zh-CN"/>
        </w:rPr>
        <w:t xml:space="preserve">                   </w:t>
      </w:r>
    </w:p>
    <w:p w14:paraId="21A2B2A9">
      <w:pPr>
        <w:snapToGrid w:val="0"/>
        <w:spacing w:line="480" w:lineRule="auto"/>
        <w:ind w:firstLine="630" w:firstLineChars="299"/>
        <w:rPr>
          <w:rFonts w:hint="default" w:ascii="Times New Roman" w:hAnsi="Times New Roman" w:cs="Times New Roman"/>
          <w:b/>
          <w:snapToGrid w:val="0"/>
          <w:color w:val="auto"/>
          <w:kern w:val="0"/>
          <w:sz w:val="21"/>
          <w:szCs w:val="21"/>
          <w:highlight w:val="none"/>
        </w:rPr>
      </w:pPr>
      <w:r>
        <w:rPr>
          <w:rFonts w:hint="default" w:ascii="Times New Roman" w:hAnsi="Times New Roman" w:cs="Times New Roman"/>
          <w:b/>
          <w:snapToGrid w:val="0"/>
          <w:color w:val="auto"/>
          <w:kern w:val="0"/>
          <w:sz w:val="21"/>
          <w:szCs w:val="21"/>
          <w:highlight w:val="none"/>
        </w:rPr>
        <w:t xml:space="preserve">              </w:t>
      </w:r>
    </w:p>
    <w:p w14:paraId="1A9E2432">
      <w:pPr>
        <w:rPr>
          <w:rFonts w:hint="default" w:ascii="Times New Roman" w:hAnsi="Times New Roman" w:cs="Times New Roman"/>
          <w:b/>
          <w:snapToGrid w:val="0"/>
          <w:color w:val="auto"/>
          <w:kern w:val="0"/>
          <w:sz w:val="21"/>
          <w:szCs w:val="21"/>
          <w:highlight w:val="none"/>
        </w:rPr>
      </w:pPr>
    </w:p>
    <w:p w14:paraId="438B765E">
      <w:pPr>
        <w:rPr>
          <w:rFonts w:hint="default" w:ascii="Times New Roman" w:hAnsi="Times New Roman" w:cs="Times New Roman"/>
          <w:b/>
          <w:snapToGrid w:val="0"/>
          <w:color w:val="auto"/>
          <w:kern w:val="0"/>
          <w:sz w:val="21"/>
          <w:szCs w:val="21"/>
          <w:highlight w:val="none"/>
        </w:rPr>
      </w:pPr>
    </w:p>
    <w:p w14:paraId="04E011F8">
      <w:pPr>
        <w:rPr>
          <w:rFonts w:hint="default" w:ascii="Times New Roman" w:hAnsi="Times New Roman" w:cs="Times New Roman"/>
          <w:b/>
          <w:snapToGrid w:val="0"/>
          <w:color w:val="auto"/>
          <w:kern w:val="0"/>
          <w:sz w:val="21"/>
          <w:szCs w:val="21"/>
          <w:highlight w:val="none"/>
        </w:rPr>
      </w:pPr>
    </w:p>
    <w:p w14:paraId="18C6AFA4">
      <w:pPr>
        <w:spacing w:line="360" w:lineRule="auto"/>
        <w:ind w:left="1275" w:leftChars="607" w:right="1218" w:rightChars="580"/>
        <w:jc w:val="distribute"/>
        <w:textAlignment w:val="center"/>
        <w:rPr>
          <w:rFonts w:hint="default" w:ascii="Times New Roman" w:hAnsi="Times New Roman" w:eastAsia="黑体" w:cs="Times New Roman"/>
          <w:b/>
          <w:color w:val="auto"/>
          <w:sz w:val="32"/>
          <w:szCs w:val="32"/>
          <w:highlight w:val="none"/>
        </w:rPr>
      </w:pPr>
      <w:r>
        <w:rPr>
          <w:rFonts w:hint="default" w:ascii="Times New Roman" w:hAnsi="Times New Roman" w:eastAsia="黑体" w:cs="Times New Roman"/>
          <w:b/>
          <w:color w:val="auto"/>
          <w:sz w:val="36"/>
          <w:szCs w:val="36"/>
          <w:highlight w:val="none"/>
        </w:rPr>
        <w:drawing>
          <wp:inline distT="0" distB="0" distL="114300" distR="114300">
            <wp:extent cx="380365" cy="586740"/>
            <wp:effectExtent l="0" t="0" r="635" b="38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380365" cy="586740"/>
                    </a:xfrm>
                    <a:prstGeom prst="rect">
                      <a:avLst/>
                    </a:prstGeom>
                    <a:noFill/>
                    <a:ln>
                      <a:noFill/>
                    </a:ln>
                  </pic:spPr>
                </pic:pic>
              </a:graphicData>
            </a:graphic>
          </wp:inline>
        </w:drawing>
      </w:r>
      <w:r>
        <w:rPr>
          <w:rFonts w:hint="default" w:ascii="Times New Roman" w:hAnsi="Times New Roman" w:eastAsia="黑体" w:cs="Times New Roman"/>
          <w:b/>
          <w:color w:val="auto"/>
          <w:sz w:val="32"/>
          <w:szCs w:val="32"/>
          <w:highlight w:val="none"/>
        </w:rPr>
        <w:t>重庆元周工程技术咨询有限公司</w:t>
      </w:r>
    </w:p>
    <w:p w14:paraId="7B0CCC15">
      <w:pPr>
        <w:pStyle w:val="2"/>
        <w:jc w:val="center"/>
        <w:rPr>
          <w:rFonts w:hint="default" w:ascii="Times New Roman" w:hAnsi="Times New Roman" w:eastAsia="黑体" w:cs="Times New Roman"/>
          <w:b/>
          <w:color w:val="auto"/>
          <w:sz w:val="32"/>
          <w:szCs w:val="32"/>
          <w:highlight w:val="none"/>
        </w:rPr>
        <w:sectPr>
          <w:pgSz w:w="11906" w:h="16838"/>
          <w:pgMar w:top="1440" w:right="1800" w:bottom="1440" w:left="1800" w:header="851" w:footer="992" w:gutter="0"/>
          <w:cols w:space="720" w:num="1"/>
          <w:docGrid w:type="lines" w:linePitch="312" w:charSpace="0"/>
        </w:sectPr>
      </w:pPr>
      <w:r>
        <w:rPr>
          <w:rFonts w:hint="default" w:ascii="Times New Roman" w:hAnsi="Times New Roman" w:eastAsia="黑体" w:cs="Times New Roman"/>
          <w:b/>
          <w:color w:val="auto"/>
          <w:sz w:val="32"/>
          <w:szCs w:val="32"/>
          <w:highlight w:val="none"/>
        </w:rPr>
        <w:t>二〇二</w:t>
      </w:r>
      <w:r>
        <w:rPr>
          <w:rFonts w:hint="eastAsia" w:eastAsia="黑体" w:cs="Times New Roman"/>
          <w:b/>
          <w:color w:val="auto"/>
          <w:sz w:val="32"/>
          <w:szCs w:val="32"/>
          <w:highlight w:val="none"/>
          <w:lang w:eastAsia="zh-CN"/>
        </w:rPr>
        <w:t>一</w:t>
      </w:r>
      <w:r>
        <w:rPr>
          <w:rFonts w:hint="default" w:ascii="Times New Roman" w:hAnsi="Times New Roman" w:eastAsia="黑体" w:cs="Times New Roman"/>
          <w:b/>
          <w:color w:val="auto"/>
          <w:sz w:val="32"/>
          <w:szCs w:val="32"/>
          <w:highlight w:val="none"/>
        </w:rPr>
        <w:t>年</w:t>
      </w:r>
      <w:r>
        <w:rPr>
          <w:rFonts w:hint="eastAsia" w:eastAsia="黑体" w:cs="Times New Roman"/>
          <w:b/>
          <w:color w:val="auto"/>
          <w:sz w:val="32"/>
          <w:szCs w:val="32"/>
          <w:highlight w:val="none"/>
          <w:lang w:val="en-US" w:eastAsia="zh-CN"/>
        </w:rPr>
        <w:t>十一</w:t>
      </w:r>
      <w:r>
        <w:rPr>
          <w:rFonts w:hint="default" w:ascii="Times New Roman" w:hAnsi="Times New Roman" w:eastAsia="黑体" w:cs="Times New Roman"/>
          <w:b/>
          <w:color w:val="auto"/>
          <w:sz w:val="32"/>
          <w:szCs w:val="32"/>
          <w:highlight w:val="none"/>
        </w:rPr>
        <w:t>月</w:t>
      </w:r>
    </w:p>
    <w:p w14:paraId="251A4FA6">
      <w:pPr>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b/>
          <w:snapToGrid w:val="0"/>
          <w:color w:val="auto"/>
          <w:kern w:val="0"/>
          <w:sz w:val="32"/>
          <w:szCs w:val="32"/>
          <w:highlight w:val="none"/>
        </w:rPr>
      </w:pPr>
    </w:p>
    <w:p w14:paraId="201E7BC2">
      <w:pPr>
        <w:pStyle w:val="5"/>
        <w:ind w:firstLine="0" w:firstLineChars="0"/>
        <w:jc w:val="both"/>
        <w:rPr>
          <w:rFonts w:hint="eastAsia"/>
          <w:b/>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r>
        <w:rPr>
          <w:rFonts w:hint="default" w:ascii="Times New Roman" w:hAnsi="Times New Roman" w:eastAsia="宋体" w:cs="Times New Roman"/>
          <w:color w:val="auto"/>
          <w:highlight w:val="none"/>
          <w:lang w:eastAsia="zh-CN"/>
        </w:rPr>
        <w:drawing>
          <wp:inline distT="0" distB="0" distL="114300" distR="114300">
            <wp:extent cx="7672705" cy="5425440"/>
            <wp:effectExtent l="0" t="0" r="3810" b="4445"/>
            <wp:docPr id="131" name="图片 131" descr="微信图片_20180702160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微信图片_20180702160710"/>
                    <pic:cNvPicPr>
                      <a:picLocks noChangeAspect="1"/>
                    </pic:cNvPicPr>
                  </pic:nvPicPr>
                  <pic:blipFill>
                    <a:blip r:embed="rId9"/>
                    <a:stretch>
                      <a:fillRect/>
                    </a:stretch>
                  </pic:blipFill>
                  <pic:spPr>
                    <a:xfrm rot="16200000">
                      <a:off x="0" y="0"/>
                      <a:ext cx="7672705" cy="5425440"/>
                    </a:xfrm>
                    <a:prstGeom prst="rect">
                      <a:avLst/>
                    </a:prstGeom>
                  </pic:spPr>
                </pic:pic>
              </a:graphicData>
            </a:graphic>
          </wp:inline>
        </w:drawing>
      </w:r>
    </w:p>
    <w:p w14:paraId="607D0A55">
      <w:pPr>
        <w:pStyle w:val="5"/>
        <w:ind w:firstLine="0" w:firstLineChars="0"/>
        <w:jc w:val="center"/>
        <w:rPr>
          <w:rFonts w:hint="eastAsia" w:ascii="黑体" w:hAnsi="黑体" w:eastAsia="黑体" w:cs="黑体"/>
          <w:b w:val="0"/>
          <w:bCs/>
          <w:color w:val="auto"/>
          <w:sz w:val="36"/>
          <w:szCs w:val="36"/>
          <w:highlight w:val="none"/>
        </w:rPr>
      </w:pPr>
      <w:r>
        <w:rPr>
          <w:rFonts w:hint="eastAsia" w:ascii="黑体" w:hAnsi="黑体" w:eastAsia="黑体" w:cs="黑体"/>
          <w:b w:val="0"/>
          <w:bCs/>
          <w:color w:val="auto"/>
          <w:sz w:val="36"/>
          <w:szCs w:val="36"/>
          <w:highlight w:val="none"/>
        </w:rPr>
        <w:t>目  录</w:t>
      </w:r>
    </w:p>
    <w:p w14:paraId="787F1A06">
      <w:pPr>
        <w:pStyle w:val="18"/>
        <w:tabs>
          <w:tab w:val="right" w:leader="dot" w:pos="8306"/>
        </w:tabs>
      </w:pPr>
      <w:r>
        <w:rPr>
          <w:color w:val="auto"/>
          <w:highlight w:val="none"/>
        </w:rPr>
        <w:fldChar w:fldCharType="begin"/>
      </w:r>
      <w:r>
        <w:rPr>
          <w:color w:val="auto"/>
          <w:highlight w:val="none"/>
        </w:rPr>
        <w:instrText xml:space="preserve">TOC \o "1-2" \h \u </w:instrText>
      </w:r>
      <w:r>
        <w:rPr>
          <w:color w:val="auto"/>
          <w:highlight w:val="none"/>
        </w:rPr>
        <w:fldChar w:fldCharType="separate"/>
      </w:r>
      <w:r>
        <w:rPr>
          <w:color w:val="auto"/>
          <w:highlight w:val="none"/>
        </w:rPr>
        <w:fldChar w:fldCharType="begin"/>
      </w:r>
      <w:r>
        <w:rPr>
          <w:highlight w:val="none"/>
        </w:rPr>
        <w:instrText xml:space="preserve"> HYPERLINK \l _Toc31393 </w:instrText>
      </w:r>
      <w:r>
        <w:rPr>
          <w:highlight w:val="none"/>
        </w:rPr>
        <w:fldChar w:fldCharType="separate"/>
      </w:r>
      <w:r>
        <w:rPr>
          <w:rFonts w:hint="eastAsia"/>
          <w:lang w:eastAsia="zh-CN"/>
        </w:rPr>
        <w:t>前</w:t>
      </w:r>
      <w:r>
        <w:rPr>
          <w:rFonts w:hint="eastAsia"/>
          <w:lang w:val="en-US" w:eastAsia="zh-CN"/>
        </w:rPr>
        <w:t xml:space="preserve">  </w:t>
      </w:r>
      <w:r>
        <w:rPr>
          <w:rFonts w:hint="eastAsia"/>
          <w:lang w:eastAsia="zh-CN"/>
        </w:rPr>
        <w:t>言</w:t>
      </w:r>
      <w:r>
        <w:tab/>
      </w:r>
      <w:r>
        <w:fldChar w:fldCharType="begin"/>
      </w:r>
      <w:r>
        <w:instrText xml:space="preserve"> PAGEREF _Toc31393 \h </w:instrText>
      </w:r>
      <w:r>
        <w:fldChar w:fldCharType="separate"/>
      </w:r>
      <w:r>
        <w:t>1</w:t>
      </w:r>
      <w:r>
        <w:fldChar w:fldCharType="end"/>
      </w:r>
      <w:r>
        <w:rPr>
          <w:color w:val="auto"/>
          <w:highlight w:val="none"/>
        </w:rPr>
        <w:fldChar w:fldCharType="end"/>
      </w:r>
    </w:p>
    <w:p w14:paraId="24A98927">
      <w:pPr>
        <w:pStyle w:val="18"/>
        <w:tabs>
          <w:tab w:val="right" w:leader="dot" w:pos="8306"/>
        </w:tabs>
      </w:pPr>
      <w:r>
        <w:rPr>
          <w:color w:val="auto"/>
          <w:highlight w:val="none"/>
        </w:rPr>
        <w:fldChar w:fldCharType="begin"/>
      </w:r>
      <w:r>
        <w:rPr>
          <w:highlight w:val="none"/>
        </w:rPr>
        <w:instrText xml:space="preserve"> HYPERLINK \l _Toc7090 </w:instrText>
      </w:r>
      <w:r>
        <w:rPr>
          <w:highlight w:val="none"/>
        </w:rPr>
        <w:fldChar w:fldCharType="separate"/>
      </w:r>
      <w:r>
        <w:rPr>
          <w:rFonts w:hint="default" w:ascii="Times New Roman" w:hAnsi="Times New Roman" w:eastAsia="宋体" w:cs="Times New Roman"/>
          <w:lang w:eastAsia="zh-CN"/>
        </w:rPr>
        <w:t xml:space="preserve">1 </w:t>
      </w:r>
      <w:r>
        <w:rPr>
          <w:rFonts w:hint="eastAsia"/>
          <w:highlight w:val="none"/>
          <w:lang w:eastAsia="zh-CN"/>
        </w:rPr>
        <w:t>综合说明</w:t>
      </w:r>
      <w:r>
        <w:tab/>
      </w:r>
      <w:r>
        <w:fldChar w:fldCharType="begin"/>
      </w:r>
      <w:r>
        <w:instrText xml:space="preserve"> PAGEREF _Toc7090 \h </w:instrText>
      </w:r>
      <w:r>
        <w:fldChar w:fldCharType="separate"/>
      </w:r>
      <w:r>
        <w:t>3</w:t>
      </w:r>
      <w:r>
        <w:fldChar w:fldCharType="end"/>
      </w:r>
      <w:r>
        <w:rPr>
          <w:color w:val="auto"/>
          <w:highlight w:val="none"/>
        </w:rPr>
        <w:fldChar w:fldCharType="end"/>
      </w:r>
    </w:p>
    <w:p w14:paraId="31FD88C2">
      <w:pPr>
        <w:pStyle w:val="19"/>
        <w:tabs>
          <w:tab w:val="right" w:leader="dot" w:pos="8306"/>
        </w:tabs>
      </w:pPr>
      <w:r>
        <w:rPr>
          <w:color w:val="auto"/>
          <w:highlight w:val="none"/>
        </w:rPr>
        <w:fldChar w:fldCharType="begin"/>
      </w:r>
      <w:r>
        <w:rPr>
          <w:highlight w:val="none"/>
        </w:rPr>
        <w:instrText xml:space="preserve"> HYPERLINK \l _Toc18228 </w:instrText>
      </w:r>
      <w:r>
        <w:rPr>
          <w:highlight w:val="none"/>
        </w:rPr>
        <w:fldChar w:fldCharType="separate"/>
      </w:r>
      <w:r>
        <w:rPr>
          <w:rFonts w:hint="eastAsia"/>
        </w:rPr>
        <w:t xml:space="preserve">1.1 </w:t>
      </w:r>
      <w:r>
        <w:rPr>
          <w:rFonts w:hint="eastAsia"/>
          <w:highlight w:val="none"/>
        </w:rPr>
        <w:t>编制依据</w:t>
      </w:r>
      <w:r>
        <w:tab/>
      </w:r>
      <w:r>
        <w:fldChar w:fldCharType="begin"/>
      </w:r>
      <w:r>
        <w:instrText xml:space="preserve"> PAGEREF _Toc18228 \h </w:instrText>
      </w:r>
      <w:r>
        <w:fldChar w:fldCharType="separate"/>
      </w:r>
      <w:r>
        <w:t>3</w:t>
      </w:r>
      <w:r>
        <w:fldChar w:fldCharType="end"/>
      </w:r>
      <w:r>
        <w:rPr>
          <w:color w:val="auto"/>
          <w:highlight w:val="none"/>
        </w:rPr>
        <w:fldChar w:fldCharType="end"/>
      </w:r>
    </w:p>
    <w:p w14:paraId="610D843A">
      <w:pPr>
        <w:pStyle w:val="19"/>
        <w:tabs>
          <w:tab w:val="right" w:leader="dot" w:pos="8306"/>
        </w:tabs>
      </w:pPr>
      <w:r>
        <w:rPr>
          <w:color w:val="auto"/>
          <w:highlight w:val="none"/>
        </w:rPr>
        <w:fldChar w:fldCharType="begin"/>
      </w:r>
      <w:r>
        <w:rPr>
          <w:highlight w:val="none"/>
        </w:rPr>
        <w:instrText xml:space="preserve"> HYPERLINK \l _Toc2747 </w:instrText>
      </w:r>
      <w:r>
        <w:rPr>
          <w:highlight w:val="none"/>
        </w:rPr>
        <w:fldChar w:fldCharType="separate"/>
      </w:r>
      <w:r>
        <w:rPr>
          <w:rFonts w:hint="eastAsia"/>
        </w:rPr>
        <w:t xml:space="preserve">1.2 </w:t>
      </w:r>
      <w:r>
        <w:rPr>
          <w:rFonts w:hint="eastAsia"/>
          <w:highlight w:val="none"/>
        </w:rPr>
        <w:t>编制对象</w:t>
      </w:r>
      <w:r>
        <w:tab/>
      </w:r>
      <w:r>
        <w:fldChar w:fldCharType="begin"/>
      </w:r>
      <w:r>
        <w:instrText xml:space="preserve"> PAGEREF _Toc2747 \h </w:instrText>
      </w:r>
      <w:r>
        <w:fldChar w:fldCharType="separate"/>
      </w:r>
      <w:r>
        <w:t>6</w:t>
      </w:r>
      <w:r>
        <w:fldChar w:fldCharType="end"/>
      </w:r>
      <w:r>
        <w:rPr>
          <w:color w:val="auto"/>
          <w:highlight w:val="none"/>
        </w:rPr>
        <w:fldChar w:fldCharType="end"/>
      </w:r>
    </w:p>
    <w:p w14:paraId="09503BAD">
      <w:pPr>
        <w:pStyle w:val="19"/>
        <w:tabs>
          <w:tab w:val="right" w:leader="dot" w:pos="8306"/>
        </w:tabs>
      </w:pPr>
      <w:r>
        <w:rPr>
          <w:color w:val="auto"/>
          <w:highlight w:val="none"/>
        </w:rPr>
        <w:fldChar w:fldCharType="begin"/>
      </w:r>
      <w:r>
        <w:rPr>
          <w:highlight w:val="none"/>
        </w:rPr>
        <w:instrText xml:space="preserve"> HYPERLINK \l _Toc22387 </w:instrText>
      </w:r>
      <w:r>
        <w:rPr>
          <w:highlight w:val="none"/>
        </w:rPr>
        <w:fldChar w:fldCharType="separate"/>
      </w:r>
      <w:r>
        <w:rPr>
          <w:rFonts w:hint="eastAsia"/>
        </w:rPr>
        <w:t xml:space="preserve">1.3 </w:t>
      </w:r>
      <w:r>
        <w:rPr>
          <w:rFonts w:hint="eastAsia"/>
          <w:highlight w:val="none"/>
        </w:rPr>
        <w:t>编制主体</w:t>
      </w:r>
      <w:r>
        <w:tab/>
      </w:r>
      <w:r>
        <w:fldChar w:fldCharType="begin"/>
      </w:r>
      <w:r>
        <w:instrText xml:space="preserve"> PAGEREF _Toc22387 \h </w:instrText>
      </w:r>
      <w:r>
        <w:fldChar w:fldCharType="separate"/>
      </w:r>
      <w:r>
        <w:t>6</w:t>
      </w:r>
      <w:r>
        <w:fldChar w:fldCharType="end"/>
      </w:r>
      <w:r>
        <w:rPr>
          <w:color w:val="auto"/>
          <w:highlight w:val="none"/>
        </w:rPr>
        <w:fldChar w:fldCharType="end"/>
      </w:r>
    </w:p>
    <w:p w14:paraId="3D76F0A9">
      <w:pPr>
        <w:pStyle w:val="19"/>
        <w:tabs>
          <w:tab w:val="right" w:leader="dot" w:pos="8306"/>
        </w:tabs>
      </w:pPr>
      <w:r>
        <w:rPr>
          <w:color w:val="auto"/>
          <w:highlight w:val="none"/>
        </w:rPr>
        <w:fldChar w:fldCharType="begin"/>
      </w:r>
      <w:r>
        <w:rPr>
          <w:highlight w:val="none"/>
        </w:rPr>
        <w:instrText xml:space="preserve"> HYPERLINK \l _Toc12053 </w:instrText>
      </w:r>
      <w:r>
        <w:rPr>
          <w:highlight w:val="none"/>
        </w:rPr>
        <w:fldChar w:fldCharType="separate"/>
      </w:r>
      <w:r>
        <w:rPr>
          <w:rFonts w:hint="eastAsia"/>
        </w:rPr>
        <w:t xml:space="preserve">1.4 </w:t>
      </w:r>
      <w:r>
        <w:rPr>
          <w:rFonts w:hint="eastAsia"/>
          <w:highlight w:val="none"/>
        </w:rPr>
        <w:t>实施周期</w:t>
      </w:r>
      <w:r>
        <w:tab/>
      </w:r>
      <w:r>
        <w:fldChar w:fldCharType="begin"/>
      </w:r>
      <w:r>
        <w:instrText xml:space="preserve"> PAGEREF _Toc12053 \h </w:instrText>
      </w:r>
      <w:r>
        <w:fldChar w:fldCharType="separate"/>
      </w:r>
      <w:r>
        <w:t>7</w:t>
      </w:r>
      <w:r>
        <w:fldChar w:fldCharType="end"/>
      </w:r>
      <w:r>
        <w:rPr>
          <w:color w:val="auto"/>
          <w:highlight w:val="none"/>
        </w:rPr>
        <w:fldChar w:fldCharType="end"/>
      </w:r>
    </w:p>
    <w:p w14:paraId="1EB35246">
      <w:pPr>
        <w:pStyle w:val="19"/>
        <w:tabs>
          <w:tab w:val="right" w:leader="dot" w:pos="8306"/>
        </w:tabs>
      </w:pPr>
      <w:r>
        <w:rPr>
          <w:color w:val="auto"/>
          <w:highlight w:val="none"/>
        </w:rPr>
        <w:fldChar w:fldCharType="begin"/>
      </w:r>
      <w:r>
        <w:rPr>
          <w:highlight w:val="none"/>
        </w:rPr>
        <w:instrText xml:space="preserve"> HYPERLINK \l _Toc9157 </w:instrText>
      </w:r>
      <w:r>
        <w:rPr>
          <w:highlight w:val="none"/>
        </w:rPr>
        <w:fldChar w:fldCharType="separate"/>
      </w:r>
      <w:r>
        <w:rPr>
          <w:rFonts w:hint="eastAsia"/>
        </w:rPr>
        <w:t xml:space="preserve">1.5 </w:t>
      </w:r>
      <w:r>
        <w:rPr>
          <w:rFonts w:hint="eastAsia"/>
          <w:highlight w:val="none"/>
        </w:rPr>
        <w:t>河长组织体系</w:t>
      </w:r>
      <w:r>
        <w:tab/>
      </w:r>
      <w:r>
        <w:fldChar w:fldCharType="begin"/>
      </w:r>
      <w:r>
        <w:instrText xml:space="preserve"> PAGEREF _Toc9157 \h </w:instrText>
      </w:r>
      <w:r>
        <w:fldChar w:fldCharType="separate"/>
      </w:r>
      <w:r>
        <w:t>7</w:t>
      </w:r>
      <w:r>
        <w:fldChar w:fldCharType="end"/>
      </w:r>
      <w:r>
        <w:rPr>
          <w:color w:val="auto"/>
          <w:highlight w:val="none"/>
        </w:rPr>
        <w:fldChar w:fldCharType="end"/>
      </w:r>
    </w:p>
    <w:p w14:paraId="07D0C952">
      <w:pPr>
        <w:pStyle w:val="18"/>
        <w:tabs>
          <w:tab w:val="right" w:leader="dot" w:pos="8306"/>
        </w:tabs>
      </w:pPr>
      <w:r>
        <w:rPr>
          <w:color w:val="auto"/>
          <w:highlight w:val="none"/>
        </w:rPr>
        <w:fldChar w:fldCharType="begin"/>
      </w:r>
      <w:r>
        <w:rPr>
          <w:highlight w:val="none"/>
        </w:rPr>
        <w:instrText xml:space="preserve"> HYPERLINK \l _Toc29728 </w:instrText>
      </w:r>
      <w:r>
        <w:rPr>
          <w:highlight w:val="none"/>
        </w:rPr>
        <w:fldChar w:fldCharType="separate"/>
      </w:r>
      <w:r>
        <w:rPr>
          <w:rFonts w:hint="default" w:ascii="Times New Roman" w:hAnsi="Times New Roman" w:eastAsia="宋体" w:cs="Times New Roman"/>
        </w:rPr>
        <w:t xml:space="preserve">2 </w:t>
      </w:r>
      <w:r>
        <w:rPr>
          <w:rFonts w:hint="eastAsia"/>
          <w:highlight w:val="none"/>
          <w:lang w:val="en-US" w:eastAsia="zh-CN"/>
        </w:rPr>
        <w:t>上一实施周期主要成效</w:t>
      </w:r>
      <w:r>
        <w:tab/>
      </w:r>
      <w:r>
        <w:fldChar w:fldCharType="begin"/>
      </w:r>
      <w:r>
        <w:instrText xml:space="preserve"> PAGEREF _Toc29728 \h </w:instrText>
      </w:r>
      <w:r>
        <w:fldChar w:fldCharType="separate"/>
      </w:r>
      <w:r>
        <w:t>12</w:t>
      </w:r>
      <w:r>
        <w:fldChar w:fldCharType="end"/>
      </w:r>
      <w:r>
        <w:rPr>
          <w:color w:val="auto"/>
          <w:highlight w:val="none"/>
        </w:rPr>
        <w:fldChar w:fldCharType="end"/>
      </w:r>
    </w:p>
    <w:p w14:paraId="2699A970">
      <w:pPr>
        <w:pStyle w:val="19"/>
        <w:tabs>
          <w:tab w:val="right" w:leader="dot" w:pos="8306"/>
        </w:tabs>
      </w:pPr>
      <w:r>
        <w:rPr>
          <w:color w:val="auto"/>
          <w:highlight w:val="none"/>
        </w:rPr>
        <w:fldChar w:fldCharType="begin"/>
      </w:r>
      <w:r>
        <w:rPr>
          <w:highlight w:val="none"/>
        </w:rPr>
        <w:instrText xml:space="preserve"> HYPERLINK \l _Toc21563 </w:instrText>
      </w:r>
      <w:r>
        <w:rPr>
          <w:highlight w:val="none"/>
        </w:rPr>
        <w:fldChar w:fldCharType="separate"/>
      </w:r>
      <w:r>
        <w:rPr>
          <w:rFonts w:hint="eastAsia"/>
          <w:lang w:val="en-US" w:eastAsia="zh-CN"/>
        </w:rPr>
        <w:t xml:space="preserve">2.1 </w:t>
      </w:r>
      <w:r>
        <w:rPr>
          <w:rFonts w:hint="eastAsia"/>
          <w:highlight w:val="none"/>
          <w:lang w:val="en-US" w:eastAsia="zh-CN"/>
        </w:rPr>
        <w:t>上一周期实施成效</w:t>
      </w:r>
      <w:r>
        <w:tab/>
      </w:r>
      <w:r>
        <w:fldChar w:fldCharType="begin"/>
      </w:r>
      <w:r>
        <w:instrText xml:space="preserve"> PAGEREF _Toc21563 \h </w:instrText>
      </w:r>
      <w:r>
        <w:fldChar w:fldCharType="separate"/>
      </w:r>
      <w:r>
        <w:t>12</w:t>
      </w:r>
      <w:r>
        <w:fldChar w:fldCharType="end"/>
      </w:r>
      <w:r>
        <w:rPr>
          <w:color w:val="auto"/>
          <w:highlight w:val="none"/>
        </w:rPr>
        <w:fldChar w:fldCharType="end"/>
      </w:r>
    </w:p>
    <w:p w14:paraId="3FFACD95">
      <w:pPr>
        <w:pStyle w:val="19"/>
        <w:tabs>
          <w:tab w:val="right" w:leader="dot" w:pos="8306"/>
        </w:tabs>
      </w:pPr>
      <w:r>
        <w:rPr>
          <w:color w:val="auto"/>
          <w:highlight w:val="none"/>
        </w:rPr>
        <w:fldChar w:fldCharType="begin"/>
      </w:r>
      <w:r>
        <w:rPr>
          <w:highlight w:val="none"/>
        </w:rPr>
        <w:instrText xml:space="preserve"> HYPERLINK \l _Toc27417 </w:instrText>
      </w:r>
      <w:r>
        <w:rPr>
          <w:highlight w:val="none"/>
        </w:rPr>
        <w:fldChar w:fldCharType="separate"/>
      </w:r>
      <w:r>
        <w:rPr>
          <w:rFonts w:hint="eastAsia"/>
          <w:lang w:val="en-US" w:eastAsia="zh-CN"/>
        </w:rPr>
        <w:t xml:space="preserve">2.2 </w:t>
      </w:r>
      <w:r>
        <w:rPr>
          <w:rFonts w:hint="eastAsia"/>
          <w:highlight w:val="none"/>
          <w:lang w:val="en-US" w:eastAsia="zh-CN"/>
        </w:rPr>
        <w:t>上一周期存在问题及建议</w:t>
      </w:r>
      <w:r>
        <w:tab/>
      </w:r>
      <w:r>
        <w:fldChar w:fldCharType="begin"/>
      </w:r>
      <w:r>
        <w:instrText xml:space="preserve"> PAGEREF _Toc27417 \h </w:instrText>
      </w:r>
      <w:r>
        <w:fldChar w:fldCharType="separate"/>
      </w:r>
      <w:r>
        <w:t>16</w:t>
      </w:r>
      <w:r>
        <w:fldChar w:fldCharType="end"/>
      </w:r>
      <w:r>
        <w:rPr>
          <w:color w:val="auto"/>
          <w:highlight w:val="none"/>
        </w:rPr>
        <w:fldChar w:fldCharType="end"/>
      </w:r>
    </w:p>
    <w:p w14:paraId="6C098B96">
      <w:pPr>
        <w:pStyle w:val="18"/>
        <w:tabs>
          <w:tab w:val="right" w:leader="dot" w:pos="8306"/>
        </w:tabs>
      </w:pPr>
      <w:r>
        <w:rPr>
          <w:color w:val="auto"/>
          <w:highlight w:val="none"/>
        </w:rPr>
        <w:fldChar w:fldCharType="begin"/>
      </w:r>
      <w:r>
        <w:rPr>
          <w:highlight w:val="none"/>
        </w:rPr>
        <w:instrText xml:space="preserve"> HYPERLINK \l _Toc16610 </w:instrText>
      </w:r>
      <w:r>
        <w:rPr>
          <w:highlight w:val="none"/>
        </w:rPr>
        <w:fldChar w:fldCharType="separate"/>
      </w:r>
      <w:r>
        <w:rPr>
          <w:rFonts w:hint="default" w:ascii="Times New Roman" w:hAnsi="Times New Roman" w:eastAsia="宋体" w:cs="Times New Roman"/>
        </w:rPr>
        <w:t xml:space="preserve">3 </w:t>
      </w:r>
      <w:r>
        <w:rPr>
          <w:rFonts w:hint="eastAsia"/>
          <w:highlight w:val="none"/>
        </w:rPr>
        <w:t>管理保护现状与存在问题</w:t>
      </w:r>
      <w:r>
        <w:tab/>
      </w:r>
      <w:r>
        <w:fldChar w:fldCharType="begin"/>
      </w:r>
      <w:r>
        <w:instrText xml:space="preserve"> PAGEREF _Toc16610 \h </w:instrText>
      </w:r>
      <w:r>
        <w:fldChar w:fldCharType="separate"/>
      </w:r>
      <w:r>
        <w:t>17</w:t>
      </w:r>
      <w:r>
        <w:fldChar w:fldCharType="end"/>
      </w:r>
      <w:r>
        <w:rPr>
          <w:color w:val="auto"/>
          <w:highlight w:val="none"/>
        </w:rPr>
        <w:fldChar w:fldCharType="end"/>
      </w:r>
    </w:p>
    <w:p w14:paraId="65E96BB5">
      <w:pPr>
        <w:pStyle w:val="19"/>
        <w:tabs>
          <w:tab w:val="right" w:leader="dot" w:pos="8306"/>
        </w:tabs>
      </w:pPr>
      <w:r>
        <w:rPr>
          <w:color w:val="auto"/>
          <w:highlight w:val="none"/>
        </w:rPr>
        <w:fldChar w:fldCharType="begin"/>
      </w:r>
      <w:r>
        <w:rPr>
          <w:highlight w:val="none"/>
        </w:rPr>
        <w:instrText xml:space="preserve"> HYPERLINK \l _Toc28816 </w:instrText>
      </w:r>
      <w:r>
        <w:rPr>
          <w:highlight w:val="none"/>
        </w:rPr>
        <w:fldChar w:fldCharType="separate"/>
      </w:r>
      <w:r>
        <w:rPr>
          <w:rFonts w:hint="eastAsia"/>
        </w:rPr>
        <w:t xml:space="preserve">3.1 </w:t>
      </w:r>
      <w:r>
        <w:rPr>
          <w:rFonts w:hint="eastAsia"/>
          <w:highlight w:val="none"/>
        </w:rPr>
        <w:t>概况</w:t>
      </w:r>
      <w:r>
        <w:tab/>
      </w:r>
      <w:r>
        <w:fldChar w:fldCharType="begin"/>
      </w:r>
      <w:r>
        <w:instrText xml:space="preserve"> PAGEREF _Toc28816 \h </w:instrText>
      </w:r>
      <w:r>
        <w:fldChar w:fldCharType="separate"/>
      </w:r>
      <w:r>
        <w:t>17</w:t>
      </w:r>
      <w:r>
        <w:fldChar w:fldCharType="end"/>
      </w:r>
      <w:r>
        <w:rPr>
          <w:color w:val="auto"/>
          <w:highlight w:val="none"/>
        </w:rPr>
        <w:fldChar w:fldCharType="end"/>
      </w:r>
    </w:p>
    <w:p w14:paraId="070FB9FA">
      <w:pPr>
        <w:pStyle w:val="19"/>
        <w:tabs>
          <w:tab w:val="right" w:leader="dot" w:pos="8306"/>
        </w:tabs>
      </w:pPr>
      <w:r>
        <w:rPr>
          <w:color w:val="auto"/>
          <w:highlight w:val="none"/>
        </w:rPr>
        <w:fldChar w:fldCharType="begin"/>
      </w:r>
      <w:r>
        <w:rPr>
          <w:highlight w:val="none"/>
        </w:rPr>
        <w:instrText xml:space="preserve"> HYPERLINK \l _Toc3547 </w:instrText>
      </w:r>
      <w:r>
        <w:rPr>
          <w:highlight w:val="none"/>
        </w:rPr>
        <w:fldChar w:fldCharType="separate"/>
      </w:r>
      <w:r>
        <w:rPr>
          <w:rFonts w:hint="eastAsia"/>
        </w:rPr>
        <w:t xml:space="preserve">3.2 </w:t>
      </w:r>
      <w:r>
        <w:rPr>
          <w:rFonts w:hint="eastAsia"/>
          <w:highlight w:val="none"/>
        </w:rPr>
        <w:t>管理保护现状</w:t>
      </w:r>
      <w:r>
        <w:tab/>
      </w:r>
      <w:r>
        <w:fldChar w:fldCharType="begin"/>
      </w:r>
      <w:r>
        <w:instrText xml:space="preserve"> PAGEREF _Toc3547 \h </w:instrText>
      </w:r>
      <w:r>
        <w:fldChar w:fldCharType="separate"/>
      </w:r>
      <w:r>
        <w:t>21</w:t>
      </w:r>
      <w:r>
        <w:fldChar w:fldCharType="end"/>
      </w:r>
      <w:r>
        <w:rPr>
          <w:color w:val="auto"/>
          <w:highlight w:val="none"/>
        </w:rPr>
        <w:fldChar w:fldCharType="end"/>
      </w:r>
    </w:p>
    <w:p w14:paraId="6CE16DB6">
      <w:pPr>
        <w:pStyle w:val="19"/>
        <w:tabs>
          <w:tab w:val="right" w:leader="dot" w:pos="8306"/>
        </w:tabs>
      </w:pPr>
      <w:r>
        <w:rPr>
          <w:color w:val="auto"/>
          <w:highlight w:val="none"/>
        </w:rPr>
        <w:fldChar w:fldCharType="begin"/>
      </w:r>
      <w:r>
        <w:rPr>
          <w:highlight w:val="none"/>
        </w:rPr>
        <w:instrText xml:space="preserve"> HYPERLINK \l _Toc12971 </w:instrText>
      </w:r>
      <w:r>
        <w:rPr>
          <w:highlight w:val="none"/>
        </w:rPr>
        <w:fldChar w:fldCharType="separate"/>
      </w:r>
      <w:r>
        <w:rPr>
          <w:rFonts w:hint="eastAsia"/>
        </w:rPr>
        <w:t xml:space="preserve">3.3 </w:t>
      </w:r>
      <w:r>
        <w:rPr>
          <w:rFonts w:hint="eastAsia"/>
          <w:highlight w:val="none"/>
        </w:rPr>
        <w:t>存在问题分析</w:t>
      </w:r>
      <w:r>
        <w:tab/>
      </w:r>
      <w:r>
        <w:fldChar w:fldCharType="begin"/>
      </w:r>
      <w:r>
        <w:instrText xml:space="preserve"> PAGEREF _Toc12971 \h </w:instrText>
      </w:r>
      <w:r>
        <w:fldChar w:fldCharType="separate"/>
      </w:r>
      <w:r>
        <w:t>45</w:t>
      </w:r>
      <w:r>
        <w:fldChar w:fldCharType="end"/>
      </w:r>
      <w:r>
        <w:rPr>
          <w:color w:val="auto"/>
          <w:highlight w:val="none"/>
        </w:rPr>
        <w:fldChar w:fldCharType="end"/>
      </w:r>
    </w:p>
    <w:p w14:paraId="5C85A337">
      <w:pPr>
        <w:pStyle w:val="18"/>
        <w:tabs>
          <w:tab w:val="right" w:leader="dot" w:pos="8306"/>
        </w:tabs>
      </w:pPr>
      <w:r>
        <w:rPr>
          <w:color w:val="auto"/>
          <w:highlight w:val="none"/>
        </w:rPr>
        <w:fldChar w:fldCharType="begin"/>
      </w:r>
      <w:r>
        <w:rPr>
          <w:highlight w:val="none"/>
        </w:rPr>
        <w:instrText xml:space="preserve"> HYPERLINK \l _Toc2324 </w:instrText>
      </w:r>
      <w:r>
        <w:rPr>
          <w:highlight w:val="none"/>
        </w:rPr>
        <w:fldChar w:fldCharType="separate"/>
      </w:r>
      <w:r>
        <w:rPr>
          <w:rFonts w:hint="default" w:ascii="Times New Roman" w:hAnsi="Times New Roman" w:eastAsia="宋体" w:cs="Times New Roman"/>
        </w:rPr>
        <w:t xml:space="preserve">4 </w:t>
      </w:r>
      <w:r>
        <w:rPr>
          <w:rFonts w:hint="eastAsia"/>
          <w:highlight w:val="none"/>
        </w:rPr>
        <w:t>管理保护目标</w:t>
      </w:r>
      <w:r>
        <w:tab/>
      </w:r>
      <w:r>
        <w:fldChar w:fldCharType="begin"/>
      </w:r>
      <w:r>
        <w:instrText xml:space="preserve"> PAGEREF _Toc2324 \h </w:instrText>
      </w:r>
      <w:r>
        <w:fldChar w:fldCharType="separate"/>
      </w:r>
      <w:r>
        <w:t>49</w:t>
      </w:r>
      <w:r>
        <w:fldChar w:fldCharType="end"/>
      </w:r>
      <w:r>
        <w:rPr>
          <w:color w:val="auto"/>
          <w:highlight w:val="none"/>
        </w:rPr>
        <w:fldChar w:fldCharType="end"/>
      </w:r>
    </w:p>
    <w:p w14:paraId="17FBD349">
      <w:pPr>
        <w:pStyle w:val="19"/>
        <w:tabs>
          <w:tab w:val="right" w:leader="dot" w:pos="8306"/>
        </w:tabs>
      </w:pPr>
      <w:r>
        <w:rPr>
          <w:color w:val="auto"/>
          <w:highlight w:val="none"/>
        </w:rPr>
        <w:fldChar w:fldCharType="begin"/>
      </w:r>
      <w:r>
        <w:rPr>
          <w:highlight w:val="none"/>
        </w:rPr>
        <w:instrText xml:space="preserve"> HYPERLINK \l _Toc18044 </w:instrText>
      </w:r>
      <w:r>
        <w:rPr>
          <w:highlight w:val="none"/>
        </w:rPr>
        <w:fldChar w:fldCharType="separate"/>
      </w:r>
      <w:r>
        <w:rPr>
          <w:rFonts w:hint="eastAsia"/>
        </w:rPr>
        <w:t xml:space="preserve">4.1 </w:t>
      </w:r>
      <w:r>
        <w:rPr>
          <w:rFonts w:hint="eastAsia"/>
          <w:highlight w:val="none"/>
        </w:rPr>
        <w:t>水资源保护目标</w:t>
      </w:r>
      <w:r>
        <w:tab/>
      </w:r>
      <w:r>
        <w:fldChar w:fldCharType="begin"/>
      </w:r>
      <w:r>
        <w:instrText xml:space="preserve"> PAGEREF _Toc18044 \h </w:instrText>
      </w:r>
      <w:r>
        <w:fldChar w:fldCharType="separate"/>
      </w:r>
      <w:r>
        <w:t>49</w:t>
      </w:r>
      <w:r>
        <w:fldChar w:fldCharType="end"/>
      </w:r>
      <w:r>
        <w:rPr>
          <w:color w:val="auto"/>
          <w:highlight w:val="none"/>
        </w:rPr>
        <w:fldChar w:fldCharType="end"/>
      </w:r>
    </w:p>
    <w:p w14:paraId="5FE59817">
      <w:pPr>
        <w:pStyle w:val="19"/>
        <w:tabs>
          <w:tab w:val="right" w:leader="dot" w:pos="8306"/>
        </w:tabs>
      </w:pPr>
      <w:r>
        <w:rPr>
          <w:color w:val="auto"/>
          <w:highlight w:val="none"/>
        </w:rPr>
        <w:fldChar w:fldCharType="begin"/>
      </w:r>
      <w:r>
        <w:rPr>
          <w:highlight w:val="none"/>
        </w:rPr>
        <w:instrText xml:space="preserve"> HYPERLINK \l _Toc24270 </w:instrText>
      </w:r>
      <w:r>
        <w:rPr>
          <w:highlight w:val="none"/>
        </w:rPr>
        <w:fldChar w:fldCharType="separate"/>
      </w:r>
      <w:r>
        <w:rPr>
          <w:rFonts w:hint="eastAsia"/>
        </w:rPr>
        <w:t xml:space="preserve">4.2 </w:t>
      </w:r>
      <w:r>
        <w:rPr>
          <w:rFonts w:hint="eastAsia"/>
          <w:highlight w:val="none"/>
        </w:rPr>
        <w:t>水域岸线管理保护目标</w:t>
      </w:r>
      <w:r>
        <w:tab/>
      </w:r>
      <w:r>
        <w:fldChar w:fldCharType="begin"/>
      </w:r>
      <w:r>
        <w:instrText xml:space="preserve"> PAGEREF _Toc24270 \h </w:instrText>
      </w:r>
      <w:r>
        <w:fldChar w:fldCharType="separate"/>
      </w:r>
      <w:r>
        <w:t>49</w:t>
      </w:r>
      <w:r>
        <w:fldChar w:fldCharType="end"/>
      </w:r>
      <w:r>
        <w:rPr>
          <w:color w:val="auto"/>
          <w:highlight w:val="none"/>
        </w:rPr>
        <w:fldChar w:fldCharType="end"/>
      </w:r>
    </w:p>
    <w:p w14:paraId="78334F01">
      <w:pPr>
        <w:pStyle w:val="19"/>
        <w:tabs>
          <w:tab w:val="right" w:leader="dot" w:pos="8306"/>
        </w:tabs>
      </w:pPr>
      <w:r>
        <w:rPr>
          <w:color w:val="auto"/>
          <w:highlight w:val="none"/>
        </w:rPr>
        <w:fldChar w:fldCharType="begin"/>
      </w:r>
      <w:r>
        <w:rPr>
          <w:highlight w:val="none"/>
        </w:rPr>
        <w:instrText xml:space="preserve"> HYPERLINK \l _Toc11495 </w:instrText>
      </w:r>
      <w:r>
        <w:rPr>
          <w:highlight w:val="none"/>
        </w:rPr>
        <w:fldChar w:fldCharType="separate"/>
      </w:r>
      <w:r>
        <w:rPr>
          <w:rFonts w:hint="eastAsia"/>
        </w:rPr>
        <w:t xml:space="preserve">4.3 </w:t>
      </w:r>
      <w:r>
        <w:rPr>
          <w:rFonts w:hint="eastAsia"/>
          <w:highlight w:val="none"/>
        </w:rPr>
        <w:t>水污染防治目标</w:t>
      </w:r>
      <w:r>
        <w:tab/>
      </w:r>
      <w:r>
        <w:fldChar w:fldCharType="begin"/>
      </w:r>
      <w:r>
        <w:instrText xml:space="preserve"> PAGEREF _Toc11495 \h </w:instrText>
      </w:r>
      <w:r>
        <w:fldChar w:fldCharType="separate"/>
      </w:r>
      <w:r>
        <w:t>49</w:t>
      </w:r>
      <w:r>
        <w:fldChar w:fldCharType="end"/>
      </w:r>
      <w:r>
        <w:rPr>
          <w:color w:val="auto"/>
          <w:highlight w:val="none"/>
        </w:rPr>
        <w:fldChar w:fldCharType="end"/>
      </w:r>
    </w:p>
    <w:p w14:paraId="791A98DE">
      <w:pPr>
        <w:pStyle w:val="19"/>
        <w:tabs>
          <w:tab w:val="right" w:leader="dot" w:pos="8306"/>
        </w:tabs>
      </w:pPr>
      <w:r>
        <w:rPr>
          <w:color w:val="auto"/>
          <w:highlight w:val="none"/>
        </w:rPr>
        <w:fldChar w:fldCharType="begin"/>
      </w:r>
      <w:r>
        <w:rPr>
          <w:highlight w:val="none"/>
        </w:rPr>
        <w:instrText xml:space="preserve"> HYPERLINK \l _Toc9051 </w:instrText>
      </w:r>
      <w:r>
        <w:rPr>
          <w:highlight w:val="none"/>
        </w:rPr>
        <w:fldChar w:fldCharType="separate"/>
      </w:r>
      <w:r>
        <w:rPr>
          <w:rFonts w:hint="eastAsia"/>
        </w:rPr>
        <w:t xml:space="preserve">4.4 </w:t>
      </w:r>
      <w:r>
        <w:rPr>
          <w:rFonts w:hint="eastAsia"/>
          <w:highlight w:val="none"/>
        </w:rPr>
        <w:t>水环境治理目标</w:t>
      </w:r>
      <w:r>
        <w:tab/>
      </w:r>
      <w:r>
        <w:fldChar w:fldCharType="begin"/>
      </w:r>
      <w:r>
        <w:instrText xml:space="preserve"> PAGEREF _Toc9051 \h </w:instrText>
      </w:r>
      <w:r>
        <w:fldChar w:fldCharType="separate"/>
      </w:r>
      <w:r>
        <w:t>50</w:t>
      </w:r>
      <w:r>
        <w:fldChar w:fldCharType="end"/>
      </w:r>
      <w:r>
        <w:rPr>
          <w:color w:val="auto"/>
          <w:highlight w:val="none"/>
        </w:rPr>
        <w:fldChar w:fldCharType="end"/>
      </w:r>
    </w:p>
    <w:p w14:paraId="5C4943EF">
      <w:pPr>
        <w:pStyle w:val="19"/>
        <w:tabs>
          <w:tab w:val="right" w:leader="dot" w:pos="8306"/>
        </w:tabs>
      </w:pPr>
      <w:r>
        <w:rPr>
          <w:color w:val="auto"/>
          <w:highlight w:val="none"/>
        </w:rPr>
        <w:fldChar w:fldCharType="begin"/>
      </w:r>
      <w:r>
        <w:rPr>
          <w:highlight w:val="none"/>
        </w:rPr>
        <w:instrText xml:space="preserve"> HYPERLINK \l _Toc27638 </w:instrText>
      </w:r>
      <w:r>
        <w:rPr>
          <w:highlight w:val="none"/>
        </w:rPr>
        <w:fldChar w:fldCharType="separate"/>
      </w:r>
      <w:r>
        <w:rPr>
          <w:rFonts w:hint="eastAsia"/>
        </w:rPr>
        <w:t xml:space="preserve">4.5 </w:t>
      </w:r>
      <w:r>
        <w:rPr>
          <w:rFonts w:hint="eastAsia"/>
          <w:highlight w:val="none"/>
        </w:rPr>
        <w:t>水生态修复目标</w:t>
      </w:r>
      <w:r>
        <w:tab/>
      </w:r>
      <w:r>
        <w:fldChar w:fldCharType="begin"/>
      </w:r>
      <w:r>
        <w:instrText xml:space="preserve"> PAGEREF _Toc27638 \h </w:instrText>
      </w:r>
      <w:r>
        <w:fldChar w:fldCharType="separate"/>
      </w:r>
      <w:r>
        <w:t>50</w:t>
      </w:r>
      <w:r>
        <w:fldChar w:fldCharType="end"/>
      </w:r>
      <w:r>
        <w:rPr>
          <w:color w:val="auto"/>
          <w:highlight w:val="none"/>
        </w:rPr>
        <w:fldChar w:fldCharType="end"/>
      </w:r>
    </w:p>
    <w:p w14:paraId="33223441">
      <w:pPr>
        <w:pStyle w:val="19"/>
        <w:tabs>
          <w:tab w:val="right" w:leader="dot" w:pos="8306"/>
        </w:tabs>
      </w:pPr>
      <w:r>
        <w:rPr>
          <w:color w:val="auto"/>
          <w:highlight w:val="none"/>
        </w:rPr>
        <w:fldChar w:fldCharType="begin"/>
      </w:r>
      <w:r>
        <w:rPr>
          <w:highlight w:val="none"/>
        </w:rPr>
        <w:instrText xml:space="preserve"> HYPERLINK \l _Toc25522 </w:instrText>
      </w:r>
      <w:r>
        <w:rPr>
          <w:highlight w:val="none"/>
        </w:rPr>
        <w:fldChar w:fldCharType="separate"/>
      </w:r>
      <w:r>
        <w:rPr>
          <w:rFonts w:hint="eastAsia"/>
          <w:lang w:val="en-US" w:eastAsia="zh-CN"/>
        </w:rPr>
        <w:t xml:space="preserve">4.6 </w:t>
      </w:r>
      <w:r>
        <w:rPr>
          <w:rFonts w:hint="eastAsia"/>
          <w:highlight w:val="none"/>
          <w:lang w:val="en-US" w:eastAsia="zh-CN"/>
        </w:rPr>
        <w:t>执法监管目标</w:t>
      </w:r>
      <w:r>
        <w:tab/>
      </w:r>
      <w:r>
        <w:fldChar w:fldCharType="begin"/>
      </w:r>
      <w:r>
        <w:instrText xml:space="preserve"> PAGEREF _Toc25522 \h </w:instrText>
      </w:r>
      <w:r>
        <w:fldChar w:fldCharType="separate"/>
      </w:r>
      <w:r>
        <w:t>50</w:t>
      </w:r>
      <w:r>
        <w:fldChar w:fldCharType="end"/>
      </w:r>
      <w:r>
        <w:rPr>
          <w:color w:val="auto"/>
          <w:highlight w:val="none"/>
        </w:rPr>
        <w:fldChar w:fldCharType="end"/>
      </w:r>
    </w:p>
    <w:p w14:paraId="0969E188">
      <w:pPr>
        <w:pStyle w:val="18"/>
        <w:tabs>
          <w:tab w:val="right" w:leader="dot" w:pos="8306"/>
        </w:tabs>
      </w:pPr>
      <w:r>
        <w:rPr>
          <w:color w:val="auto"/>
          <w:highlight w:val="none"/>
        </w:rPr>
        <w:fldChar w:fldCharType="begin"/>
      </w:r>
      <w:r>
        <w:rPr>
          <w:highlight w:val="none"/>
        </w:rPr>
        <w:instrText xml:space="preserve"> HYPERLINK \l _Toc18313 </w:instrText>
      </w:r>
      <w:r>
        <w:rPr>
          <w:highlight w:val="none"/>
        </w:rPr>
        <w:fldChar w:fldCharType="separate"/>
      </w:r>
      <w:r>
        <w:rPr>
          <w:rFonts w:hint="default" w:ascii="Times New Roman" w:hAnsi="Times New Roman" w:eastAsia="宋体" w:cs="Times New Roman"/>
        </w:rPr>
        <w:t xml:space="preserve">5 </w:t>
      </w:r>
      <w:r>
        <w:rPr>
          <w:rFonts w:hint="eastAsia"/>
          <w:highlight w:val="none"/>
        </w:rPr>
        <w:t>管理保护任务</w:t>
      </w:r>
      <w:r>
        <w:tab/>
      </w:r>
      <w:r>
        <w:fldChar w:fldCharType="begin"/>
      </w:r>
      <w:r>
        <w:instrText xml:space="preserve"> PAGEREF _Toc18313 \h </w:instrText>
      </w:r>
      <w:r>
        <w:fldChar w:fldCharType="separate"/>
      </w:r>
      <w:r>
        <w:t>52</w:t>
      </w:r>
      <w:r>
        <w:fldChar w:fldCharType="end"/>
      </w:r>
      <w:r>
        <w:rPr>
          <w:color w:val="auto"/>
          <w:highlight w:val="none"/>
        </w:rPr>
        <w:fldChar w:fldCharType="end"/>
      </w:r>
    </w:p>
    <w:p w14:paraId="4EEDB97D">
      <w:pPr>
        <w:pStyle w:val="19"/>
        <w:tabs>
          <w:tab w:val="right" w:leader="dot" w:pos="8306"/>
        </w:tabs>
      </w:pPr>
      <w:r>
        <w:rPr>
          <w:color w:val="auto"/>
          <w:highlight w:val="none"/>
        </w:rPr>
        <w:fldChar w:fldCharType="begin"/>
      </w:r>
      <w:r>
        <w:rPr>
          <w:highlight w:val="none"/>
        </w:rPr>
        <w:instrText xml:space="preserve"> HYPERLINK \l _Toc15312 </w:instrText>
      </w:r>
      <w:r>
        <w:rPr>
          <w:highlight w:val="none"/>
        </w:rPr>
        <w:fldChar w:fldCharType="separate"/>
      </w:r>
      <w:r>
        <w:rPr>
          <w:rFonts w:hint="eastAsia"/>
        </w:rPr>
        <w:t xml:space="preserve">5.1 </w:t>
      </w:r>
      <w:r>
        <w:rPr>
          <w:rFonts w:hint="eastAsia"/>
          <w:highlight w:val="none"/>
        </w:rPr>
        <w:t>水资源保护任务</w:t>
      </w:r>
      <w:r>
        <w:tab/>
      </w:r>
      <w:r>
        <w:fldChar w:fldCharType="begin"/>
      </w:r>
      <w:r>
        <w:instrText xml:space="preserve"> PAGEREF _Toc15312 \h </w:instrText>
      </w:r>
      <w:r>
        <w:fldChar w:fldCharType="separate"/>
      </w:r>
      <w:r>
        <w:t>52</w:t>
      </w:r>
      <w:r>
        <w:fldChar w:fldCharType="end"/>
      </w:r>
      <w:r>
        <w:rPr>
          <w:color w:val="auto"/>
          <w:highlight w:val="none"/>
        </w:rPr>
        <w:fldChar w:fldCharType="end"/>
      </w:r>
    </w:p>
    <w:p w14:paraId="17A8859C">
      <w:pPr>
        <w:pStyle w:val="19"/>
        <w:tabs>
          <w:tab w:val="right" w:leader="dot" w:pos="8306"/>
        </w:tabs>
      </w:pPr>
      <w:r>
        <w:rPr>
          <w:color w:val="auto"/>
          <w:highlight w:val="none"/>
        </w:rPr>
        <w:fldChar w:fldCharType="begin"/>
      </w:r>
      <w:r>
        <w:rPr>
          <w:highlight w:val="none"/>
        </w:rPr>
        <w:instrText xml:space="preserve"> HYPERLINK \l _Toc15555 </w:instrText>
      </w:r>
      <w:r>
        <w:rPr>
          <w:highlight w:val="none"/>
        </w:rPr>
        <w:fldChar w:fldCharType="separate"/>
      </w:r>
      <w:r>
        <w:rPr>
          <w:rFonts w:hint="eastAsia"/>
          <w:lang w:eastAsia="zh-CN"/>
        </w:rPr>
        <w:t xml:space="preserve">5.2 </w:t>
      </w:r>
      <w:r>
        <w:rPr>
          <w:rFonts w:hint="eastAsia"/>
          <w:highlight w:val="none"/>
        </w:rPr>
        <w:t>水域岸线管理保护任务</w:t>
      </w:r>
      <w:r>
        <w:tab/>
      </w:r>
      <w:r>
        <w:fldChar w:fldCharType="begin"/>
      </w:r>
      <w:r>
        <w:instrText xml:space="preserve"> PAGEREF _Toc15555 \h </w:instrText>
      </w:r>
      <w:r>
        <w:fldChar w:fldCharType="separate"/>
      </w:r>
      <w:r>
        <w:t>52</w:t>
      </w:r>
      <w:r>
        <w:fldChar w:fldCharType="end"/>
      </w:r>
      <w:r>
        <w:rPr>
          <w:color w:val="auto"/>
          <w:highlight w:val="none"/>
        </w:rPr>
        <w:fldChar w:fldCharType="end"/>
      </w:r>
    </w:p>
    <w:p w14:paraId="4B8C8F5B">
      <w:pPr>
        <w:pStyle w:val="19"/>
        <w:tabs>
          <w:tab w:val="right" w:leader="dot" w:pos="8306"/>
        </w:tabs>
      </w:pPr>
      <w:r>
        <w:rPr>
          <w:color w:val="auto"/>
          <w:highlight w:val="none"/>
        </w:rPr>
        <w:fldChar w:fldCharType="begin"/>
      </w:r>
      <w:r>
        <w:rPr>
          <w:highlight w:val="none"/>
        </w:rPr>
        <w:instrText xml:space="preserve"> HYPERLINK \l _Toc10499 </w:instrText>
      </w:r>
      <w:r>
        <w:rPr>
          <w:highlight w:val="none"/>
        </w:rPr>
        <w:fldChar w:fldCharType="separate"/>
      </w:r>
      <w:r>
        <w:rPr>
          <w:rFonts w:hint="eastAsia"/>
        </w:rPr>
        <w:t xml:space="preserve">5.3 </w:t>
      </w:r>
      <w:r>
        <w:rPr>
          <w:rFonts w:hint="eastAsia"/>
          <w:highlight w:val="none"/>
        </w:rPr>
        <w:t>水污染防治任务</w:t>
      </w:r>
      <w:r>
        <w:tab/>
      </w:r>
      <w:r>
        <w:fldChar w:fldCharType="begin"/>
      </w:r>
      <w:r>
        <w:instrText xml:space="preserve"> PAGEREF _Toc10499 \h </w:instrText>
      </w:r>
      <w:r>
        <w:fldChar w:fldCharType="separate"/>
      </w:r>
      <w:r>
        <w:t>53</w:t>
      </w:r>
      <w:r>
        <w:fldChar w:fldCharType="end"/>
      </w:r>
      <w:r>
        <w:rPr>
          <w:color w:val="auto"/>
          <w:highlight w:val="none"/>
        </w:rPr>
        <w:fldChar w:fldCharType="end"/>
      </w:r>
    </w:p>
    <w:p w14:paraId="4EE1F56A">
      <w:pPr>
        <w:pStyle w:val="19"/>
        <w:tabs>
          <w:tab w:val="right" w:leader="dot" w:pos="8306"/>
        </w:tabs>
      </w:pPr>
      <w:r>
        <w:rPr>
          <w:color w:val="auto"/>
          <w:highlight w:val="none"/>
        </w:rPr>
        <w:fldChar w:fldCharType="begin"/>
      </w:r>
      <w:r>
        <w:rPr>
          <w:highlight w:val="none"/>
        </w:rPr>
        <w:instrText xml:space="preserve"> HYPERLINK \l _Toc15781 </w:instrText>
      </w:r>
      <w:r>
        <w:rPr>
          <w:highlight w:val="none"/>
        </w:rPr>
        <w:fldChar w:fldCharType="separate"/>
      </w:r>
      <w:r>
        <w:rPr>
          <w:rFonts w:hint="eastAsia"/>
        </w:rPr>
        <w:t xml:space="preserve">5.4 </w:t>
      </w:r>
      <w:r>
        <w:rPr>
          <w:rFonts w:hint="eastAsia"/>
          <w:highlight w:val="none"/>
        </w:rPr>
        <w:t>水环境治理任务</w:t>
      </w:r>
      <w:r>
        <w:tab/>
      </w:r>
      <w:r>
        <w:fldChar w:fldCharType="begin"/>
      </w:r>
      <w:r>
        <w:instrText xml:space="preserve"> PAGEREF _Toc15781 \h </w:instrText>
      </w:r>
      <w:r>
        <w:fldChar w:fldCharType="separate"/>
      </w:r>
      <w:r>
        <w:t>53</w:t>
      </w:r>
      <w:r>
        <w:fldChar w:fldCharType="end"/>
      </w:r>
      <w:r>
        <w:rPr>
          <w:color w:val="auto"/>
          <w:highlight w:val="none"/>
        </w:rPr>
        <w:fldChar w:fldCharType="end"/>
      </w:r>
    </w:p>
    <w:p w14:paraId="6C69F986">
      <w:pPr>
        <w:pStyle w:val="19"/>
        <w:tabs>
          <w:tab w:val="right" w:leader="dot" w:pos="8306"/>
        </w:tabs>
      </w:pPr>
      <w:r>
        <w:rPr>
          <w:color w:val="auto"/>
          <w:highlight w:val="none"/>
        </w:rPr>
        <w:fldChar w:fldCharType="begin"/>
      </w:r>
      <w:r>
        <w:rPr>
          <w:highlight w:val="none"/>
        </w:rPr>
        <w:instrText xml:space="preserve"> HYPERLINK \l _Toc16265 </w:instrText>
      </w:r>
      <w:r>
        <w:rPr>
          <w:highlight w:val="none"/>
        </w:rPr>
        <w:fldChar w:fldCharType="separate"/>
      </w:r>
      <w:r>
        <w:rPr>
          <w:rFonts w:hint="eastAsia"/>
        </w:rPr>
        <w:t xml:space="preserve">5.5 </w:t>
      </w:r>
      <w:r>
        <w:rPr>
          <w:rFonts w:hint="eastAsia"/>
          <w:highlight w:val="none"/>
        </w:rPr>
        <w:t>水生态修复任务</w:t>
      </w:r>
      <w:r>
        <w:tab/>
      </w:r>
      <w:r>
        <w:fldChar w:fldCharType="begin"/>
      </w:r>
      <w:r>
        <w:instrText xml:space="preserve"> PAGEREF _Toc16265 \h </w:instrText>
      </w:r>
      <w:r>
        <w:fldChar w:fldCharType="separate"/>
      </w:r>
      <w:r>
        <w:t>53</w:t>
      </w:r>
      <w:r>
        <w:fldChar w:fldCharType="end"/>
      </w:r>
      <w:r>
        <w:rPr>
          <w:color w:val="auto"/>
          <w:highlight w:val="none"/>
        </w:rPr>
        <w:fldChar w:fldCharType="end"/>
      </w:r>
    </w:p>
    <w:p w14:paraId="6BEA26C5">
      <w:pPr>
        <w:pStyle w:val="19"/>
        <w:tabs>
          <w:tab w:val="right" w:leader="dot" w:pos="8306"/>
        </w:tabs>
      </w:pPr>
      <w:r>
        <w:rPr>
          <w:color w:val="auto"/>
          <w:highlight w:val="none"/>
        </w:rPr>
        <w:fldChar w:fldCharType="begin"/>
      </w:r>
      <w:r>
        <w:rPr>
          <w:highlight w:val="none"/>
        </w:rPr>
        <w:instrText xml:space="preserve"> HYPERLINK \l _Toc22194 </w:instrText>
      </w:r>
      <w:r>
        <w:rPr>
          <w:highlight w:val="none"/>
        </w:rPr>
        <w:fldChar w:fldCharType="separate"/>
      </w:r>
      <w:r>
        <w:rPr>
          <w:rFonts w:hint="eastAsia"/>
        </w:rPr>
        <w:t xml:space="preserve">5.6 </w:t>
      </w:r>
      <w:r>
        <w:rPr>
          <w:rFonts w:hint="eastAsia"/>
          <w:highlight w:val="none"/>
        </w:rPr>
        <w:t>执法监管任务</w:t>
      </w:r>
      <w:r>
        <w:tab/>
      </w:r>
      <w:r>
        <w:fldChar w:fldCharType="begin"/>
      </w:r>
      <w:r>
        <w:instrText xml:space="preserve"> PAGEREF _Toc22194 \h </w:instrText>
      </w:r>
      <w:r>
        <w:fldChar w:fldCharType="separate"/>
      </w:r>
      <w:r>
        <w:t>54</w:t>
      </w:r>
      <w:r>
        <w:fldChar w:fldCharType="end"/>
      </w:r>
      <w:r>
        <w:rPr>
          <w:color w:val="auto"/>
          <w:highlight w:val="none"/>
        </w:rPr>
        <w:fldChar w:fldCharType="end"/>
      </w:r>
    </w:p>
    <w:p w14:paraId="20BDB29B">
      <w:pPr>
        <w:pStyle w:val="18"/>
        <w:tabs>
          <w:tab w:val="right" w:leader="dot" w:pos="8306"/>
        </w:tabs>
      </w:pPr>
      <w:r>
        <w:rPr>
          <w:color w:val="auto"/>
          <w:highlight w:val="none"/>
        </w:rPr>
        <w:fldChar w:fldCharType="begin"/>
      </w:r>
      <w:r>
        <w:rPr>
          <w:highlight w:val="none"/>
        </w:rPr>
        <w:instrText xml:space="preserve"> HYPERLINK \l _Toc26154 </w:instrText>
      </w:r>
      <w:r>
        <w:rPr>
          <w:highlight w:val="none"/>
        </w:rPr>
        <w:fldChar w:fldCharType="separate"/>
      </w:r>
      <w:r>
        <w:rPr>
          <w:rFonts w:hint="default" w:ascii="Times New Roman" w:hAnsi="Times New Roman" w:eastAsia="宋体" w:cs="Times New Roman"/>
        </w:rPr>
        <w:t xml:space="preserve">6 </w:t>
      </w:r>
      <w:r>
        <w:rPr>
          <w:rFonts w:hint="eastAsia"/>
          <w:highlight w:val="none"/>
        </w:rPr>
        <w:t>管理保护</w:t>
      </w:r>
      <w:r>
        <w:rPr>
          <w:rFonts w:hint="eastAsia"/>
          <w:highlight w:val="none"/>
          <w:lang w:val="en-US" w:eastAsia="zh-CN"/>
        </w:rPr>
        <w:t>措施</w:t>
      </w:r>
      <w:r>
        <w:tab/>
      </w:r>
      <w:r>
        <w:fldChar w:fldCharType="begin"/>
      </w:r>
      <w:r>
        <w:instrText xml:space="preserve"> PAGEREF _Toc26154 \h </w:instrText>
      </w:r>
      <w:r>
        <w:fldChar w:fldCharType="separate"/>
      </w:r>
      <w:r>
        <w:t>55</w:t>
      </w:r>
      <w:r>
        <w:fldChar w:fldCharType="end"/>
      </w:r>
      <w:r>
        <w:rPr>
          <w:color w:val="auto"/>
          <w:highlight w:val="none"/>
        </w:rPr>
        <w:fldChar w:fldCharType="end"/>
      </w:r>
    </w:p>
    <w:p w14:paraId="14C9324F">
      <w:pPr>
        <w:pStyle w:val="19"/>
        <w:tabs>
          <w:tab w:val="right" w:leader="dot" w:pos="8306"/>
        </w:tabs>
      </w:pPr>
      <w:r>
        <w:rPr>
          <w:color w:val="auto"/>
          <w:highlight w:val="none"/>
        </w:rPr>
        <w:fldChar w:fldCharType="begin"/>
      </w:r>
      <w:r>
        <w:rPr>
          <w:highlight w:val="none"/>
        </w:rPr>
        <w:instrText xml:space="preserve"> HYPERLINK \l _Toc30361 </w:instrText>
      </w:r>
      <w:r>
        <w:rPr>
          <w:highlight w:val="none"/>
        </w:rPr>
        <w:fldChar w:fldCharType="separate"/>
      </w:r>
      <w:r>
        <w:rPr>
          <w:rFonts w:hint="eastAsia"/>
          <w:lang w:val="en-US" w:eastAsia="zh-CN"/>
        </w:rPr>
        <w:t xml:space="preserve">6.1 </w:t>
      </w:r>
      <w:r>
        <w:rPr>
          <w:rFonts w:hint="default"/>
          <w:highlight w:val="none"/>
          <w:lang w:val="en-US" w:eastAsia="zh-CN"/>
        </w:rPr>
        <w:t>水资源保护</w:t>
      </w:r>
      <w:r>
        <w:rPr>
          <w:rFonts w:hint="eastAsia"/>
          <w:highlight w:val="none"/>
          <w:lang w:val="en-US" w:eastAsia="zh-CN"/>
        </w:rPr>
        <w:t>措施</w:t>
      </w:r>
      <w:r>
        <w:tab/>
      </w:r>
      <w:r>
        <w:fldChar w:fldCharType="begin"/>
      </w:r>
      <w:r>
        <w:instrText xml:space="preserve"> PAGEREF _Toc30361 \h </w:instrText>
      </w:r>
      <w:r>
        <w:fldChar w:fldCharType="separate"/>
      </w:r>
      <w:r>
        <w:t>55</w:t>
      </w:r>
      <w:r>
        <w:fldChar w:fldCharType="end"/>
      </w:r>
      <w:r>
        <w:rPr>
          <w:color w:val="auto"/>
          <w:highlight w:val="none"/>
        </w:rPr>
        <w:fldChar w:fldCharType="end"/>
      </w:r>
    </w:p>
    <w:p w14:paraId="5635E04B">
      <w:pPr>
        <w:pStyle w:val="19"/>
        <w:tabs>
          <w:tab w:val="right" w:leader="dot" w:pos="8306"/>
        </w:tabs>
      </w:pPr>
      <w:r>
        <w:rPr>
          <w:color w:val="auto"/>
          <w:highlight w:val="none"/>
        </w:rPr>
        <w:fldChar w:fldCharType="begin"/>
      </w:r>
      <w:r>
        <w:rPr>
          <w:highlight w:val="none"/>
        </w:rPr>
        <w:instrText xml:space="preserve"> HYPERLINK \l _Toc4029 </w:instrText>
      </w:r>
      <w:r>
        <w:rPr>
          <w:highlight w:val="none"/>
        </w:rPr>
        <w:fldChar w:fldCharType="separate"/>
      </w:r>
      <w:r>
        <w:rPr>
          <w:rFonts w:hint="eastAsia"/>
          <w:lang w:val="en-US" w:eastAsia="zh-CN"/>
        </w:rPr>
        <w:t xml:space="preserve">6.2 </w:t>
      </w:r>
      <w:r>
        <w:rPr>
          <w:rFonts w:hint="eastAsia"/>
          <w:highlight w:val="none"/>
          <w:lang w:val="en-US" w:eastAsia="zh-CN"/>
        </w:rPr>
        <w:t>水域岸线管理</w:t>
      </w:r>
      <w:r>
        <w:rPr>
          <w:rFonts w:hint="default"/>
          <w:highlight w:val="none"/>
          <w:lang w:val="en-US" w:eastAsia="zh-CN"/>
        </w:rPr>
        <w:t>保护</w:t>
      </w:r>
      <w:r>
        <w:rPr>
          <w:rFonts w:hint="eastAsia"/>
          <w:highlight w:val="none"/>
          <w:lang w:val="en-US" w:eastAsia="zh-CN"/>
        </w:rPr>
        <w:t>措施</w:t>
      </w:r>
      <w:r>
        <w:tab/>
      </w:r>
      <w:r>
        <w:fldChar w:fldCharType="begin"/>
      </w:r>
      <w:r>
        <w:instrText xml:space="preserve"> PAGEREF _Toc4029 \h </w:instrText>
      </w:r>
      <w:r>
        <w:fldChar w:fldCharType="separate"/>
      </w:r>
      <w:r>
        <w:t>57</w:t>
      </w:r>
      <w:r>
        <w:fldChar w:fldCharType="end"/>
      </w:r>
      <w:r>
        <w:rPr>
          <w:color w:val="auto"/>
          <w:highlight w:val="none"/>
        </w:rPr>
        <w:fldChar w:fldCharType="end"/>
      </w:r>
    </w:p>
    <w:p w14:paraId="55E67A11">
      <w:pPr>
        <w:pStyle w:val="19"/>
        <w:tabs>
          <w:tab w:val="right" w:leader="dot" w:pos="8306"/>
        </w:tabs>
      </w:pPr>
      <w:r>
        <w:rPr>
          <w:color w:val="auto"/>
          <w:highlight w:val="none"/>
        </w:rPr>
        <w:fldChar w:fldCharType="begin"/>
      </w:r>
      <w:r>
        <w:rPr>
          <w:highlight w:val="none"/>
        </w:rPr>
        <w:instrText xml:space="preserve"> HYPERLINK \l _Toc4141 </w:instrText>
      </w:r>
      <w:r>
        <w:rPr>
          <w:highlight w:val="none"/>
        </w:rPr>
        <w:fldChar w:fldCharType="separate"/>
      </w:r>
      <w:r>
        <w:rPr>
          <w:rFonts w:hint="eastAsia"/>
          <w:lang w:val="en-US" w:eastAsia="zh-CN"/>
        </w:rPr>
        <w:t xml:space="preserve">6.3 </w:t>
      </w:r>
      <w:r>
        <w:rPr>
          <w:rFonts w:hint="eastAsia"/>
          <w:highlight w:val="none"/>
          <w:lang w:val="en-US" w:eastAsia="zh-CN"/>
        </w:rPr>
        <w:t>水污染防治措施</w:t>
      </w:r>
      <w:r>
        <w:tab/>
      </w:r>
      <w:r>
        <w:fldChar w:fldCharType="begin"/>
      </w:r>
      <w:r>
        <w:instrText xml:space="preserve"> PAGEREF _Toc4141 \h </w:instrText>
      </w:r>
      <w:r>
        <w:fldChar w:fldCharType="separate"/>
      </w:r>
      <w:r>
        <w:t>57</w:t>
      </w:r>
      <w:r>
        <w:fldChar w:fldCharType="end"/>
      </w:r>
      <w:r>
        <w:rPr>
          <w:color w:val="auto"/>
          <w:highlight w:val="none"/>
        </w:rPr>
        <w:fldChar w:fldCharType="end"/>
      </w:r>
    </w:p>
    <w:p w14:paraId="50837244">
      <w:pPr>
        <w:pStyle w:val="19"/>
        <w:tabs>
          <w:tab w:val="right" w:leader="dot" w:pos="8306"/>
        </w:tabs>
      </w:pPr>
      <w:r>
        <w:rPr>
          <w:color w:val="auto"/>
          <w:highlight w:val="none"/>
        </w:rPr>
        <w:fldChar w:fldCharType="begin"/>
      </w:r>
      <w:r>
        <w:rPr>
          <w:highlight w:val="none"/>
        </w:rPr>
        <w:instrText xml:space="preserve"> HYPERLINK \l _Toc27062 </w:instrText>
      </w:r>
      <w:r>
        <w:rPr>
          <w:highlight w:val="none"/>
        </w:rPr>
        <w:fldChar w:fldCharType="separate"/>
      </w:r>
      <w:r>
        <w:rPr>
          <w:rFonts w:hint="eastAsia"/>
          <w:lang w:val="en-US" w:eastAsia="zh-CN"/>
        </w:rPr>
        <w:t xml:space="preserve">6.4 </w:t>
      </w:r>
      <w:r>
        <w:rPr>
          <w:rFonts w:hint="eastAsia"/>
          <w:highlight w:val="none"/>
          <w:lang w:val="en-US" w:eastAsia="zh-CN"/>
        </w:rPr>
        <w:t>水环境治理措施</w:t>
      </w:r>
      <w:r>
        <w:tab/>
      </w:r>
      <w:r>
        <w:fldChar w:fldCharType="begin"/>
      </w:r>
      <w:r>
        <w:instrText xml:space="preserve"> PAGEREF _Toc27062 \h </w:instrText>
      </w:r>
      <w:r>
        <w:fldChar w:fldCharType="separate"/>
      </w:r>
      <w:r>
        <w:t>59</w:t>
      </w:r>
      <w:r>
        <w:fldChar w:fldCharType="end"/>
      </w:r>
      <w:r>
        <w:rPr>
          <w:color w:val="auto"/>
          <w:highlight w:val="none"/>
        </w:rPr>
        <w:fldChar w:fldCharType="end"/>
      </w:r>
    </w:p>
    <w:p w14:paraId="2F4E33EB">
      <w:pPr>
        <w:pStyle w:val="19"/>
        <w:tabs>
          <w:tab w:val="right" w:leader="dot" w:pos="8306"/>
        </w:tabs>
      </w:pPr>
      <w:r>
        <w:rPr>
          <w:color w:val="auto"/>
          <w:highlight w:val="none"/>
        </w:rPr>
        <w:fldChar w:fldCharType="begin"/>
      </w:r>
      <w:r>
        <w:rPr>
          <w:highlight w:val="none"/>
        </w:rPr>
        <w:instrText xml:space="preserve"> HYPERLINK \l _Toc20799 </w:instrText>
      </w:r>
      <w:r>
        <w:rPr>
          <w:highlight w:val="none"/>
        </w:rPr>
        <w:fldChar w:fldCharType="separate"/>
      </w:r>
      <w:r>
        <w:rPr>
          <w:rFonts w:hint="eastAsia"/>
          <w:lang w:val="en-US" w:eastAsia="zh-CN"/>
        </w:rPr>
        <w:t xml:space="preserve">6.5 </w:t>
      </w:r>
      <w:r>
        <w:rPr>
          <w:rFonts w:hint="eastAsia"/>
          <w:highlight w:val="none"/>
          <w:lang w:val="en-US" w:eastAsia="zh-CN"/>
        </w:rPr>
        <w:t>水</w:t>
      </w:r>
      <w:r>
        <w:rPr>
          <w:rFonts w:hint="eastAsia"/>
          <w:highlight w:val="none"/>
          <w:lang w:eastAsia="zh-CN"/>
        </w:rPr>
        <w:t>生态</w:t>
      </w:r>
      <w:r>
        <w:rPr>
          <w:rFonts w:hint="eastAsia"/>
          <w:highlight w:val="none"/>
          <w:lang w:val="en-US" w:eastAsia="zh-CN"/>
        </w:rPr>
        <w:t>修复措施</w:t>
      </w:r>
      <w:r>
        <w:tab/>
      </w:r>
      <w:r>
        <w:fldChar w:fldCharType="begin"/>
      </w:r>
      <w:r>
        <w:instrText xml:space="preserve"> PAGEREF _Toc20799 \h </w:instrText>
      </w:r>
      <w:r>
        <w:fldChar w:fldCharType="separate"/>
      </w:r>
      <w:r>
        <w:t>59</w:t>
      </w:r>
      <w:r>
        <w:fldChar w:fldCharType="end"/>
      </w:r>
      <w:r>
        <w:rPr>
          <w:color w:val="auto"/>
          <w:highlight w:val="none"/>
        </w:rPr>
        <w:fldChar w:fldCharType="end"/>
      </w:r>
    </w:p>
    <w:p w14:paraId="21D81FFF">
      <w:pPr>
        <w:pStyle w:val="19"/>
        <w:tabs>
          <w:tab w:val="right" w:leader="dot" w:pos="8306"/>
        </w:tabs>
      </w:pPr>
      <w:r>
        <w:rPr>
          <w:color w:val="auto"/>
          <w:highlight w:val="none"/>
        </w:rPr>
        <w:fldChar w:fldCharType="begin"/>
      </w:r>
      <w:r>
        <w:rPr>
          <w:highlight w:val="none"/>
        </w:rPr>
        <w:instrText xml:space="preserve"> HYPERLINK \l _Toc28712 </w:instrText>
      </w:r>
      <w:r>
        <w:rPr>
          <w:highlight w:val="none"/>
        </w:rPr>
        <w:fldChar w:fldCharType="separate"/>
      </w:r>
      <w:r>
        <w:rPr>
          <w:rFonts w:hint="eastAsia"/>
          <w:lang w:val="en-US" w:eastAsia="zh-CN"/>
        </w:rPr>
        <w:t xml:space="preserve">6.6 </w:t>
      </w:r>
      <w:r>
        <w:rPr>
          <w:rFonts w:hint="default"/>
          <w:highlight w:val="none"/>
          <w:lang w:val="en-US" w:eastAsia="zh-CN"/>
        </w:rPr>
        <w:t>执法监管措施</w:t>
      </w:r>
      <w:r>
        <w:tab/>
      </w:r>
      <w:r>
        <w:fldChar w:fldCharType="begin"/>
      </w:r>
      <w:r>
        <w:instrText xml:space="preserve"> PAGEREF _Toc28712 \h </w:instrText>
      </w:r>
      <w:r>
        <w:fldChar w:fldCharType="separate"/>
      </w:r>
      <w:r>
        <w:t>60</w:t>
      </w:r>
      <w:r>
        <w:fldChar w:fldCharType="end"/>
      </w:r>
      <w:r>
        <w:rPr>
          <w:color w:val="auto"/>
          <w:highlight w:val="none"/>
        </w:rPr>
        <w:fldChar w:fldCharType="end"/>
      </w:r>
    </w:p>
    <w:p w14:paraId="62940518">
      <w:pPr>
        <w:pStyle w:val="18"/>
        <w:tabs>
          <w:tab w:val="right" w:leader="dot" w:pos="8306"/>
        </w:tabs>
      </w:pPr>
      <w:r>
        <w:rPr>
          <w:color w:val="auto"/>
          <w:highlight w:val="none"/>
        </w:rPr>
        <w:fldChar w:fldCharType="begin"/>
      </w:r>
      <w:r>
        <w:rPr>
          <w:highlight w:val="none"/>
        </w:rPr>
        <w:instrText xml:space="preserve"> HYPERLINK \l _Toc15630 </w:instrText>
      </w:r>
      <w:r>
        <w:rPr>
          <w:highlight w:val="none"/>
        </w:rPr>
        <w:fldChar w:fldCharType="separate"/>
      </w:r>
      <w:r>
        <w:rPr>
          <w:rFonts w:hint="default" w:ascii="Times New Roman" w:hAnsi="Times New Roman" w:eastAsia="宋体" w:cs="Times New Roman"/>
        </w:rPr>
        <w:t xml:space="preserve">7 </w:t>
      </w:r>
      <w:r>
        <w:rPr>
          <w:rFonts w:hint="default"/>
          <w:highlight w:val="none"/>
          <w:lang w:val="en-US" w:eastAsia="zh-CN"/>
        </w:rPr>
        <w:t>实施效果评价</w:t>
      </w:r>
      <w:r>
        <w:tab/>
      </w:r>
      <w:r>
        <w:fldChar w:fldCharType="begin"/>
      </w:r>
      <w:r>
        <w:instrText xml:space="preserve"> PAGEREF _Toc15630 \h </w:instrText>
      </w:r>
      <w:r>
        <w:fldChar w:fldCharType="separate"/>
      </w:r>
      <w:r>
        <w:t>62</w:t>
      </w:r>
      <w:r>
        <w:fldChar w:fldCharType="end"/>
      </w:r>
      <w:r>
        <w:rPr>
          <w:color w:val="auto"/>
          <w:highlight w:val="none"/>
        </w:rPr>
        <w:fldChar w:fldCharType="end"/>
      </w:r>
    </w:p>
    <w:p w14:paraId="6A38688E">
      <w:pPr>
        <w:pStyle w:val="19"/>
        <w:tabs>
          <w:tab w:val="right" w:leader="dot" w:pos="8306"/>
        </w:tabs>
      </w:pPr>
      <w:r>
        <w:rPr>
          <w:color w:val="auto"/>
          <w:highlight w:val="none"/>
        </w:rPr>
        <w:fldChar w:fldCharType="begin"/>
      </w:r>
      <w:r>
        <w:rPr>
          <w:highlight w:val="none"/>
        </w:rPr>
        <w:instrText xml:space="preserve"> HYPERLINK \l _Toc6889 </w:instrText>
      </w:r>
      <w:r>
        <w:rPr>
          <w:highlight w:val="none"/>
        </w:rPr>
        <w:fldChar w:fldCharType="separate"/>
      </w:r>
      <w:r>
        <w:rPr>
          <w:rFonts w:hint="eastAsia"/>
          <w:lang w:val="en-US" w:eastAsia="zh-CN"/>
        </w:rPr>
        <w:t xml:space="preserve">7.1 </w:t>
      </w:r>
      <w:r>
        <w:rPr>
          <w:rFonts w:hint="eastAsia"/>
          <w:highlight w:val="none"/>
          <w:lang w:val="en-US" w:eastAsia="zh-CN"/>
        </w:rPr>
        <w:t>环境效益</w:t>
      </w:r>
      <w:r>
        <w:tab/>
      </w:r>
      <w:r>
        <w:fldChar w:fldCharType="begin"/>
      </w:r>
      <w:r>
        <w:instrText xml:space="preserve"> PAGEREF _Toc6889 \h </w:instrText>
      </w:r>
      <w:r>
        <w:fldChar w:fldCharType="separate"/>
      </w:r>
      <w:r>
        <w:t>62</w:t>
      </w:r>
      <w:r>
        <w:fldChar w:fldCharType="end"/>
      </w:r>
      <w:r>
        <w:rPr>
          <w:color w:val="auto"/>
          <w:highlight w:val="none"/>
        </w:rPr>
        <w:fldChar w:fldCharType="end"/>
      </w:r>
    </w:p>
    <w:p w14:paraId="6E84DA1F">
      <w:pPr>
        <w:pStyle w:val="19"/>
        <w:tabs>
          <w:tab w:val="right" w:leader="dot" w:pos="8306"/>
        </w:tabs>
      </w:pPr>
      <w:r>
        <w:rPr>
          <w:color w:val="auto"/>
          <w:highlight w:val="none"/>
        </w:rPr>
        <w:fldChar w:fldCharType="begin"/>
      </w:r>
      <w:r>
        <w:rPr>
          <w:highlight w:val="none"/>
        </w:rPr>
        <w:instrText xml:space="preserve"> HYPERLINK \l _Toc12135 </w:instrText>
      </w:r>
      <w:r>
        <w:rPr>
          <w:highlight w:val="none"/>
        </w:rPr>
        <w:fldChar w:fldCharType="separate"/>
      </w:r>
      <w:r>
        <w:rPr>
          <w:rFonts w:hint="eastAsia"/>
          <w:lang w:val="en-US" w:eastAsia="zh-CN"/>
        </w:rPr>
        <w:t xml:space="preserve">7.2 </w:t>
      </w:r>
      <w:r>
        <w:rPr>
          <w:rFonts w:hint="eastAsia"/>
          <w:highlight w:val="none"/>
          <w:lang w:val="en-US" w:eastAsia="zh-CN"/>
        </w:rPr>
        <w:t>经济效益</w:t>
      </w:r>
      <w:r>
        <w:tab/>
      </w:r>
      <w:r>
        <w:fldChar w:fldCharType="begin"/>
      </w:r>
      <w:r>
        <w:instrText xml:space="preserve"> PAGEREF _Toc12135 \h </w:instrText>
      </w:r>
      <w:r>
        <w:fldChar w:fldCharType="separate"/>
      </w:r>
      <w:r>
        <w:t>63</w:t>
      </w:r>
      <w:r>
        <w:fldChar w:fldCharType="end"/>
      </w:r>
      <w:r>
        <w:rPr>
          <w:color w:val="auto"/>
          <w:highlight w:val="none"/>
        </w:rPr>
        <w:fldChar w:fldCharType="end"/>
      </w:r>
    </w:p>
    <w:p w14:paraId="55CE4F29">
      <w:pPr>
        <w:pStyle w:val="19"/>
        <w:tabs>
          <w:tab w:val="right" w:leader="dot" w:pos="8306"/>
        </w:tabs>
      </w:pPr>
      <w:r>
        <w:rPr>
          <w:color w:val="auto"/>
          <w:highlight w:val="none"/>
        </w:rPr>
        <w:fldChar w:fldCharType="begin"/>
      </w:r>
      <w:r>
        <w:rPr>
          <w:highlight w:val="none"/>
        </w:rPr>
        <w:instrText xml:space="preserve"> HYPERLINK \l _Toc13489 </w:instrText>
      </w:r>
      <w:r>
        <w:rPr>
          <w:highlight w:val="none"/>
        </w:rPr>
        <w:fldChar w:fldCharType="separate"/>
      </w:r>
      <w:r>
        <w:rPr>
          <w:rFonts w:hint="eastAsia"/>
          <w:lang w:val="en-US" w:eastAsia="zh-CN"/>
        </w:rPr>
        <w:t xml:space="preserve">7.3 </w:t>
      </w:r>
      <w:r>
        <w:rPr>
          <w:rFonts w:hint="eastAsia"/>
          <w:highlight w:val="none"/>
          <w:lang w:val="en-US" w:eastAsia="zh-CN"/>
        </w:rPr>
        <w:t>社会效益</w:t>
      </w:r>
      <w:r>
        <w:tab/>
      </w:r>
      <w:r>
        <w:fldChar w:fldCharType="begin"/>
      </w:r>
      <w:r>
        <w:instrText xml:space="preserve"> PAGEREF _Toc13489 \h </w:instrText>
      </w:r>
      <w:r>
        <w:fldChar w:fldCharType="separate"/>
      </w:r>
      <w:r>
        <w:t>63</w:t>
      </w:r>
      <w:r>
        <w:fldChar w:fldCharType="end"/>
      </w:r>
      <w:r>
        <w:rPr>
          <w:color w:val="auto"/>
          <w:highlight w:val="none"/>
        </w:rPr>
        <w:fldChar w:fldCharType="end"/>
      </w:r>
    </w:p>
    <w:p w14:paraId="558E2B16">
      <w:pPr>
        <w:pStyle w:val="18"/>
        <w:tabs>
          <w:tab w:val="right" w:leader="dot" w:pos="8306"/>
        </w:tabs>
      </w:pPr>
      <w:r>
        <w:rPr>
          <w:color w:val="auto"/>
          <w:highlight w:val="none"/>
        </w:rPr>
        <w:fldChar w:fldCharType="begin"/>
      </w:r>
      <w:r>
        <w:rPr>
          <w:highlight w:val="none"/>
        </w:rPr>
        <w:instrText xml:space="preserve"> HYPERLINK \l _Toc13748 </w:instrText>
      </w:r>
      <w:r>
        <w:rPr>
          <w:highlight w:val="none"/>
        </w:rPr>
        <w:fldChar w:fldCharType="separate"/>
      </w:r>
      <w:r>
        <w:rPr>
          <w:rFonts w:hint="default" w:ascii="Times New Roman" w:hAnsi="Times New Roman" w:eastAsia="宋体" w:cs="Times New Roman"/>
        </w:rPr>
        <w:t xml:space="preserve">8 </w:t>
      </w:r>
      <w:r>
        <w:rPr>
          <w:rFonts w:hint="eastAsia"/>
          <w:highlight w:val="none"/>
          <w:lang w:val="en-US" w:eastAsia="zh-CN"/>
        </w:rPr>
        <w:t>保障措施</w:t>
      </w:r>
      <w:r>
        <w:tab/>
      </w:r>
      <w:r>
        <w:fldChar w:fldCharType="begin"/>
      </w:r>
      <w:r>
        <w:instrText xml:space="preserve"> PAGEREF _Toc13748 \h </w:instrText>
      </w:r>
      <w:r>
        <w:fldChar w:fldCharType="separate"/>
      </w:r>
      <w:r>
        <w:t>65</w:t>
      </w:r>
      <w:r>
        <w:fldChar w:fldCharType="end"/>
      </w:r>
      <w:r>
        <w:rPr>
          <w:color w:val="auto"/>
          <w:highlight w:val="none"/>
        </w:rPr>
        <w:fldChar w:fldCharType="end"/>
      </w:r>
    </w:p>
    <w:p w14:paraId="681C3778">
      <w:pPr>
        <w:pStyle w:val="19"/>
        <w:tabs>
          <w:tab w:val="right" w:leader="dot" w:pos="8306"/>
        </w:tabs>
      </w:pPr>
      <w:r>
        <w:rPr>
          <w:color w:val="auto"/>
          <w:highlight w:val="none"/>
        </w:rPr>
        <w:fldChar w:fldCharType="begin"/>
      </w:r>
      <w:r>
        <w:rPr>
          <w:highlight w:val="none"/>
        </w:rPr>
        <w:instrText xml:space="preserve"> HYPERLINK \l _Toc13430 </w:instrText>
      </w:r>
      <w:r>
        <w:rPr>
          <w:highlight w:val="none"/>
        </w:rPr>
        <w:fldChar w:fldCharType="separate"/>
      </w:r>
      <w:r>
        <w:rPr>
          <w:rFonts w:hint="eastAsia"/>
          <w:lang w:val="en-US" w:eastAsia="zh-CN"/>
        </w:rPr>
        <w:t xml:space="preserve">8.1 </w:t>
      </w:r>
      <w:r>
        <w:rPr>
          <w:rFonts w:hint="default"/>
          <w:highlight w:val="none"/>
          <w:lang w:val="en-US" w:eastAsia="zh-CN"/>
        </w:rPr>
        <w:t>组织保障</w:t>
      </w:r>
      <w:r>
        <w:tab/>
      </w:r>
      <w:r>
        <w:fldChar w:fldCharType="begin"/>
      </w:r>
      <w:r>
        <w:instrText xml:space="preserve"> PAGEREF _Toc13430 \h </w:instrText>
      </w:r>
      <w:r>
        <w:fldChar w:fldCharType="separate"/>
      </w:r>
      <w:r>
        <w:t>65</w:t>
      </w:r>
      <w:r>
        <w:fldChar w:fldCharType="end"/>
      </w:r>
      <w:r>
        <w:rPr>
          <w:color w:val="auto"/>
          <w:highlight w:val="none"/>
        </w:rPr>
        <w:fldChar w:fldCharType="end"/>
      </w:r>
    </w:p>
    <w:p w14:paraId="46174F97">
      <w:pPr>
        <w:pStyle w:val="19"/>
        <w:tabs>
          <w:tab w:val="right" w:leader="dot" w:pos="8306"/>
        </w:tabs>
      </w:pPr>
      <w:r>
        <w:rPr>
          <w:color w:val="auto"/>
          <w:highlight w:val="none"/>
        </w:rPr>
        <w:fldChar w:fldCharType="begin"/>
      </w:r>
      <w:r>
        <w:rPr>
          <w:highlight w:val="none"/>
        </w:rPr>
        <w:instrText xml:space="preserve"> HYPERLINK \l _Toc21892 </w:instrText>
      </w:r>
      <w:r>
        <w:rPr>
          <w:highlight w:val="none"/>
        </w:rPr>
        <w:fldChar w:fldCharType="separate"/>
      </w:r>
      <w:r>
        <w:rPr>
          <w:rFonts w:hint="eastAsia"/>
          <w:lang w:val="en-US" w:eastAsia="zh-CN"/>
        </w:rPr>
        <w:t xml:space="preserve">8.2 </w:t>
      </w:r>
      <w:r>
        <w:rPr>
          <w:rFonts w:hint="default"/>
          <w:highlight w:val="none"/>
          <w:lang w:val="en-US" w:eastAsia="zh-CN"/>
        </w:rPr>
        <w:t>制度保障</w:t>
      </w:r>
      <w:r>
        <w:tab/>
      </w:r>
      <w:r>
        <w:fldChar w:fldCharType="begin"/>
      </w:r>
      <w:r>
        <w:instrText xml:space="preserve"> PAGEREF _Toc21892 \h </w:instrText>
      </w:r>
      <w:r>
        <w:fldChar w:fldCharType="separate"/>
      </w:r>
      <w:r>
        <w:t>65</w:t>
      </w:r>
      <w:r>
        <w:fldChar w:fldCharType="end"/>
      </w:r>
      <w:r>
        <w:rPr>
          <w:color w:val="auto"/>
          <w:highlight w:val="none"/>
        </w:rPr>
        <w:fldChar w:fldCharType="end"/>
      </w:r>
    </w:p>
    <w:p w14:paraId="0BF1C08D">
      <w:pPr>
        <w:pStyle w:val="19"/>
        <w:tabs>
          <w:tab w:val="right" w:leader="dot" w:pos="8306"/>
        </w:tabs>
      </w:pPr>
      <w:r>
        <w:rPr>
          <w:color w:val="auto"/>
          <w:highlight w:val="none"/>
        </w:rPr>
        <w:fldChar w:fldCharType="begin"/>
      </w:r>
      <w:r>
        <w:rPr>
          <w:highlight w:val="none"/>
        </w:rPr>
        <w:instrText xml:space="preserve"> HYPERLINK \l _Toc29259 </w:instrText>
      </w:r>
      <w:r>
        <w:rPr>
          <w:highlight w:val="none"/>
        </w:rPr>
        <w:fldChar w:fldCharType="separate"/>
      </w:r>
      <w:r>
        <w:rPr>
          <w:rFonts w:hint="eastAsia"/>
          <w:lang w:val="en-US" w:eastAsia="zh-CN"/>
        </w:rPr>
        <w:t xml:space="preserve">8.3 </w:t>
      </w:r>
      <w:r>
        <w:rPr>
          <w:rFonts w:hint="default"/>
          <w:highlight w:val="none"/>
          <w:lang w:val="en-US" w:eastAsia="zh-CN"/>
        </w:rPr>
        <w:t>经费保障</w:t>
      </w:r>
      <w:r>
        <w:tab/>
      </w:r>
      <w:r>
        <w:fldChar w:fldCharType="begin"/>
      </w:r>
      <w:r>
        <w:instrText xml:space="preserve"> PAGEREF _Toc29259 \h </w:instrText>
      </w:r>
      <w:r>
        <w:fldChar w:fldCharType="separate"/>
      </w:r>
      <w:r>
        <w:t>65</w:t>
      </w:r>
      <w:r>
        <w:fldChar w:fldCharType="end"/>
      </w:r>
      <w:r>
        <w:rPr>
          <w:color w:val="auto"/>
          <w:highlight w:val="none"/>
        </w:rPr>
        <w:fldChar w:fldCharType="end"/>
      </w:r>
    </w:p>
    <w:p w14:paraId="393DF561">
      <w:pPr>
        <w:pStyle w:val="19"/>
        <w:tabs>
          <w:tab w:val="right" w:leader="dot" w:pos="8306"/>
        </w:tabs>
      </w:pPr>
      <w:r>
        <w:rPr>
          <w:color w:val="auto"/>
          <w:highlight w:val="none"/>
        </w:rPr>
        <w:fldChar w:fldCharType="begin"/>
      </w:r>
      <w:r>
        <w:rPr>
          <w:highlight w:val="none"/>
        </w:rPr>
        <w:instrText xml:space="preserve"> HYPERLINK \l _Toc21589 </w:instrText>
      </w:r>
      <w:r>
        <w:rPr>
          <w:highlight w:val="none"/>
        </w:rPr>
        <w:fldChar w:fldCharType="separate"/>
      </w:r>
      <w:r>
        <w:rPr>
          <w:rFonts w:hint="eastAsia"/>
          <w:lang w:val="en-US" w:eastAsia="zh-CN"/>
        </w:rPr>
        <w:t xml:space="preserve">8.4 </w:t>
      </w:r>
      <w:r>
        <w:rPr>
          <w:rFonts w:hint="default"/>
          <w:highlight w:val="none"/>
          <w:lang w:val="en-US" w:eastAsia="zh-CN"/>
        </w:rPr>
        <w:t>队伍保障</w:t>
      </w:r>
      <w:r>
        <w:tab/>
      </w:r>
      <w:r>
        <w:fldChar w:fldCharType="begin"/>
      </w:r>
      <w:r>
        <w:instrText xml:space="preserve"> PAGEREF _Toc21589 \h </w:instrText>
      </w:r>
      <w:r>
        <w:fldChar w:fldCharType="separate"/>
      </w:r>
      <w:r>
        <w:t>66</w:t>
      </w:r>
      <w:r>
        <w:fldChar w:fldCharType="end"/>
      </w:r>
      <w:r>
        <w:rPr>
          <w:color w:val="auto"/>
          <w:highlight w:val="none"/>
        </w:rPr>
        <w:fldChar w:fldCharType="end"/>
      </w:r>
    </w:p>
    <w:p w14:paraId="3A396202">
      <w:pPr>
        <w:pStyle w:val="19"/>
        <w:tabs>
          <w:tab w:val="right" w:leader="dot" w:pos="8306"/>
        </w:tabs>
      </w:pPr>
      <w:r>
        <w:rPr>
          <w:color w:val="auto"/>
          <w:highlight w:val="none"/>
        </w:rPr>
        <w:fldChar w:fldCharType="begin"/>
      </w:r>
      <w:r>
        <w:rPr>
          <w:highlight w:val="none"/>
        </w:rPr>
        <w:instrText xml:space="preserve"> HYPERLINK \l _Toc7305 </w:instrText>
      </w:r>
      <w:r>
        <w:rPr>
          <w:highlight w:val="none"/>
        </w:rPr>
        <w:fldChar w:fldCharType="separate"/>
      </w:r>
      <w:r>
        <w:rPr>
          <w:rFonts w:hint="eastAsia"/>
          <w:lang w:val="en-US" w:eastAsia="zh-CN"/>
        </w:rPr>
        <w:t xml:space="preserve">8.5 </w:t>
      </w:r>
      <w:r>
        <w:rPr>
          <w:rFonts w:hint="default"/>
          <w:highlight w:val="none"/>
          <w:lang w:val="en-US" w:eastAsia="zh-CN"/>
        </w:rPr>
        <w:t>机制保障</w:t>
      </w:r>
      <w:r>
        <w:tab/>
      </w:r>
      <w:r>
        <w:fldChar w:fldCharType="begin"/>
      </w:r>
      <w:r>
        <w:instrText xml:space="preserve"> PAGEREF _Toc7305 \h </w:instrText>
      </w:r>
      <w:r>
        <w:fldChar w:fldCharType="separate"/>
      </w:r>
      <w:r>
        <w:t>66</w:t>
      </w:r>
      <w:r>
        <w:fldChar w:fldCharType="end"/>
      </w:r>
      <w:r>
        <w:rPr>
          <w:color w:val="auto"/>
          <w:highlight w:val="none"/>
        </w:rPr>
        <w:fldChar w:fldCharType="end"/>
      </w:r>
    </w:p>
    <w:p w14:paraId="39222F16">
      <w:pPr>
        <w:pStyle w:val="19"/>
        <w:tabs>
          <w:tab w:val="right" w:leader="dot" w:pos="8306"/>
        </w:tabs>
      </w:pPr>
      <w:r>
        <w:rPr>
          <w:color w:val="auto"/>
          <w:highlight w:val="none"/>
        </w:rPr>
        <w:fldChar w:fldCharType="begin"/>
      </w:r>
      <w:r>
        <w:rPr>
          <w:highlight w:val="none"/>
        </w:rPr>
        <w:instrText xml:space="preserve"> HYPERLINK \l _Toc29349 </w:instrText>
      </w:r>
      <w:r>
        <w:rPr>
          <w:highlight w:val="none"/>
        </w:rPr>
        <w:fldChar w:fldCharType="separate"/>
      </w:r>
      <w:r>
        <w:rPr>
          <w:rFonts w:hint="eastAsia"/>
          <w:lang w:val="en-US" w:eastAsia="zh-CN"/>
        </w:rPr>
        <w:t xml:space="preserve">8.6 </w:t>
      </w:r>
      <w:r>
        <w:rPr>
          <w:rFonts w:hint="default"/>
          <w:highlight w:val="none"/>
          <w:lang w:val="en-US" w:eastAsia="zh-CN"/>
        </w:rPr>
        <w:t>监督保障</w:t>
      </w:r>
      <w:r>
        <w:tab/>
      </w:r>
      <w:r>
        <w:fldChar w:fldCharType="begin"/>
      </w:r>
      <w:r>
        <w:instrText xml:space="preserve"> PAGEREF _Toc29349 \h </w:instrText>
      </w:r>
      <w:r>
        <w:fldChar w:fldCharType="separate"/>
      </w:r>
      <w:r>
        <w:t>66</w:t>
      </w:r>
      <w:r>
        <w:fldChar w:fldCharType="end"/>
      </w:r>
      <w:r>
        <w:rPr>
          <w:color w:val="auto"/>
          <w:highlight w:val="none"/>
        </w:rPr>
        <w:fldChar w:fldCharType="end"/>
      </w:r>
    </w:p>
    <w:p w14:paraId="5847D299">
      <w:pPr>
        <w:pStyle w:val="18"/>
        <w:tabs>
          <w:tab w:val="right" w:leader="dot" w:pos="8306"/>
        </w:tabs>
      </w:pPr>
      <w:r>
        <w:rPr>
          <w:color w:val="auto"/>
          <w:highlight w:val="none"/>
        </w:rPr>
        <w:fldChar w:fldCharType="begin"/>
      </w:r>
      <w:r>
        <w:rPr>
          <w:highlight w:val="none"/>
        </w:rPr>
        <w:instrText xml:space="preserve"> HYPERLINK \l _Toc14105 </w:instrText>
      </w:r>
      <w:r>
        <w:rPr>
          <w:highlight w:val="none"/>
        </w:rPr>
        <w:fldChar w:fldCharType="separate"/>
      </w:r>
      <w:r>
        <w:rPr>
          <w:rFonts w:hint="eastAsia"/>
          <w:highlight w:val="none"/>
          <w:lang w:val="en-US" w:eastAsia="zh-CN"/>
        </w:rPr>
        <w:t>9  附表</w:t>
      </w:r>
      <w:r>
        <w:tab/>
      </w:r>
      <w:r>
        <w:fldChar w:fldCharType="begin"/>
      </w:r>
      <w:r>
        <w:instrText xml:space="preserve"> PAGEREF _Toc14105 \h </w:instrText>
      </w:r>
      <w:r>
        <w:fldChar w:fldCharType="separate"/>
      </w:r>
      <w:r>
        <w:t>68</w:t>
      </w:r>
      <w:r>
        <w:fldChar w:fldCharType="end"/>
      </w:r>
      <w:r>
        <w:rPr>
          <w:color w:val="auto"/>
          <w:highlight w:val="none"/>
        </w:rPr>
        <w:fldChar w:fldCharType="end"/>
      </w:r>
    </w:p>
    <w:p w14:paraId="3CA137E2">
      <w:pPr>
        <w:pStyle w:val="19"/>
        <w:tabs>
          <w:tab w:val="right" w:leader="dot" w:pos="8306"/>
        </w:tabs>
      </w:pPr>
      <w:r>
        <w:rPr>
          <w:color w:val="auto"/>
          <w:highlight w:val="none"/>
        </w:rPr>
        <w:fldChar w:fldCharType="begin"/>
      </w:r>
      <w:r>
        <w:rPr>
          <w:highlight w:val="none"/>
        </w:rPr>
        <w:instrText xml:space="preserve"> HYPERLINK \l _Toc23701 </w:instrText>
      </w:r>
      <w:r>
        <w:rPr>
          <w:highlight w:val="none"/>
        </w:rPr>
        <w:fldChar w:fldCharType="separate"/>
      </w:r>
      <w:r>
        <w:rPr>
          <w:rFonts w:hint="eastAsia"/>
          <w:szCs w:val="24"/>
          <w:lang w:eastAsia="zh-CN"/>
        </w:rPr>
        <w:t>附</w:t>
      </w:r>
      <w:r>
        <w:rPr>
          <w:rFonts w:hint="default"/>
          <w:szCs w:val="24"/>
          <w:lang w:eastAsia="zh-CN"/>
        </w:rPr>
        <w:t>表</w:t>
      </w:r>
      <w:r>
        <w:rPr>
          <w:rFonts w:hint="default"/>
          <w:szCs w:val="24"/>
          <w:lang w:val="en-US" w:eastAsia="zh-CN"/>
        </w:rPr>
        <w:t xml:space="preserve">1  </w:t>
      </w:r>
      <w:r>
        <w:rPr>
          <w:rFonts w:hint="eastAsia"/>
          <w:szCs w:val="24"/>
          <w:lang w:val="en-US" w:eastAsia="zh-CN"/>
        </w:rPr>
        <w:t>石耶镇</w:t>
      </w:r>
      <w:r>
        <w:rPr>
          <w:rFonts w:hint="default"/>
          <w:szCs w:val="24"/>
          <w:lang w:val="en-US" w:eastAsia="zh-CN"/>
        </w:rPr>
        <w:t>河</w:t>
      </w:r>
      <w:r>
        <w:rPr>
          <w:rFonts w:hint="eastAsia"/>
          <w:szCs w:val="24"/>
          <w:lang w:val="en-US" w:eastAsia="zh-CN"/>
        </w:rPr>
        <w:t>流</w:t>
      </w:r>
      <w:r>
        <w:rPr>
          <w:rFonts w:hint="default"/>
          <w:szCs w:val="24"/>
          <w:lang w:val="en-US" w:eastAsia="zh-CN"/>
        </w:rPr>
        <w:t>全面推行河长制问题、措施及责任清单</w:t>
      </w:r>
      <w:r>
        <w:tab/>
      </w:r>
      <w:r>
        <w:fldChar w:fldCharType="begin"/>
      </w:r>
      <w:r>
        <w:instrText xml:space="preserve"> PAGEREF _Toc23701 \h </w:instrText>
      </w:r>
      <w:r>
        <w:fldChar w:fldCharType="separate"/>
      </w:r>
      <w:r>
        <w:t>68</w:t>
      </w:r>
      <w:r>
        <w:fldChar w:fldCharType="end"/>
      </w:r>
      <w:r>
        <w:rPr>
          <w:color w:val="auto"/>
          <w:highlight w:val="none"/>
        </w:rPr>
        <w:fldChar w:fldCharType="end"/>
      </w:r>
    </w:p>
    <w:p w14:paraId="56481821">
      <w:pPr>
        <w:pStyle w:val="18"/>
        <w:tabs>
          <w:tab w:val="right" w:leader="dot" w:pos="8306"/>
        </w:tabs>
      </w:pPr>
      <w:r>
        <w:rPr>
          <w:color w:val="auto"/>
          <w:highlight w:val="none"/>
        </w:rPr>
        <w:fldChar w:fldCharType="begin"/>
      </w:r>
      <w:r>
        <w:rPr>
          <w:highlight w:val="none"/>
        </w:rPr>
        <w:instrText xml:space="preserve"> HYPERLINK \l _Toc32264 </w:instrText>
      </w:r>
      <w:r>
        <w:rPr>
          <w:highlight w:val="none"/>
        </w:rPr>
        <w:fldChar w:fldCharType="separate"/>
      </w:r>
      <w:r>
        <w:rPr>
          <w:rFonts w:hint="eastAsia"/>
          <w:highlight w:val="none"/>
          <w:lang w:val="en-US" w:eastAsia="zh-CN"/>
        </w:rPr>
        <w:t>10  附图</w:t>
      </w:r>
      <w:r>
        <w:tab/>
      </w:r>
      <w:r>
        <w:fldChar w:fldCharType="begin"/>
      </w:r>
      <w:r>
        <w:instrText xml:space="preserve"> PAGEREF _Toc32264 \h </w:instrText>
      </w:r>
      <w:r>
        <w:fldChar w:fldCharType="separate"/>
      </w:r>
      <w:r>
        <w:t>73</w:t>
      </w:r>
      <w:r>
        <w:fldChar w:fldCharType="end"/>
      </w:r>
      <w:r>
        <w:rPr>
          <w:color w:val="auto"/>
          <w:highlight w:val="none"/>
        </w:rPr>
        <w:fldChar w:fldCharType="end"/>
      </w:r>
    </w:p>
    <w:p w14:paraId="67105A9B">
      <w:pPr>
        <w:pStyle w:val="19"/>
        <w:tabs>
          <w:tab w:val="right" w:leader="dot" w:pos="8306"/>
        </w:tabs>
      </w:pPr>
      <w:r>
        <w:rPr>
          <w:color w:val="auto"/>
          <w:highlight w:val="none"/>
        </w:rPr>
        <w:fldChar w:fldCharType="begin"/>
      </w:r>
      <w:r>
        <w:rPr>
          <w:highlight w:val="none"/>
        </w:rPr>
        <w:instrText xml:space="preserve"> HYPERLINK \l _Toc25767 </w:instrText>
      </w:r>
      <w:r>
        <w:rPr>
          <w:highlight w:val="none"/>
        </w:rPr>
        <w:fldChar w:fldCharType="separate"/>
      </w:r>
      <w:r>
        <w:rPr>
          <w:rFonts w:hint="eastAsia"/>
          <w:szCs w:val="24"/>
          <w:lang w:eastAsia="zh-CN"/>
        </w:rPr>
        <w:t>附</w:t>
      </w:r>
      <w:r>
        <w:rPr>
          <w:rFonts w:hint="eastAsia"/>
          <w:szCs w:val="24"/>
          <w:lang w:val="en-US" w:eastAsia="zh-CN"/>
        </w:rPr>
        <w:t>图</w:t>
      </w:r>
      <w:r>
        <w:rPr>
          <w:rFonts w:hint="default"/>
          <w:szCs w:val="24"/>
          <w:lang w:val="en-US" w:eastAsia="zh-CN"/>
        </w:rPr>
        <w:t xml:space="preserve">1  </w:t>
      </w:r>
      <w:r>
        <w:rPr>
          <w:rFonts w:hint="eastAsia"/>
          <w:szCs w:val="24"/>
          <w:lang w:val="en-US" w:eastAsia="zh-CN"/>
        </w:rPr>
        <w:t>石耶镇河流水系图</w:t>
      </w:r>
      <w:r>
        <w:tab/>
      </w:r>
      <w:r>
        <w:fldChar w:fldCharType="begin"/>
      </w:r>
      <w:r>
        <w:instrText xml:space="preserve"> PAGEREF _Toc25767 \h </w:instrText>
      </w:r>
      <w:r>
        <w:fldChar w:fldCharType="separate"/>
      </w:r>
      <w:r>
        <w:t>73</w:t>
      </w:r>
      <w:r>
        <w:fldChar w:fldCharType="end"/>
      </w:r>
      <w:r>
        <w:rPr>
          <w:color w:val="auto"/>
          <w:highlight w:val="none"/>
        </w:rPr>
        <w:fldChar w:fldCharType="end"/>
      </w:r>
    </w:p>
    <w:p w14:paraId="40B58424">
      <w:pPr>
        <w:pStyle w:val="19"/>
        <w:tabs>
          <w:tab w:val="right" w:leader="dot" w:pos="8306"/>
        </w:tabs>
      </w:pPr>
      <w:r>
        <w:rPr>
          <w:color w:val="auto"/>
          <w:highlight w:val="none"/>
        </w:rPr>
        <w:fldChar w:fldCharType="begin"/>
      </w:r>
      <w:r>
        <w:rPr>
          <w:highlight w:val="none"/>
        </w:rPr>
        <w:instrText xml:space="preserve"> HYPERLINK \l _Toc3541 </w:instrText>
      </w:r>
      <w:r>
        <w:rPr>
          <w:highlight w:val="none"/>
        </w:rPr>
        <w:fldChar w:fldCharType="separate"/>
      </w:r>
      <w:r>
        <w:rPr>
          <w:rFonts w:hint="eastAsia"/>
          <w:szCs w:val="24"/>
          <w:lang w:eastAsia="zh-CN"/>
        </w:rPr>
        <w:t>附</w:t>
      </w:r>
      <w:r>
        <w:rPr>
          <w:rFonts w:hint="eastAsia"/>
          <w:szCs w:val="24"/>
          <w:lang w:val="en-US" w:eastAsia="zh-CN"/>
        </w:rPr>
        <w:t>图2</w:t>
      </w:r>
      <w:r>
        <w:rPr>
          <w:rFonts w:hint="default"/>
          <w:szCs w:val="24"/>
          <w:lang w:val="en-US" w:eastAsia="zh-CN"/>
        </w:rPr>
        <w:t xml:space="preserve">  </w:t>
      </w:r>
      <w:r>
        <w:rPr>
          <w:rFonts w:hint="eastAsia"/>
          <w:szCs w:val="24"/>
          <w:lang w:val="en-US" w:eastAsia="zh-CN"/>
        </w:rPr>
        <w:t>石耶镇河流主要问题及措施分布图</w:t>
      </w:r>
      <w:r>
        <w:tab/>
      </w:r>
      <w:r>
        <w:fldChar w:fldCharType="begin"/>
      </w:r>
      <w:r>
        <w:instrText xml:space="preserve"> PAGEREF _Toc3541 \h </w:instrText>
      </w:r>
      <w:r>
        <w:fldChar w:fldCharType="separate"/>
      </w:r>
      <w:r>
        <w:t>73</w:t>
      </w:r>
      <w:r>
        <w:fldChar w:fldCharType="end"/>
      </w:r>
      <w:r>
        <w:rPr>
          <w:color w:val="auto"/>
          <w:highlight w:val="none"/>
        </w:rPr>
        <w:fldChar w:fldCharType="end"/>
      </w:r>
    </w:p>
    <w:p w14:paraId="6636FEE1">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0" w:firstLineChars="0"/>
        <w:jc w:val="both"/>
        <w:textAlignment w:val="auto"/>
        <w:outlineLvl w:val="9"/>
        <w:rPr>
          <w:color w:val="auto"/>
          <w:highlight w:val="none"/>
        </w:rPr>
      </w:pPr>
      <w:r>
        <w:rPr>
          <w:color w:val="auto"/>
          <w:highlight w:val="none"/>
        </w:rPr>
        <w:fldChar w:fldCharType="end"/>
      </w:r>
    </w:p>
    <w:p w14:paraId="040C728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华文中宋" w:cs="Times New Roman"/>
          <w:b/>
          <w:bCs/>
          <w:color w:val="auto"/>
          <w:sz w:val="24"/>
          <w:szCs w:val="24"/>
          <w:highlight w:val="none"/>
          <w:lang w:val="en-US" w:eastAsia="zh-CN"/>
        </w:rPr>
      </w:pPr>
    </w:p>
    <w:p w14:paraId="397C1C2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华文中宋" w:cs="Times New Roman"/>
          <w:b/>
          <w:bCs/>
          <w:color w:val="auto"/>
          <w:sz w:val="24"/>
          <w:szCs w:val="24"/>
          <w:highlight w:val="none"/>
          <w:lang w:val="en-US" w:eastAsia="zh-CN"/>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AndChars" w:linePitch="312" w:charSpace="0"/>
        </w:sectPr>
      </w:pPr>
    </w:p>
    <w:p w14:paraId="00984604">
      <w:pPr>
        <w:pStyle w:val="4"/>
        <w:numPr>
          <w:ilvl w:val="0"/>
          <w:numId w:val="0"/>
        </w:numPr>
        <w:bidi w:val="0"/>
        <w:ind w:leftChars="0"/>
        <w:jc w:val="center"/>
        <w:rPr>
          <w:rFonts w:hint="eastAsia"/>
          <w:lang w:eastAsia="zh-CN"/>
        </w:rPr>
      </w:pPr>
      <w:bookmarkStart w:id="0" w:name="_Toc31393"/>
      <w:r>
        <w:rPr>
          <w:rFonts w:hint="eastAsia"/>
          <w:lang w:eastAsia="zh-CN"/>
        </w:rPr>
        <w:t>前</w:t>
      </w:r>
      <w:r>
        <w:rPr>
          <w:rFonts w:hint="eastAsia"/>
          <w:lang w:val="en-US" w:eastAsia="zh-CN"/>
        </w:rPr>
        <w:t xml:space="preserve">  </w:t>
      </w:r>
      <w:r>
        <w:rPr>
          <w:rFonts w:hint="eastAsia"/>
          <w:lang w:eastAsia="zh-CN"/>
        </w:rPr>
        <w:t>言</w:t>
      </w:r>
      <w:bookmarkEnd w:id="0"/>
    </w:p>
    <w:p w14:paraId="61552EA1">
      <w:pPr>
        <w:pStyle w:val="5"/>
        <w:ind w:firstLine="480"/>
        <w:rPr>
          <w:rFonts w:hint="eastAsia"/>
          <w:color w:val="auto"/>
          <w:highlight w:val="none"/>
          <w:lang w:val="en-US" w:eastAsia="zh-CN"/>
        </w:rPr>
      </w:pPr>
      <w:r>
        <w:rPr>
          <w:rFonts w:hint="eastAsia"/>
          <w:color w:val="auto"/>
          <w:highlight w:val="none"/>
          <w:lang w:val="en-US" w:eastAsia="zh-CN"/>
        </w:rPr>
        <w:t>2016年11月28日，中共中央办公厅、国务院办公厅正式印发《关于全面推行河长制的意见》指出：全面推行河长制是落实绿色发展理念、推进生态文明建设的内在要求，是解决我国复杂水问题、维护河湖健康生命的有效举措，是完善水治理体系、保障国家水安全的制度创新。立足不同地区、不同河湖实际，统筹上下游、左右岸，实行一河一策、一湖一策，解决好河湖管理保护的突出问题。</w:t>
      </w:r>
    </w:p>
    <w:p w14:paraId="01291CDD">
      <w:pPr>
        <w:pStyle w:val="5"/>
        <w:ind w:firstLine="480"/>
        <w:rPr>
          <w:rFonts w:hint="eastAsia"/>
          <w:color w:val="auto"/>
          <w:highlight w:val="none"/>
          <w:lang w:val="en-US" w:eastAsia="zh-CN"/>
        </w:rPr>
      </w:pPr>
      <w:r>
        <w:rPr>
          <w:rFonts w:hint="eastAsia"/>
          <w:color w:val="auto"/>
          <w:highlight w:val="none"/>
          <w:lang w:val="en-US" w:eastAsia="zh-CN"/>
        </w:rPr>
        <w:t>2017年3月16日，重庆市委、市政府印发《重庆市全面推行河长制工作方案》，提出我市将全面建立河长制，为河湖功能永续利用提供制度保障。要求全面梳理分析我市河湖现状、存在的主要问题，制定“一河（库）一策”治理实施方案。</w:t>
      </w:r>
    </w:p>
    <w:p w14:paraId="75B67BE3">
      <w:pPr>
        <w:pStyle w:val="5"/>
        <w:ind w:firstLine="480"/>
        <w:rPr>
          <w:rFonts w:hint="eastAsia"/>
          <w:color w:val="auto"/>
          <w:highlight w:val="none"/>
          <w:lang w:val="en-US" w:eastAsia="zh-CN"/>
        </w:rPr>
      </w:pPr>
      <w:r>
        <w:rPr>
          <w:rFonts w:hint="eastAsia"/>
          <w:color w:val="auto"/>
          <w:highlight w:val="none"/>
          <w:lang w:val="en-US" w:eastAsia="zh-CN"/>
        </w:rPr>
        <w:t>为响应中共中央办公厅、国务院办公厅《全面推行河长制的意见》（厅字〔2016〕42号）和中共重庆市委办公厅、重庆市人民政府办公厅关于印发《重庆市全面推行河长制工作方案的通知》（渝委办发〔2017〕11号）文件精神，进一步保护秀山县水资源和水环境，维护河库生命健康，秀山县人民政府决定在全县推行河长制，并于2017年5月公示了县级河长体系，全面建立县、乡镇（街道）、村（社区）三级河长体系。</w:t>
      </w:r>
    </w:p>
    <w:p w14:paraId="597E6688">
      <w:pPr>
        <w:pStyle w:val="5"/>
        <w:ind w:firstLine="480"/>
        <w:rPr>
          <w:rFonts w:hint="default"/>
          <w:color w:val="auto"/>
          <w:highlight w:val="none"/>
          <w:lang w:val="en-US" w:eastAsia="zh-CN"/>
        </w:rPr>
      </w:pPr>
      <w:r>
        <w:rPr>
          <w:rFonts w:hint="eastAsia"/>
          <w:color w:val="auto"/>
          <w:highlight w:val="none"/>
          <w:lang w:val="en-US" w:eastAsia="zh-CN"/>
        </w:rPr>
        <w:t>2018年8月，秀山土家族苗族自治县河长办委托秀山县水利电力勘测设计院编制完成了梅江河及其重要支流李家溪的“一河一策”方案，明确了2019-2020年河长制管理的目标、任务、措施。秀山县石耶镇人民政府主持编制了辖区内各镇级河流“一河一策”方案，明确了河长制管理的目标、任务、措施。</w:t>
      </w:r>
    </w:p>
    <w:p w14:paraId="43172E51">
      <w:pPr>
        <w:pStyle w:val="5"/>
        <w:ind w:firstLine="480"/>
        <w:rPr>
          <w:rFonts w:hint="eastAsia"/>
          <w:color w:val="auto"/>
          <w:highlight w:val="none"/>
          <w:lang w:val="en-US" w:eastAsia="zh-CN"/>
        </w:rPr>
      </w:pPr>
      <w:r>
        <w:rPr>
          <w:rFonts w:hint="eastAsia"/>
          <w:color w:val="auto"/>
          <w:highlight w:val="none"/>
          <w:lang w:val="en-US" w:eastAsia="zh-CN"/>
        </w:rPr>
        <w:t>2018年6月15日，中共重庆市委办公厅、重庆市人民政府办公厅《关于进一步健全完善全市河长组织体系的通知》（渝委办〔2018〕74号）提出优化市级河长组织体系，全力推进“三水共治”，强化河长履职尽责等要求。</w:t>
      </w:r>
    </w:p>
    <w:p w14:paraId="7EDBB925">
      <w:pPr>
        <w:pStyle w:val="5"/>
        <w:ind w:firstLine="480"/>
        <w:rPr>
          <w:rFonts w:hint="eastAsia"/>
          <w:color w:val="auto"/>
          <w:highlight w:val="none"/>
          <w:lang w:val="en-US" w:eastAsia="zh-CN"/>
        </w:rPr>
      </w:pPr>
      <w:r>
        <w:rPr>
          <w:rFonts w:hint="eastAsia"/>
          <w:color w:val="auto"/>
          <w:highlight w:val="none"/>
          <w:lang w:val="en-US" w:eastAsia="zh-CN"/>
        </w:rPr>
        <w:t>2020年10月，重庆市水利局发布了《重庆市一河（库）一策方案编制大纲（试行）》，明确了各级河库应参考大纲提出的指标和内容，根据自然地理、社会环境和服务功能等差异性特征，以问题为导向，合理确定实施周期内可预期、可实现的管理保护目标、任务和措施，编制“一河一策”方案。</w:t>
      </w:r>
    </w:p>
    <w:p w14:paraId="2E403E27">
      <w:pPr>
        <w:pStyle w:val="5"/>
        <w:ind w:firstLine="480"/>
        <w:rPr>
          <w:rFonts w:hint="eastAsia"/>
          <w:color w:val="auto"/>
          <w:highlight w:val="none"/>
          <w:lang w:val="en-US" w:eastAsia="zh-CN"/>
        </w:rPr>
      </w:pPr>
      <w:r>
        <w:rPr>
          <w:rFonts w:hint="eastAsia"/>
          <w:color w:val="auto"/>
          <w:highlight w:val="none"/>
          <w:lang w:eastAsia="zh-CN"/>
        </w:rPr>
        <w:t>在充分调研的基础上，秀山县</w:t>
      </w:r>
      <w:r>
        <w:rPr>
          <w:rFonts w:hint="eastAsia"/>
          <w:color w:val="auto"/>
          <w:highlight w:val="none"/>
          <w:lang w:val="en-US" w:eastAsia="zh-CN"/>
        </w:rPr>
        <w:t>石耶镇</w:t>
      </w:r>
      <w:r>
        <w:rPr>
          <w:rFonts w:hint="eastAsia"/>
          <w:color w:val="auto"/>
          <w:highlight w:val="none"/>
          <w:lang w:eastAsia="zh-CN"/>
        </w:rPr>
        <w:t>人民政府决定编制《重庆市秀山县</w:t>
      </w:r>
      <w:r>
        <w:rPr>
          <w:rFonts w:hint="eastAsia"/>
          <w:color w:val="auto"/>
          <w:highlight w:val="none"/>
          <w:lang w:val="en-US" w:eastAsia="zh-CN"/>
        </w:rPr>
        <w:t>石耶镇</w:t>
      </w:r>
      <w:r>
        <w:rPr>
          <w:rFonts w:hint="eastAsia"/>
          <w:color w:val="auto"/>
          <w:highlight w:val="none"/>
          <w:lang w:eastAsia="zh-CN"/>
        </w:rPr>
        <w:t>“一河一策”（2021-2025年）方案》，目的在于进一步梳理</w:t>
      </w:r>
      <w:r>
        <w:rPr>
          <w:rFonts w:hint="eastAsia"/>
          <w:color w:val="auto"/>
          <w:highlight w:val="none"/>
          <w:lang w:val="en-US" w:eastAsia="zh-CN"/>
        </w:rPr>
        <w:t>石耶镇</w:t>
      </w:r>
      <w:r>
        <w:rPr>
          <w:rFonts w:hint="eastAsia"/>
          <w:color w:val="auto"/>
          <w:highlight w:val="none"/>
          <w:lang w:eastAsia="zh-CN"/>
        </w:rPr>
        <w:t>水资源保护现状、水域岸线管理保护现状、河流污染情况、水环境现状、水生态现状、执法监管等问题，明确上一实施周期治理取得的成效及存在的问题，并科学合理地提出下一实施周期治理措施及任务，同时凝聚工作合力，切实解决综合治理过程中突出的困难问题。</w:t>
      </w:r>
    </w:p>
    <w:p w14:paraId="320EA663">
      <w:pPr>
        <w:pStyle w:val="5"/>
        <w:ind w:firstLine="480"/>
        <w:rPr>
          <w:rFonts w:hint="eastAsia"/>
          <w:color w:val="auto"/>
          <w:highlight w:val="none"/>
          <w:lang w:val="en-US" w:eastAsia="zh-CN"/>
        </w:rPr>
      </w:pPr>
      <w:r>
        <w:rPr>
          <w:rFonts w:hint="eastAsia"/>
          <w:color w:val="auto"/>
          <w:highlight w:val="none"/>
          <w:lang w:val="en-US" w:eastAsia="zh-CN"/>
        </w:rPr>
        <w:t>2021年11月，重庆元周工程技术咨询有限公司（以下简称“我司”）受重庆市秀山土家族苗族自治县水利局</w:t>
      </w:r>
      <w:r>
        <w:rPr>
          <w:rFonts w:hint="eastAsia"/>
          <w:color w:val="000000" w:themeColor="text1"/>
          <w:highlight w:val="none"/>
          <w:lang w:val="en-US" w:eastAsia="zh-CN"/>
          <w14:textFill>
            <w14:solidFill>
              <w14:schemeClr w14:val="tx1"/>
            </w14:solidFill>
          </w14:textFill>
        </w:rPr>
        <w:t>（以下简称“秀山县水利局”）委托开展了《重庆市秀山县石耶镇“一河一策”方案》（以下简称《方案》）的编制工作。接到任务后我司立即成立项目组，开展了资料收集和野外现场调查及内业分析等工作。在编制过程中我司与秀山县河长办、秀山县水利局及秀山县石耶镇人民政府等单位进行了多次沟通，并结合《重庆市秀山县梅江河流域“一河一策”（2021-2025年）方案》，于2021年11月完成《方案（送审稿）》</w:t>
      </w:r>
      <w:r>
        <w:rPr>
          <w:rFonts w:hint="eastAsia"/>
          <w:color w:val="auto"/>
          <w:highlight w:val="none"/>
          <w:lang w:val="en-US" w:eastAsia="zh-CN"/>
        </w:rPr>
        <w:t>。</w:t>
      </w:r>
    </w:p>
    <w:p w14:paraId="55145A4D">
      <w:pPr>
        <w:pStyle w:val="5"/>
        <w:ind w:firstLine="480"/>
        <w:rPr>
          <w:rFonts w:hint="default" w:ascii="Times New Roman" w:hAnsi="Times New Roman" w:cs="Times New Roman"/>
          <w:color w:val="auto"/>
          <w:highlight w:val="none"/>
          <w:lang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AndChars" w:linePitch="312" w:charSpace="0"/>
        </w:sectPr>
      </w:pPr>
      <w:r>
        <w:rPr>
          <w:rFonts w:hint="eastAsia"/>
          <w:color w:val="auto"/>
          <w:highlight w:val="none"/>
        </w:rPr>
        <w:t>在报告编制过程中，得到了</w:t>
      </w:r>
      <w:r>
        <w:rPr>
          <w:rFonts w:hint="eastAsia"/>
          <w:color w:val="auto"/>
          <w:highlight w:val="none"/>
          <w:lang w:val="en-US" w:eastAsia="zh-CN"/>
        </w:rPr>
        <w:t>秀山县</w:t>
      </w:r>
      <w:r>
        <w:rPr>
          <w:rFonts w:hint="eastAsia"/>
          <w:color w:val="auto"/>
          <w:highlight w:val="none"/>
          <w:lang w:eastAsia="zh-CN"/>
        </w:rPr>
        <w:t>河长办、</w:t>
      </w:r>
      <w:r>
        <w:rPr>
          <w:rFonts w:hint="eastAsia"/>
          <w:color w:val="auto"/>
          <w:highlight w:val="none"/>
          <w:lang w:val="en-US" w:eastAsia="zh-CN"/>
        </w:rPr>
        <w:t>石耶镇人民政府</w:t>
      </w:r>
      <w:r>
        <w:rPr>
          <w:rFonts w:hint="eastAsia"/>
          <w:color w:val="auto"/>
          <w:highlight w:val="none"/>
        </w:rPr>
        <w:t>以及各</w:t>
      </w:r>
      <w:r>
        <w:rPr>
          <w:rFonts w:hint="eastAsia"/>
          <w:color w:val="auto"/>
          <w:highlight w:val="none"/>
          <w:lang w:eastAsia="zh-CN"/>
        </w:rPr>
        <w:t>其他</w:t>
      </w:r>
      <w:r>
        <w:rPr>
          <w:rFonts w:hint="eastAsia"/>
          <w:color w:val="auto"/>
          <w:highlight w:val="none"/>
        </w:rPr>
        <w:t>相关部门的大力支持，在此</w:t>
      </w:r>
      <w:r>
        <w:rPr>
          <w:rFonts w:hint="eastAsia"/>
          <w:color w:val="auto"/>
          <w:highlight w:val="none"/>
          <w:lang w:val="en-US" w:eastAsia="zh-CN"/>
        </w:rPr>
        <w:t>均</w:t>
      </w:r>
      <w:r>
        <w:rPr>
          <w:rFonts w:hint="eastAsia"/>
          <w:color w:val="auto"/>
          <w:highlight w:val="none"/>
        </w:rPr>
        <w:t>表示衷心的感谢</w:t>
      </w:r>
      <w:r>
        <w:rPr>
          <w:rFonts w:hint="default" w:ascii="Times New Roman" w:hAnsi="Times New Roman" w:cs="Times New Roman"/>
          <w:color w:val="auto"/>
          <w:highlight w:val="none"/>
          <w:lang w:eastAsia="zh-CN"/>
        </w:rPr>
        <w:t>！</w:t>
      </w:r>
    </w:p>
    <w:p w14:paraId="09CC3B78">
      <w:pPr>
        <w:pStyle w:val="4"/>
        <w:bidi w:val="0"/>
        <w:ind w:left="0" w:leftChars="0" w:firstLine="0" w:firstLineChars="0"/>
        <w:rPr>
          <w:rFonts w:hint="default"/>
          <w:color w:val="auto"/>
          <w:highlight w:val="none"/>
          <w:lang w:eastAsia="zh-CN"/>
        </w:rPr>
      </w:pPr>
      <w:r>
        <w:rPr>
          <w:rFonts w:hint="eastAsia"/>
          <w:color w:val="auto"/>
          <w:highlight w:val="none"/>
          <w:lang w:val="en-US" w:eastAsia="zh-CN"/>
        </w:rPr>
        <w:t xml:space="preserve">  </w:t>
      </w:r>
      <w:bookmarkStart w:id="1" w:name="_Toc7090"/>
      <w:bookmarkStart w:id="2" w:name="_Toc18167"/>
      <w:r>
        <w:rPr>
          <w:rFonts w:hint="eastAsia"/>
          <w:color w:val="auto"/>
          <w:highlight w:val="none"/>
          <w:lang w:eastAsia="zh-CN"/>
        </w:rPr>
        <w:t>综合说明</w:t>
      </w:r>
      <w:bookmarkEnd w:id="1"/>
      <w:bookmarkEnd w:id="2"/>
    </w:p>
    <w:p w14:paraId="1CAD8887">
      <w:pPr>
        <w:pStyle w:val="6"/>
        <w:bidi w:val="0"/>
        <w:ind w:left="0" w:leftChars="0" w:firstLine="0" w:firstLineChars="0"/>
        <w:rPr>
          <w:color w:val="auto"/>
          <w:highlight w:val="none"/>
        </w:rPr>
      </w:pPr>
      <w:bookmarkStart w:id="3" w:name="_Toc18228"/>
      <w:bookmarkStart w:id="4" w:name="_Toc5440"/>
      <w:r>
        <w:rPr>
          <w:rFonts w:hint="eastAsia"/>
          <w:color w:val="auto"/>
          <w:highlight w:val="none"/>
        </w:rPr>
        <w:t>编制依据</w:t>
      </w:r>
      <w:bookmarkEnd w:id="3"/>
      <w:bookmarkEnd w:id="4"/>
    </w:p>
    <w:p w14:paraId="18D404D8">
      <w:pPr>
        <w:pStyle w:val="7"/>
        <w:bidi w:val="0"/>
        <w:ind w:left="0" w:leftChars="0" w:firstLine="0" w:firstLineChars="0"/>
        <w:rPr>
          <w:color w:val="auto"/>
          <w:highlight w:val="none"/>
        </w:rPr>
      </w:pPr>
      <w:bookmarkStart w:id="5" w:name="_Toc19128"/>
      <w:r>
        <w:rPr>
          <w:rFonts w:hint="eastAsia"/>
          <w:color w:val="auto"/>
          <w:highlight w:val="none"/>
        </w:rPr>
        <w:t>法律法规</w:t>
      </w:r>
      <w:bookmarkEnd w:id="5"/>
    </w:p>
    <w:p w14:paraId="78D3AA8B">
      <w:pPr>
        <w:pStyle w:val="5"/>
        <w:numPr>
          <w:ilvl w:val="0"/>
          <w:numId w:val="6"/>
        </w:numPr>
        <w:bidi w:val="0"/>
        <w:rPr>
          <w:rFonts w:hint="eastAsia"/>
          <w:lang w:val="en-US" w:eastAsia="zh-CN"/>
        </w:rPr>
      </w:pPr>
      <w:r>
        <w:rPr>
          <w:rFonts w:hint="default"/>
          <w:lang w:val="en-US" w:eastAsia="zh-CN"/>
        </w:rPr>
        <w:t>《中华人民共和国水法》（2016年修订）</w:t>
      </w:r>
      <w:r>
        <w:rPr>
          <w:rFonts w:hint="eastAsia"/>
          <w:lang w:val="en-US" w:eastAsia="zh-CN"/>
        </w:rPr>
        <w:t>；</w:t>
      </w:r>
    </w:p>
    <w:p w14:paraId="703ACC5D">
      <w:pPr>
        <w:pStyle w:val="5"/>
        <w:numPr>
          <w:ilvl w:val="0"/>
          <w:numId w:val="6"/>
        </w:numPr>
        <w:bidi w:val="0"/>
        <w:rPr>
          <w:rFonts w:hint="default"/>
          <w:lang w:val="en-US" w:eastAsia="zh-CN"/>
        </w:rPr>
      </w:pPr>
      <w:r>
        <w:rPr>
          <w:rFonts w:hint="default"/>
          <w:lang w:val="en-US" w:eastAsia="zh-CN"/>
        </w:rPr>
        <w:t>《中华人民共和国水污染防治法》（2017年修正）</w:t>
      </w:r>
      <w:r>
        <w:rPr>
          <w:rFonts w:hint="eastAsia"/>
          <w:lang w:val="en-US" w:eastAsia="zh-CN"/>
        </w:rPr>
        <w:t>；</w:t>
      </w:r>
    </w:p>
    <w:p w14:paraId="04C75D6E">
      <w:pPr>
        <w:pStyle w:val="5"/>
        <w:numPr>
          <w:ilvl w:val="0"/>
          <w:numId w:val="6"/>
        </w:numPr>
        <w:bidi w:val="0"/>
        <w:rPr>
          <w:rFonts w:hint="default"/>
          <w:lang w:val="en-US" w:eastAsia="zh-CN"/>
        </w:rPr>
      </w:pPr>
      <w:r>
        <w:rPr>
          <w:rFonts w:hint="default"/>
          <w:lang w:val="en-US" w:eastAsia="zh-CN"/>
        </w:rPr>
        <w:t>《中华人民共和国水土保持法》（2010年修订）</w:t>
      </w:r>
      <w:r>
        <w:rPr>
          <w:rFonts w:hint="eastAsia"/>
          <w:lang w:val="en-US" w:eastAsia="zh-CN"/>
        </w:rPr>
        <w:t>；</w:t>
      </w:r>
    </w:p>
    <w:p w14:paraId="6F1BC35A">
      <w:pPr>
        <w:pStyle w:val="5"/>
        <w:numPr>
          <w:ilvl w:val="0"/>
          <w:numId w:val="6"/>
        </w:numPr>
        <w:bidi w:val="0"/>
        <w:rPr>
          <w:rFonts w:hint="default"/>
          <w:lang w:val="en-US" w:eastAsia="zh-CN"/>
        </w:rPr>
      </w:pPr>
      <w:r>
        <w:rPr>
          <w:rFonts w:hint="default"/>
          <w:lang w:val="en-US" w:eastAsia="zh-CN"/>
        </w:rPr>
        <w:t>《中华人民共和国防洪法》（2016年修正）</w:t>
      </w:r>
      <w:r>
        <w:rPr>
          <w:rFonts w:hint="eastAsia"/>
          <w:lang w:val="en-US" w:eastAsia="zh-CN"/>
        </w:rPr>
        <w:t>；</w:t>
      </w:r>
    </w:p>
    <w:p w14:paraId="45F82C6A">
      <w:pPr>
        <w:pStyle w:val="5"/>
        <w:numPr>
          <w:ilvl w:val="0"/>
          <w:numId w:val="6"/>
        </w:numPr>
        <w:bidi w:val="0"/>
        <w:rPr>
          <w:rFonts w:hint="default"/>
          <w:lang w:val="en-US" w:eastAsia="zh-CN"/>
        </w:rPr>
      </w:pPr>
      <w:r>
        <w:rPr>
          <w:rFonts w:hint="default"/>
          <w:lang w:val="en-US" w:eastAsia="zh-CN"/>
        </w:rPr>
        <w:t>《中华人民共和国渔业法》（2013年修正）</w:t>
      </w:r>
      <w:r>
        <w:rPr>
          <w:rFonts w:hint="eastAsia"/>
          <w:lang w:val="en-US" w:eastAsia="zh-CN"/>
        </w:rPr>
        <w:t>；</w:t>
      </w:r>
    </w:p>
    <w:p w14:paraId="2CF1DD7D">
      <w:pPr>
        <w:pStyle w:val="5"/>
        <w:numPr>
          <w:ilvl w:val="0"/>
          <w:numId w:val="6"/>
        </w:numPr>
        <w:bidi w:val="0"/>
        <w:rPr>
          <w:rFonts w:hint="default"/>
          <w:lang w:val="en-US" w:eastAsia="zh-CN"/>
        </w:rPr>
      </w:pPr>
      <w:r>
        <w:rPr>
          <w:rFonts w:hint="default"/>
          <w:lang w:val="en-US" w:eastAsia="zh-CN"/>
        </w:rPr>
        <w:t>《中华人民共和国河道管理条例》（2017年修正）</w:t>
      </w:r>
      <w:r>
        <w:rPr>
          <w:rFonts w:hint="eastAsia"/>
          <w:lang w:val="en-US" w:eastAsia="zh-CN"/>
        </w:rPr>
        <w:t>；</w:t>
      </w:r>
    </w:p>
    <w:p w14:paraId="2B59AE68">
      <w:pPr>
        <w:pStyle w:val="5"/>
        <w:numPr>
          <w:ilvl w:val="0"/>
          <w:numId w:val="6"/>
        </w:numPr>
        <w:bidi w:val="0"/>
        <w:rPr>
          <w:rFonts w:hint="default"/>
          <w:lang w:val="en-US" w:eastAsia="zh-CN"/>
        </w:rPr>
      </w:pPr>
      <w:r>
        <w:rPr>
          <w:rFonts w:hint="default"/>
          <w:lang w:val="en-US" w:eastAsia="zh-CN"/>
        </w:rPr>
        <w:t>《中华人民共和国环境保护法》（2014年修订）</w:t>
      </w:r>
      <w:r>
        <w:rPr>
          <w:rFonts w:hint="eastAsia"/>
          <w:lang w:val="en-US" w:eastAsia="zh-CN"/>
        </w:rPr>
        <w:t>；</w:t>
      </w:r>
    </w:p>
    <w:p w14:paraId="2767D93B">
      <w:pPr>
        <w:pStyle w:val="5"/>
        <w:numPr>
          <w:ilvl w:val="0"/>
          <w:numId w:val="6"/>
        </w:numPr>
        <w:bidi w:val="0"/>
        <w:rPr>
          <w:rFonts w:hint="default"/>
          <w:lang w:val="en-US" w:eastAsia="zh-CN"/>
        </w:rPr>
      </w:pPr>
      <w:r>
        <w:rPr>
          <w:rFonts w:hint="eastAsia"/>
          <w:lang w:val="en-US" w:eastAsia="zh-CN"/>
        </w:rPr>
        <w:t>《中华人民共和国固体废物污染环境防治法（2016年修正）》；</w:t>
      </w:r>
    </w:p>
    <w:p w14:paraId="44203FB9">
      <w:pPr>
        <w:pStyle w:val="5"/>
        <w:numPr>
          <w:ilvl w:val="0"/>
          <w:numId w:val="6"/>
        </w:numPr>
        <w:bidi w:val="0"/>
        <w:rPr>
          <w:rFonts w:hint="default"/>
          <w:lang w:val="en-US" w:eastAsia="zh-CN"/>
        </w:rPr>
      </w:pPr>
      <w:r>
        <w:rPr>
          <w:rFonts w:hint="default"/>
          <w:lang w:val="en-US" w:eastAsia="zh-CN"/>
        </w:rPr>
        <w:t>《中华人民共和国森林法实施条例》（2018年修正）</w:t>
      </w:r>
      <w:r>
        <w:rPr>
          <w:rFonts w:hint="eastAsia"/>
          <w:lang w:val="en-US" w:eastAsia="zh-CN"/>
        </w:rPr>
        <w:t>；</w:t>
      </w:r>
    </w:p>
    <w:p w14:paraId="4BACA32C">
      <w:pPr>
        <w:pStyle w:val="5"/>
        <w:numPr>
          <w:ilvl w:val="0"/>
          <w:numId w:val="6"/>
        </w:numPr>
        <w:bidi w:val="0"/>
        <w:rPr>
          <w:rFonts w:hint="default"/>
          <w:lang w:val="en-US" w:eastAsia="zh-CN"/>
        </w:rPr>
      </w:pPr>
      <w:r>
        <w:rPr>
          <w:rFonts w:hint="default"/>
          <w:lang w:val="en-US" w:eastAsia="zh-CN"/>
        </w:rPr>
        <w:t>《中华人民共和国土地管理法》（2004年修正）</w:t>
      </w:r>
      <w:r>
        <w:rPr>
          <w:rFonts w:hint="eastAsia"/>
          <w:lang w:val="en-US" w:eastAsia="zh-CN"/>
        </w:rPr>
        <w:t>；</w:t>
      </w:r>
    </w:p>
    <w:p w14:paraId="367DF20F">
      <w:pPr>
        <w:pStyle w:val="5"/>
        <w:numPr>
          <w:ilvl w:val="0"/>
          <w:numId w:val="6"/>
        </w:numPr>
        <w:bidi w:val="0"/>
        <w:rPr>
          <w:rFonts w:hint="eastAsia"/>
          <w:lang w:val="en-US" w:eastAsia="zh-CN"/>
        </w:rPr>
      </w:pPr>
      <w:r>
        <w:rPr>
          <w:rFonts w:hint="eastAsia"/>
          <w:lang w:val="en-US" w:eastAsia="zh-CN"/>
        </w:rPr>
        <w:t>《中华人民共和国长江保护法》（2021年3月1日起施行）；</w:t>
      </w:r>
    </w:p>
    <w:p w14:paraId="585A8042">
      <w:pPr>
        <w:pStyle w:val="5"/>
        <w:numPr>
          <w:ilvl w:val="0"/>
          <w:numId w:val="6"/>
        </w:numPr>
        <w:bidi w:val="0"/>
        <w:rPr>
          <w:rFonts w:hint="default"/>
          <w:lang w:val="en-US" w:eastAsia="zh-CN"/>
        </w:rPr>
      </w:pPr>
      <w:r>
        <w:rPr>
          <w:rFonts w:hint="default"/>
          <w:lang w:val="en-US" w:eastAsia="zh-CN"/>
        </w:rPr>
        <w:t>《城镇排水与污水处理条例》（2013年9月18日修订，2014年1月起实施）</w:t>
      </w:r>
      <w:r>
        <w:rPr>
          <w:rFonts w:hint="eastAsia"/>
          <w:lang w:val="en-US" w:eastAsia="zh-CN"/>
        </w:rPr>
        <w:t>；</w:t>
      </w:r>
    </w:p>
    <w:p w14:paraId="48BC4297">
      <w:pPr>
        <w:pStyle w:val="5"/>
        <w:numPr>
          <w:ilvl w:val="0"/>
          <w:numId w:val="6"/>
        </w:numPr>
        <w:bidi w:val="0"/>
        <w:rPr>
          <w:rFonts w:hint="eastAsia"/>
          <w:lang w:val="en-US" w:eastAsia="zh-CN"/>
        </w:rPr>
      </w:pPr>
      <w:r>
        <w:rPr>
          <w:rFonts w:hint="eastAsia"/>
        </w:rPr>
        <w:t>《长江河道采砂管理条例》</w:t>
      </w:r>
      <w:r>
        <w:rPr>
          <w:rFonts w:hint="eastAsia"/>
          <w:lang w:eastAsia="zh-CN"/>
        </w:rPr>
        <w:t>（</w:t>
      </w:r>
      <w:r>
        <w:rPr>
          <w:rFonts w:hint="eastAsia"/>
        </w:rPr>
        <w:t>2002年1月</w:t>
      </w:r>
      <w:r>
        <w:rPr>
          <w:rFonts w:hint="eastAsia"/>
          <w:lang w:eastAsia="zh-CN"/>
        </w:rPr>
        <w:t>）</w:t>
      </w:r>
    </w:p>
    <w:p w14:paraId="038DAC27">
      <w:pPr>
        <w:pStyle w:val="5"/>
        <w:numPr>
          <w:ilvl w:val="0"/>
          <w:numId w:val="6"/>
        </w:numPr>
        <w:bidi w:val="0"/>
        <w:rPr>
          <w:rFonts w:hint="default"/>
          <w:lang w:val="en-US" w:eastAsia="zh-CN"/>
        </w:rPr>
      </w:pPr>
      <w:r>
        <w:rPr>
          <w:rFonts w:hint="default"/>
          <w:lang w:val="en-US" w:eastAsia="zh-CN"/>
        </w:rPr>
        <w:t>《水功能区监督管理办法》（2017年4月1日施行）</w:t>
      </w:r>
      <w:r>
        <w:rPr>
          <w:rFonts w:hint="eastAsia"/>
          <w:lang w:val="en-US" w:eastAsia="zh-CN"/>
        </w:rPr>
        <w:t>；</w:t>
      </w:r>
    </w:p>
    <w:p w14:paraId="7DC67838">
      <w:pPr>
        <w:pStyle w:val="5"/>
        <w:numPr>
          <w:ilvl w:val="0"/>
          <w:numId w:val="6"/>
        </w:numPr>
        <w:bidi w:val="0"/>
        <w:rPr>
          <w:rFonts w:hint="eastAsia"/>
          <w:lang w:val="en-US" w:eastAsia="zh-CN"/>
        </w:rPr>
      </w:pPr>
      <w:r>
        <w:rPr>
          <w:rFonts w:hint="default"/>
          <w:lang w:val="en-US" w:eastAsia="zh-CN"/>
        </w:rPr>
        <w:t>《入河排污口监督管理办法》（2015年12月16日修订）</w:t>
      </w:r>
      <w:r>
        <w:rPr>
          <w:rFonts w:hint="eastAsia"/>
          <w:lang w:val="en-US" w:eastAsia="zh-CN"/>
        </w:rPr>
        <w:t>；</w:t>
      </w:r>
    </w:p>
    <w:p w14:paraId="76047F7F">
      <w:pPr>
        <w:pStyle w:val="5"/>
        <w:numPr>
          <w:ilvl w:val="0"/>
          <w:numId w:val="6"/>
        </w:numPr>
        <w:bidi w:val="0"/>
        <w:rPr>
          <w:rFonts w:hint="eastAsia"/>
          <w:lang w:val="en-US" w:eastAsia="zh-CN"/>
        </w:rPr>
      </w:pPr>
      <w:r>
        <w:rPr>
          <w:rFonts w:hint="default"/>
          <w:lang w:val="en-US" w:eastAsia="zh-CN"/>
        </w:rPr>
        <w:t>《湿地保护管理规定》（2013年5月1日起施行）</w:t>
      </w:r>
      <w:r>
        <w:rPr>
          <w:rFonts w:hint="eastAsia"/>
          <w:lang w:val="en-US" w:eastAsia="zh-CN"/>
        </w:rPr>
        <w:t>；</w:t>
      </w:r>
    </w:p>
    <w:p w14:paraId="28050F76">
      <w:pPr>
        <w:pStyle w:val="5"/>
        <w:numPr>
          <w:ilvl w:val="0"/>
          <w:numId w:val="6"/>
        </w:numPr>
        <w:bidi w:val="0"/>
        <w:rPr>
          <w:rFonts w:hint="default"/>
          <w:lang w:val="en-US" w:eastAsia="zh-CN"/>
        </w:rPr>
      </w:pPr>
      <w:r>
        <w:rPr>
          <w:rFonts w:hint="default"/>
          <w:lang w:val="en-US" w:eastAsia="zh-CN"/>
        </w:rPr>
        <w:t>《重庆市河长制条例》</w:t>
      </w:r>
      <w:r>
        <w:rPr>
          <w:rFonts w:hint="eastAsia"/>
          <w:lang w:val="en-US" w:eastAsia="zh-CN"/>
        </w:rPr>
        <w:t>（2021年1月1日起施行）；</w:t>
      </w:r>
    </w:p>
    <w:p w14:paraId="034D95B1">
      <w:pPr>
        <w:pStyle w:val="5"/>
        <w:numPr>
          <w:ilvl w:val="0"/>
          <w:numId w:val="6"/>
        </w:numPr>
        <w:bidi w:val="0"/>
        <w:rPr>
          <w:rFonts w:hint="default"/>
          <w:lang w:val="en-US" w:eastAsia="zh-CN"/>
        </w:rPr>
      </w:pPr>
      <w:r>
        <w:rPr>
          <w:rFonts w:hint="default"/>
          <w:lang w:val="en-US" w:eastAsia="zh-CN"/>
        </w:rPr>
        <w:t>《重庆市环境保护条例》（201</w:t>
      </w:r>
      <w:r>
        <w:rPr>
          <w:rFonts w:hint="eastAsia"/>
          <w:lang w:val="en-US" w:eastAsia="zh-CN"/>
        </w:rPr>
        <w:t>8</w:t>
      </w:r>
      <w:r>
        <w:rPr>
          <w:rFonts w:hint="default"/>
          <w:lang w:val="en-US" w:eastAsia="zh-CN"/>
        </w:rPr>
        <w:t>年修正）</w:t>
      </w:r>
      <w:r>
        <w:rPr>
          <w:rFonts w:hint="eastAsia"/>
          <w:lang w:val="en-US" w:eastAsia="zh-CN"/>
        </w:rPr>
        <w:t>；</w:t>
      </w:r>
    </w:p>
    <w:p w14:paraId="30CC6BA9">
      <w:pPr>
        <w:pStyle w:val="5"/>
        <w:numPr>
          <w:ilvl w:val="0"/>
          <w:numId w:val="6"/>
        </w:numPr>
        <w:bidi w:val="0"/>
        <w:rPr>
          <w:rFonts w:hint="default"/>
          <w:lang w:val="en-US" w:eastAsia="zh-CN"/>
        </w:rPr>
      </w:pPr>
      <w:r>
        <w:rPr>
          <w:rFonts w:hint="default"/>
          <w:lang w:val="en-US" w:eastAsia="zh-CN"/>
        </w:rPr>
        <w:t>《重庆市长江三峡水库库区及流域水污染防治条例》（2011年）</w:t>
      </w:r>
      <w:r>
        <w:rPr>
          <w:rFonts w:hint="eastAsia"/>
          <w:lang w:val="en-US" w:eastAsia="zh-CN"/>
        </w:rPr>
        <w:t>；</w:t>
      </w:r>
    </w:p>
    <w:p w14:paraId="463DD050">
      <w:pPr>
        <w:pStyle w:val="5"/>
        <w:numPr>
          <w:ilvl w:val="0"/>
          <w:numId w:val="6"/>
        </w:numPr>
        <w:bidi w:val="0"/>
        <w:rPr>
          <w:rFonts w:hint="default"/>
        </w:rPr>
      </w:pPr>
      <w:r>
        <w:rPr>
          <w:rFonts w:hint="default"/>
        </w:rPr>
        <w:t>《重庆市防汛抗旱条例》</w:t>
      </w:r>
      <w:r>
        <w:rPr>
          <w:rFonts w:hint="eastAsia"/>
          <w:lang w:eastAsia="zh-CN"/>
        </w:rPr>
        <w:t>（</w:t>
      </w:r>
      <w:r>
        <w:rPr>
          <w:rFonts w:hint="default"/>
        </w:rPr>
        <w:t>20</w:t>
      </w:r>
      <w:r>
        <w:rPr>
          <w:rFonts w:hint="eastAsia"/>
          <w:lang w:eastAsia="zh-CN"/>
        </w:rPr>
        <w:t>1</w:t>
      </w:r>
      <w:r>
        <w:rPr>
          <w:rFonts w:hint="eastAsia"/>
          <w:lang w:val="en-US" w:eastAsia="zh-CN"/>
        </w:rPr>
        <w:t>8年修正</w:t>
      </w:r>
      <w:r>
        <w:rPr>
          <w:rFonts w:hint="eastAsia"/>
          <w:lang w:eastAsia="zh-CN"/>
        </w:rPr>
        <w:t>）</w:t>
      </w:r>
      <w:r>
        <w:rPr>
          <w:rFonts w:hint="default"/>
        </w:rPr>
        <w:t xml:space="preserve"> </w:t>
      </w:r>
      <w:r>
        <w:rPr>
          <w:rFonts w:hint="eastAsia"/>
          <w:lang w:eastAsia="zh-CN"/>
        </w:rPr>
        <w:t>；</w:t>
      </w:r>
    </w:p>
    <w:p w14:paraId="3BDEE1B4">
      <w:pPr>
        <w:pStyle w:val="5"/>
        <w:numPr>
          <w:ilvl w:val="0"/>
          <w:numId w:val="6"/>
        </w:numPr>
        <w:bidi w:val="0"/>
        <w:rPr>
          <w:rFonts w:hint="default"/>
        </w:rPr>
      </w:pPr>
      <w:r>
        <w:rPr>
          <w:rFonts w:hint="default"/>
        </w:rPr>
        <w:t>《重庆市水污染防治条例》</w:t>
      </w:r>
      <w:r>
        <w:rPr>
          <w:rFonts w:hint="eastAsia"/>
          <w:lang w:eastAsia="zh-CN"/>
        </w:rPr>
        <w:t>（</w:t>
      </w:r>
      <w:r>
        <w:rPr>
          <w:rFonts w:hint="default"/>
        </w:rPr>
        <w:t>2020年10</w:t>
      </w:r>
      <w:r>
        <w:rPr>
          <w:rFonts w:hint="eastAsia"/>
          <w:lang w:eastAsia="zh-CN"/>
        </w:rPr>
        <w:t>月</w:t>
      </w:r>
      <w:r>
        <w:rPr>
          <w:rFonts w:hint="default"/>
        </w:rPr>
        <w:t>起施行</w:t>
      </w:r>
      <w:r>
        <w:rPr>
          <w:rFonts w:hint="eastAsia"/>
          <w:lang w:eastAsia="zh-CN"/>
        </w:rPr>
        <w:t>）；</w:t>
      </w:r>
    </w:p>
    <w:p w14:paraId="541FAB75">
      <w:pPr>
        <w:pStyle w:val="5"/>
        <w:numPr>
          <w:ilvl w:val="0"/>
          <w:numId w:val="6"/>
        </w:numPr>
        <w:bidi w:val="0"/>
        <w:rPr>
          <w:rFonts w:hint="default"/>
        </w:rPr>
      </w:pPr>
      <w:r>
        <w:rPr>
          <w:rFonts w:hint="default"/>
        </w:rPr>
        <w:t>《重庆市水资源管理条例》</w:t>
      </w:r>
      <w:r>
        <w:rPr>
          <w:rFonts w:hint="eastAsia"/>
          <w:lang w:eastAsia="zh-CN"/>
        </w:rPr>
        <w:t>（</w:t>
      </w:r>
      <w:r>
        <w:rPr>
          <w:rFonts w:hint="eastAsia"/>
          <w:lang w:val="en-US" w:eastAsia="zh-CN"/>
        </w:rPr>
        <w:t>2</w:t>
      </w:r>
      <w:r>
        <w:rPr>
          <w:rFonts w:hint="default"/>
        </w:rPr>
        <w:t>01</w:t>
      </w:r>
      <w:r>
        <w:rPr>
          <w:rFonts w:hint="eastAsia"/>
          <w:lang w:eastAsia="zh-CN"/>
        </w:rPr>
        <w:t>5</w:t>
      </w:r>
      <w:r>
        <w:rPr>
          <w:rFonts w:hint="default"/>
        </w:rPr>
        <w:t>年</w:t>
      </w:r>
      <w:r>
        <w:rPr>
          <w:rFonts w:hint="eastAsia"/>
          <w:lang w:eastAsia="zh-CN"/>
        </w:rPr>
        <w:t>1</w:t>
      </w:r>
      <w:r>
        <w:rPr>
          <w:rFonts w:hint="eastAsia"/>
          <w:lang w:val="en-US" w:eastAsia="zh-CN"/>
        </w:rPr>
        <w:t>0</w:t>
      </w:r>
      <w:r>
        <w:rPr>
          <w:rFonts w:hint="default"/>
        </w:rPr>
        <w:t>月起施行</w:t>
      </w:r>
      <w:r>
        <w:rPr>
          <w:rFonts w:hint="eastAsia"/>
          <w:lang w:eastAsia="zh-CN"/>
        </w:rPr>
        <w:t>）；</w:t>
      </w:r>
    </w:p>
    <w:p w14:paraId="4C5CA89A">
      <w:pPr>
        <w:pStyle w:val="5"/>
        <w:numPr>
          <w:ilvl w:val="0"/>
          <w:numId w:val="6"/>
        </w:numPr>
        <w:bidi w:val="0"/>
        <w:rPr>
          <w:rFonts w:hint="default"/>
        </w:rPr>
      </w:pPr>
      <w:r>
        <w:rPr>
          <w:rFonts w:hint="default"/>
        </w:rPr>
        <w:t>《重庆市饮用水源污染防治办法》</w:t>
      </w:r>
      <w:r>
        <w:rPr>
          <w:rFonts w:hint="eastAsia"/>
          <w:lang w:eastAsia="zh-CN"/>
        </w:rPr>
        <w:t>（</w:t>
      </w:r>
      <w:r>
        <w:rPr>
          <w:rFonts w:hint="default"/>
        </w:rPr>
        <w:t>200</w:t>
      </w:r>
      <w:r>
        <w:rPr>
          <w:rFonts w:hint="eastAsia"/>
          <w:lang w:eastAsia="zh-CN"/>
        </w:rPr>
        <w:t>4</w:t>
      </w:r>
      <w:r>
        <w:rPr>
          <w:rFonts w:hint="default"/>
        </w:rPr>
        <w:t>年</w:t>
      </w:r>
      <w:r>
        <w:rPr>
          <w:rFonts w:hint="eastAsia"/>
          <w:lang w:eastAsia="zh-CN"/>
        </w:rPr>
        <w:t>3</w:t>
      </w:r>
      <w:r>
        <w:rPr>
          <w:rFonts w:hint="default"/>
        </w:rPr>
        <w:t>月起施行</w:t>
      </w:r>
      <w:r>
        <w:rPr>
          <w:rFonts w:hint="eastAsia"/>
          <w:lang w:eastAsia="zh-CN"/>
        </w:rPr>
        <w:t>）；</w:t>
      </w:r>
    </w:p>
    <w:p w14:paraId="688DB394">
      <w:pPr>
        <w:pStyle w:val="5"/>
        <w:numPr>
          <w:ilvl w:val="0"/>
          <w:numId w:val="6"/>
        </w:numPr>
        <w:bidi w:val="0"/>
      </w:pPr>
      <w:r>
        <w:rPr>
          <w:rFonts w:hint="default"/>
        </w:rPr>
        <w:t>其他相关法律法规</w:t>
      </w:r>
      <w:r>
        <w:rPr>
          <w:rFonts w:hint="eastAsia"/>
          <w:lang w:val="en-US" w:eastAsia="zh-CN"/>
        </w:rPr>
        <w:t>。</w:t>
      </w:r>
    </w:p>
    <w:p w14:paraId="5779AD19">
      <w:pPr>
        <w:pStyle w:val="7"/>
        <w:bidi w:val="0"/>
        <w:ind w:left="0" w:leftChars="0" w:firstLine="0" w:firstLineChars="0"/>
        <w:rPr>
          <w:color w:val="auto"/>
          <w:highlight w:val="none"/>
        </w:rPr>
      </w:pPr>
      <w:bookmarkStart w:id="6" w:name="_Toc3084"/>
      <w:r>
        <w:rPr>
          <w:rFonts w:hint="eastAsia"/>
          <w:color w:val="auto"/>
          <w:highlight w:val="none"/>
        </w:rPr>
        <w:t>政策文件</w:t>
      </w:r>
      <w:bookmarkEnd w:id="6"/>
    </w:p>
    <w:p w14:paraId="452833EA">
      <w:pPr>
        <w:pStyle w:val="5"/>
        <w:numPr>
          <w:ilvl w:val="0"/>
          <w:numId w:val="7"/>
        </w:numPr>
        <w:bidi w:val="0"/>
        <w:rPr>
          <w:rFonts w:hint="default"/>
          <w:lang w:val="en-US" w:eastAsia="zh-CN"/>
        </w:rPr>
      </w:pPr>
      <w:r>
        <w:rPr>
          <w:rFonts w:hint="default"/>
          <w:lang w:val="en-US" w:eastAsia="zh-CN"/>
        </w:rPr>
        <w:t>国务院关于印发《水污染防治行动计划的通知》（国发〔2015〕17号）；</w:t>
      </w:r>
    </w:p>
    <w:p w14:paraId="101BC962">
      <w:pPr>
        <w:pStyle w:val="5"/>
        <w:numPr>
          <w:ilvl w:val="0"/>
          <w:numId w:val="7"/>
        </w:numPr>
        <w:bidi w:val="0"/>
        <w:rPr>
          <w:rFonts w:hint="default"/>
          <w:lang w:val="en-US" w:eastAsia="zh-CN"/>
        </w:rPr>
      </w:pPr>
      <w:r>
        <w:rPr>
          <w:rFonts w:hint="default"/>
          <w:lang w:val="en-US" w:eastAsia="zh-CN"/>
        </w:rPr>
        <w:t>关于印发《水污染防治行动计划实施情况考核规定（试行）》的通知（环水体〔2016〕179号）</w:t>
      </w:r>
      <w:r>
        <w:rPr>
          <w:rFonts w:hint="eastAsia"/>
          <w:lang w:val="en-US" w:eastAsia="zh-CN"/>
        </w:rPr>
        <w:t>；</w:t>
      </w:r>
    </w:p>
    <w:p w14:paraId="0510D833">
      <w:pPr>
        <w:pStyle w:val="5"/>
        <w:numPr>
          <w:ilvl w:val="0"/>
          <w:numId w:val="7"/>
        </w:numPr>
        <w:bidi w:val="0"/>
        <w:rPr>
          <w:rFonts w:hint="default"/>
          <w:lang w:val="en-US" w:eastAsia="zh-CN"/>
        </w:rPr>
      </w:pPr>
      <w:r>
        <w:rPr>
          <w:rFonts w:hint="default"/>
          <w:lang w:val="en-US" w:eastAsia="zh-CN"/>
        </w:rPr>
        <w:t>《中共中央办公厅、国务院办公厅印发&lt;关于全面推行河长制的意见&gt;的通知》（厅字〔2016〕42号）</w:t>
      </w:r>
      <w:r>
        <w:rPr>
          <w:rFonts w:hint="eastAsia"/>
          <w:lang w:val="en-US" w:eastAsia="zh-CN"/>
        </w:rPr>
        <w:t>；</w:t>
      </w:r>
    </w:p>
    <w:p w14:paraId="41D339C2">
      <w:pPr>
        <w:pStyle w:val="5"/>
        <w:numPr>
          <w:ilvl w:val="0"/>
          <w:numId w:val="7"/>
        </w:numPr>
        <w:bidi w:val="0"/>
        <w:rPr>
          <w:rFonts w:hint="default"/>
          <w:lang w:val="en-US" w:eastAsia="zh-CN"/>
        </w:rPr>
      </w:pPr>
      <w:r>
        <w:rPr>
          <w:rFonts w:hint="default"/>
          <w:lang w:val="en-US" w:eastAsia="zh-CN"/>
        </w:rPr>
        <w:t>《水利部办公厅关于印发《</w:t>
      </w:r>
      <w:r>
        <w:rPr>
          <w:rFonts w:hint="eastAsia"/>
          <w:lang w:val="en-US" w:eastAsia="zh-CN"/>
        </w:rPr>
        <w:t>“</w:t>
      </w:r>
      <w:r>
        <w:rPr>
          <w:rFonts w:hint="default"/>
          <w:lang w:val="en-US" w:eastAsia="zh-CN"/>
        </w:rPr>
        <w:t>一河（湖）一策</w:t>
      </w:r>
      <w:r>
        <w:rPr>
          <w:rFonts w:hint="eastAsia"/>
          <w:lang w:val="en-US" w:eastAsia="zh-CN"/>
        </w:rPr>
        <w:t>”</w:t>
      </w:r>
      <w:r>
        <w:rPr>
          <w:rFonts w:hint="default"/>
          <w:lang w:val="en-US" w:eastAsia="zh-CN"/>
        </w:rPr>
        <w:t>方案编制指南（试行）》的通知》（办建管函〔2017〕1071号）；</w:t>
      </w:r>
    </w:p>
    <w:p w14:paraId="5B4B0722">
      <w:pPr>
        <w:pStyle w:val="5"/>
        <w:numPr>
          <w:ilvl w:val="0"/>
          <w:numId w:val="7"/>
        </w:numPr>
        <w:bidi w:val="0"/>
        <w:rPr>
          <w:rFonts w:hint="default"/>
          <w:lang w:val="en-US" w:eastAsia="zh-CN"/>
        </w:rPr>
      </w:pPr>
      <w:r>
        <w:rPr>
          <w:rFonts w:hint="default"/>
          <w:lang w:val="en-US" w:eastAsia="zh-CN"/>
        </w:rPr>
        <w:t>《水利部河长办关于印发&lt;</w:t>
      </w:r>
      <w:r>
        <w:rPr>
          <w:rFonts w:hint="eastAsia"/>
          <w:lang w:val="en-US" w:eastAsia="zh-CN"/>
        </w:rPr>
        <w:t>河库</w:t>
      </w:r>
      <w:r>
        <w:rPr>
          <w:rFonts w:hint="default"/>
          <w:lang w:val="en-US" w:eastAsia="zh-CN"/>
        </w:rPr>
        <w:t>健康评价指南（试行）&gt;的通知》（第43号）</w:t>
      </w:r>
      <w:r>
        <w:rPr>
          <w:rFonts w:hint="eastAsia"/>
          <w:lang w:val="en-US" w:eastAsia="zh-CN"/>
        </w:rPr>
        <w:t>；</w:t>
      </w:r>
    </w:p>
    <w:p w14:paraId="725FC92C">
      <w:pPr>
        <w:pStyle w:val="5"/>
        <w:numPr>
          <w:ilvl w:val="0"/>
          <w:numId w:val="7"/>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关于印发《城市污水处理及污染防治技术政策》的通知</w:t>
      </w:r>
      <w:r>
        <w:rPr>
          <w:rFonts w:hint="eastAsia"/>
          <w:lang w:val="en-US" w:eastAsia="zh-CN"/>
        </w:rPr>
        <w:t>”</w:t>
      </w:r>
      <w:r>
        <w:rPr>
          <w:rFonts w:hint="default"/>
          <w:lang w:val="en-US" w:eastAsia="zh-CN"/>
        </w:rPr>
        <w:t>（建城〔2000〕124号）</w:t>
      </w:r>
      <w:r>
        <w:rPr>
          <w:rFonts w:hint="eastAsia"/>
          <w:lang w:val="en-US" w:eastAsia="zh-CN"/>
        </w:rPr>
        <w:t>；</w:t>
      </w:r>
    </w:p>
    <w:p w14:paraId="70A1A384">
      <w:pPr>
        <w:pStyle w:val="5"/>
        <w:numPr>
          <w:ilvl w:val="0"/>
          <w:numId w:val="7"/>
        </w:numPr>
        <w:bidi w:val="0"/>
        <w:rPr>
          <w:rFonts w:hint="default"/>
          <w:lang w:val="en-US" w:eastAsia="zh-CN"/>
        </w:rPr>
      </w:pPr>
      <w:r>
        <w:rPr>
          <w:rFonts w:hint="default"/>
          <w:lang w:val="en-US" w:eastAsia="zh-CN"/>
        </w:rPr>
        <w:t>建设部、国家环境保护总局、科技部</w:t>
      </w:r>
      <w:r>
        <w:rPr>
          <w:rFonts w:hint="eastAsia"/>
          <w:lang w:val="en-US" w:eastAsia="zh-CN"/>
        </w:rPr>
        <w:t>“</w:t>
      </w:r>
      <w:r>
        <w:rPr>
          <w:rFonts w:hint="default"/>
          <w:lang w:val="en-US" w:eastAsia="zh-CN"/>
        </w:rPr>
        <w:t>关于印发《城市生活垃圾处理及污染防治技术政策》的通知</w:t>
      </w:r>
      <w:r>
        <w:rPr>
          <w:rFonts w:hint="eastAsia"/>
          <w:lang w:val="en-US" w:eastAsia="zh-CN"/>
        </w:rPr>
        <w:t>”</w:t>
      </w:r>
      <w:r>
        <w:rPr>
          <w:rFonts w:hint="default"/>
          <w:lang w:val="en-US" w:eastAsia="zh-CN"/>
        </w:rPr>
        <w:t>（建城〔2000〕120号）</w:t>
      </w:r>
      <w:r>
        <w:rPr>
          <w:rFonts w:hint="eastAsia"/>
          <w:lang w:val="en-US" w:eastAsia="zh-CN"/>
        </w:rPr>
        <w:t>；</w:t>
      </w:r>
    </w:p>
    <w:p w14:paraId="1A659DC0">
      <w:pPr>
        <w:pStyle w:val="5"/>
        <w:numPr>
          <w:ilvl w:val="0"/>
          <w:numId w:val="7"/>
        </w:numPr>
        <w:bidi w:val="0"/>
        <w:rPr>
          <w:rFonts w:hint="default"/>
          <w:lang w:val="en-US" w:eastAsia="zh-CN"/>
        </w:rPr>
      </w:pPr>
      <w:r>
        <w:rPr>
          <w:rFonts w:hint="default"/>
          <w:lang w:val="en-US" w:eastAsia="zh-CN"/>
        </w:rPr>
        <w:t>国家发展改革委、环保部印发《关于加强长江黄金水道环境污染防控治理的指导意见》的通知（发改环资〔2016〕370号）</w:t>
      </w:r>
      <w:r>
        <w:rPr>
          <w:rFonts w:hint="eastAsia"/>
          <w:lang w:val="en-US" w:eastAsia="zh-CN"/>
        </w:rPr>
        <w:t>；</w:t>
      </w:r>
    </w:p>
    <w:p w14:paraId="65347265">
      <w:pPr>
        <w:pStyle w:val="5"/>
        <w:numPr>
          <w:ilvl w:val="0"/>
          <w:numId w:val="7"/>
        </w:numPr>
        <w:bidi w:val="0"/>
        <w:rPr>
          <w:rFonts w:hint="default"/>
          <w:lang w:val="en-US" w:eastAsia="zh-CN"/>
        </w:rPr>
      </w:pPr>
      <w:r>
        <w:rPr>
          <w:rFonts w:hint="default"/>
          <w:lang w:val="en-US" w:eastAsia="zh-CN"/>
        </w:rPr>
        <w:t>重庆市人民政府《关于发布重庆市生态保护红线》的通知（渝府发〔2018〕25号）</w:t>
      </w:r>
      <w:r>
        <w:rPr>
          <w:rFonts w:hint="eastAsia"/>
          <w:lang w:val="en-US" w:eastAsia="zh-CN"/>
        </w:rPr>
        <w:t>；</w:t>
      </w:r>
    </w:p>
    <w:p w14:paraId="1AD7B315">
      <w:pPr>
        <w:pStyle w:val="5"/>
        <w:numPr>
          <w:ilvl w:val="0"/>
          <w:numId w:val="7"/>
        </w:numPr>
        <w:bidi w:val="0"/>
        <w:rPr>
          <w:rFonts w:hint="eastAsia"/>
          <w:lang w:eastAsia="zh-CN"/>
        </w:rPr>
      </w:pPr>
      <w:r>
        <w:rPr>
          <w:rFonts w:hint="default"/>
          <w:lang w:val="en-US" w:eastAsia="zh-CN"/>
        </w:rPr>
        <w:t>《重庆市</w:t>
      </w:r>
      <w:r>
        <w:rPr>
          <w:rFonts w:hint="eastAsia"/>
          <w:lang w:val="en-US" w:eastAsia="zh-CN"/>
        </w:rPr>
        <w:t>“</w:t>
      </w:r>
      <w:r>
        <w:rPr>
          <w:rFonts w:hint="default"/>
          <w:lang w:val="en-US" w:eastAsia="zh-CN"/>
        </w:rPr>
        <w:t>一河一策</w:t>
      </w:r>
      <w:r>
        <w:rPr>
          <w:rFonts w:hint="eastAsia"/>
          <w:lang w:val="en-US" w:eastAsia="zh-CN"/>
        </w:rPr>
        <w:t>”</w:t>
      </w:r>
      <w:r>
        <w:rPr>
          <w:rFonts w:hint="default"/>
          <w:lang w:val="en-US" w:eastAsia="zh-CN"/>
        </w:rPr>
        <w:t>方案编制大纲（试行）》</w:t>
      </w:r>
      <w:r>
        <w:rPr>
          <w:rFonts w:hint="eastAsia"/>
          <w:lang w:val="en-US" w:eastAsia="zh-CN"/>
        </w:rPr>
        <w:t>（</w:t>
      </w:r>
      <w:r>
        <w:rPr>
          <w:rFonts w:hint="default"/>
          <w:lang w:val="en-US" w:eastAsia="zh-CN"/>
        </w:rPr>
        <w:t>2020年9</w:t>
      </w:r>
      <w:r>
        <w:rPr>
          <w:rFonts w:hint="eastAsia"/>
          <w:lang w:val="en-US" w:eastAsia="zh-CN"/>
        </w:rPr>
        <w:t>月）；</w:t>
      </w:r>
    </w:p>
    <w:p w14:paraId="4170254A">
      <w:pPr>
        <w:pStyle w:val="5"/>
        <w:numPr>
          <w:ilvl w:val="0"/>
          <w:numId w:val="7"/>
        </w:numPr>
        <w:bidi w:val="0"/>
        <w:rPr>
          <w:rFonts w:hint="eastAsia"/>
          <w:lang w:eastAsia="zh-CN"/>
        </w:rPr>
      </w:pPr>
      <w:r>
        <w:rPr>
          <w:rFonts w:hint="eastAsia"/>
        </w:rPr>
        <w:t>重庆市第1号总河长令《关于全市开展污水偷排、直排、乱排专项整治行动的决定》（2019.4）</w:t>
      </w:r>
      <w:r>
        <w:rPr>
          <w:rFonts w:hint="eastAsia"/>
          <w:lang w:eastAsia="zh-CN"/>
        </w:rPr>
        <w:t>；</w:t>
      </w:r>
    </w:p>
    <w:p w14:paraId="416771C3">
      <w:pPr>
        <w:pStyle w:val="5"/>
        <w:numPr>
          <w:ilvl w:val="0"/>
          <w:numId w:val="7"/>
        </w:numPr>
        <w:bidi w:val="0"/>
        <w:rPr>
          <w:rFonts w:hint="eastAsia"/>
          <w:lang w:val="en-US" w:eastAsia="zh-CN"/>
        </w:rPr>
      </w:pPr>
      <w:r>
        <w:rPr>
          <w:rFonts w:hint="eastAsia"/>
        </w:rPr>
        <w:t>重庆市第2号总河长令《关于在全市开展污水乱排、岸线乱占、河道乱建</w:t>
      </w:r>
      <w:r>
        <w:rPr>
          <w:rFonts w:hint="eastAsia"/>
          <w:lang w:eastAsia="zh-CN"/>
        </w:rPr>
        <w:t>“</w:t>
      </w:r>
      <w:r>
        <w:rPr>
          <w:rFonts w:hint="eastAsia"/>
        </w:rPr>
        <w:t>三乱</w:t>
      </w:r>
      <w:r>
        <w:rPr>
          <w:rFonts w:hint="eastAsia"/>
          <w:lang w:eastAsia="zh-CN"/>
        </w:rPr>
        <w:t>”</w:t>
      </w:r>
      <w:r>
        <w:rPr>
          <w:rFonts w:hint="eastAsia"/>
        </w:rPr>
        <w:t>整治专项行动的决定》（2020.5）</w:t>
      </w:r>
      <w:r>
        <w:rPr>
          <w:rFonts w:hint="eastAsia"/>
          <w:lang w:eastAsia="zh-CN"/>
        </w:rPr>
        <w:t>；</w:t>
      </w:r>
    </w:p>
    <w:p w14:paraId="170DF6D0">
      <w:pPr>
        <w:pStyle w:val="5"/>
        <w:numPr>
          <w:ilvl w:val="0"/>
          <w:numId w:val="7"/>
        </w:numPr>
        <w:bidi w:val="0"/>
        <w:rPr>
          <w:rFonts w:hint="default"/>
          <w:lang w:val="en-US" w:eastAsia="zh-CN"/>
        </w:rPr>
      </w:pPr>
      <w:r>
        <w:rPr>
          <w:rFonts w:hint="eastAsia"/>
        </w:rPr>
        <w:t>重庆市第3号总河长令《关于在全市开展提升污水收集率、污水处理率和处理达标率专项行动的决定》（2021.5）</w:t>
      </w:r>
      <w:r>
        <w:rPr>
          <w:rFonts w:hint="eastAsia"/>
          <w:lang w:eastAsia="zh-CN"/>
        </w:rPr>
        <w:t>。</w:t>
      </w:r>
    </w:p>
    <w:p w14:paraId="0DB9B7DC">
      <w:pPr>
        <w:pStyle w:val="7"/>
        <w:bidi w:val="0"/>
        <w:ind w:left="0" w:leftChars="0" w:firstLine="0" w:firstLineChars="0"/>
        <w:rPr>
          <w:color w:val="auto"/>
          <w:highlight w:val="none"/>
        </w:rPr>
      </w:pPr>
      <w:r>
        <w:rPr>
          <w:rFonts w:hint="eastAsia"/>
          <w:color w:val="auto"/>
          <w:highlight w:val="none"/>
          <w:lang w:val="en-US" w:eastAsia="zh-CN"/>
        </w:rPr>
        <w:t>相关规划</w:t>
      </w:r>
    </w:p>
    <w:p w14:paraId="449F8347">
      <w:pPr>
        <w:pStyle w:val="5"/>
        <w:numPr>
          <w:ilvl w:val="0"/>
          <w:numId w:val="8"/>
        </w:numPr>
        <w:bidi w:val="0"/>
        <w:rPr>
          <w:rFonts w:hint="default"/>
          <w:lang w:val="en-US" w:eastAsia="zh-CN"/>
        </w:rPr>
      </w:pPr>
      <w:r>
        <w:rPr>
          <w:rFonts w:hint="default"/>
          <w:lang w:val="en-US" w:eastAsia="zh-CN"/>
        </w:rPr>
        <w:t>《</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生态环境保护规划》（国发</w:t>
      </w:r>
      <w:r>
        <w:rPr>
          <w:rFonts w:hint="eastAsia"/>
          <w:lang w:val="en-US" w:eastAsia="zh-CN"/>
        </w:rPr>
        <w:t>〔</w:t>
      </w:r>
      <w:r>
        <w:rPr>
          <w:rFonts w:hint="default"/>
          <w:lang w:val="en-US" w:eastAsia="zh-CN"/>
        </w:rPr>
        <w:t>2016</w:t>
      </w:r>
      <w:r>
        <w:rPr>
          <w:rFonts w:hint="eastAsia"/>
          <w:lang w:val="en-US" w:eastAsia="zh-CN"/>
        </w:rPr>
        <w:t>〕</w:t>
      </w:r>
      <w:r>
        <w:rPr>
          <w:rFonts w:hint="default"/>
          <w:lang w:val="en-US" w:eastAsia="zh-CN"/>
        </w:rPr>
        <w:t>65号）</w:t>
      </w:r>
      <w:r>
        <w:rPr>
          <w:rFonts w:hint="eastAsia"/>
          <w:lang w:val="en-US" w:eastAsia="zh-CN"/>
        </w:rPr>
        <w:t>；</w:t>
      </w:r>
    </w:p>
    <w:p w14:paraId="0BA4E353">
      <w:pPr>
        <w:pStyle w:val="5"/>
        <w:numPr>
          <w:ilvl w:val="0"/>
          <w:numId w:val="8"/>
        </w:numPr>
        <w:bidi w:val="0"/>
        <w:rPr>
          <w:rFonts w:hint="default"/>
          <w:lang w:val="en-US" w:eastAsia="zh-CN"/>
        </w:rPr>
      </w:pPr>
      <w:r>
        <w:rPr>
          <w:rFonts w:hint="default"/>
          <w:lang w:val="en-US" w:eastAsia="zh-CN"/>
        </w:rPr>
        <w:t>《重庆生态功能区划》（修编）</w:t>
      </w:r>
      <w:r>
        <w:rPr>
          <w:rFonts w:hint="eastAsia"/>
          <w:lang w:val="en-US" w:eastAsia="zh-CN"/>
        </w:rPr>
        <w:t>；</w:t>
      </w:r>
    </w:p>
    <w:p w14:paraId="24DF57DE">
      <w:pPr>
        <w:pStyle w:val="5"/>
        <w:numPr>
          <w:ilvl w:val="0"/>
          <w:numId w:val="8"/>
        </w:numPr>
        <w:bidi w:val="0"/>
        <w:rPr>
          <w:rFonts w:hint="default"/>
          <w:lang w:val="en-US" w:eastAsia="zh-CN"/>
        </w:rPr>
      </w:pPr>
      <w:r>
        <w:rPr>
          <w:rFonts w:hint="default"/>
          <w:lang w:val="en-US" w:eastAsia="zh-CN"/>
        </w:rPr>
        <w:t>《重庆市城乡总体规划（2007-2020年）》（2011年修订）</w:t>
      </w:r>
      <w:r>
        <w:rPr>
          <w:rFonts w:hint="eastAsia"/>
          <w:lang w:val="en-US" w:eastAsia="zh-CN"/>
        </w:rPr>
        <w:t>；</w:t>
      </w:r>
    </w:p>
    <w:p w14:paraId="09102C36">
      <w:pPr>
        <w:pStyle w:val="5"/>
        <w:numPr>
          <w:ilvl w:val="0"/>
          <w:numId w:val="8"/>
        </w:numPr>
        <w:bidi w:val="0"/>
        <w:rPr>
          <w:rFonts w:hint="default"/>
          <w:lang w:val="en-US" w:eastAsia="zh-CN"/>
        </w:rPr>
      </w:pPr>
      <w:r>
        <w:rPr>
          <w:rFonts w:hint="default"/>
          <w:lang w:val="en-US" w:eastAsia="zh-CN"/>
        </w:rPr>
        <w:t>《重庆市</w:t>
      </w:r>
      <w:r>
        <w:rPr>
          <w:rFonts w:hint="eastAsia"/>
          <w:lang w:val="en-US" w:eastAsia="zh-CN"/>
        </w:rPr>
        <w:t>秀山县</w:t>
      </w:r>
      <w:r>
        <w:rPr>
          <w:rFonts w:hint="default"/>
          <w:lang w:val="en-US" w:eastAsia="zh-CN"/>
        </w:rPr>
        <w:t>城乡总体规划（2015-2030）》</w:t>
      </w:r>
      <w:r>
        <w:rPr>
          <w:rFonts w:hint="eastAsia"/>
          <w:lang w:val="en-US" w:eastAsia="zh-CN"/>
        </w:rPr>
        <w:t>；</w:t>
      </w:r>
    </w:p>
    <w:p w14:paraId="32C899FC">
      <w:pPr>
        <w:pStyle w:val="5"/>
        <w:numPr>
          <w:ilvl w:val="0"/>
          <w:numId w:val="8"/>
        </w:numPr>
        <w:bidi w:val="0"/>
        <w:rPr>
          <w:rFonts w:hint="default"/>
          <w:lang w:val="en-US" w:eastAsia="zh-CN"/>
        </w:rPr>
      </w:pPr>
      <w:r>
        <w:rPr>
          <w:rFonts w:hint="default"/>
          <w:lang w:val="en-US" w:eastAsia="zh-CN"/>
        </w:rPr>
        <w:t>《</w:t>
      </w:r>
      <w:r>
        <w:rPr>
          <w:rFonts w:hint="eastAsia"/>
          <w:lang w:val="en-US" w:eastAsia="zh-CN"/>
        </w:rPr>
        <w:t>重庆市秀山县水功能区划修编报告（2011年）</w:t>
      </w:r>
      <w:r>
        <w:rPr>
          <w:rFonts w:hint="default"/>
          <w:lang w:val="en-US" w:eastAsia="zh-CN"/>
        </w:rPr>
        <w:t>》</w:t>
      </w:r>
      <w:r>
        <w:rPr>
          <w:rFonts w:hint="eastAsia"/>
          <w:lang w:val="en-US" w:eastAsia="zh-CN"/>
        </w:rPr>
        <w:t>；</w:t>
      </w:r>
    </w:p>
    <w:p w14:paraId="27D8CF93">
      <w:pPr>
        <w:pStyle w:val="5"/>
        <w:numPr>
          <w:ilvl w:val="0"/>
          <w:numId w:val="8"/>
        </w:numPr>
        <w:bidi w:val="0"/>
        <w:rPr>
          <w:rFonts w:hint="default"/>
          <w:lang w:val="en-US" w:eastAsia="zh-CN"/>
        </w:rPr>
      </w:pPr>
      <w:r>
        <w:rPr>
          <w:rFonts w:hint="eastAsia"/>
          <w:lang w:val="en-US" w:eastAsia="zh-CN"/>
        </w:rPr>
        <w:t>《重庆市秀山县水域纳污能力核定和分阶段限排总量控制方案报告》；</w:t>
      </w:r>
    </w:p>
    <w:p w14:paraId="2B670DD2">
      <w:pPr>
        <w:pStyle w:val="5"/>
        <w:numPr>
          <w:ilvl w:val="0"/>
          <w:numId w:val="8"/>
        </w:numPr>
        <w:bidi w:val="0"/>
        <w:rPr>
          <w:rFonts w:hint="default"/>
          <w:lang w:val="en-US" w:eastAsia="zh-CN"/>
        </w:rPr>
      </w:pPr>
      <w:r>
        <w:rPr>
          <w:rFonts w:hint="default"/>
          <w:lang w:val="en-US" w:eastAsia="zh-CN"/>
        </w:rPr>
        <w:t>《秀山县人民政府关于印发秀山自治县城市集中式饮用水水源地保护区划分及调整方案的通知》（秀山府办发〔2018〕34 号）</w:t>
      </w:r>
      <w:r>
        <w:rPr>
          <w:rFonts w:hint="eastAsia"/>
          <w:lang w:val="en-US" w:eastAsia="zh-CN"/>
        </w:rPr>
        <w:t>；</w:t>
      </w:r>
    </w:p>
    <w:p w14:paraId="6DFBDCF4">
      <w:pPr>
        <w:pStyle w:val="5"/>
        <w:numPr>
          <w:ilvl w:val="0"/>
          <w:numId w:val="8"/>
        </w:numPr>
        <w:bidi w:val="0"/>
        <w:rPr>
          <w:rFonts w:hint="default"/>
          <w:lang w:val="en-US" w:eastAsia="zh-CN"/>
        </w:rPr>
      </w:pPr>
      <w:r>
        <w:rPr>
          <w:rFonts w:hint="eastAsia"/>
          <w:lang w:val="en-US" w:eastAsia="zh-CN"/>
        </w:rPr>
        <w:t>《重庆市秀山土家族苗族自治县水土保持规划（2018--2030）》（报批稿）；</w:t>
      </w:r>
    </w:p>
    <w:p w14:paraId="0DF06AC8">
      <w:pPr>
        <w:pStyle w:val="5"/>
        <w:numPr>
          <w:ilvl w:val="0"/>
          <w:numId w:val="8"/>
        </w:numPr>
        <w:bidi w:val="0"/>
        <w:rPr>
          <w:rFonts w:hint="default"/>
          <w:lang w:val="en-US" w:eastAsia="zh-CN"/>
        </w:rPr>
      </w:pPr>
      <w:r>
        <w:rPr>
          <w:rFonts w:hint="eastAsia"/>
          <w:lang w:val="en-US" w:eastAsia="zh-CN"/>
        </w:rPr>
        <w:t>《</w:t>
      </w:r>
      <w:r>
        <w:rPr>
          <w:rFonts w:hint="default"/>
          <w:lang w:val="en-US" w:eastAsia="zh-CN"/>
        </w:rPr>
        <w:t>秀山县</w:t>
      </w:r>
      <w:r>
        <w:rPr>
          <w:rFonts w:hint="eastAsia"/>
          <w:lang w:val="en-US" w:eastAsia="zh-CN"/>
        </w:rPr>
        <w:t>“</w:t>
      </w:r>
      <w:r>
        <w:rPr>
          <w:rFonts w:hint="default"/>
          <w:lang w:val="en-US" w:eastAsia="zh-CN"/>
        </w:rPr>
        <w:t>十四五</w:t>
      </w:r>
      <w:r>
        <w:rPr>
          <w:rFonts w:hint="eastAsia"/>
          <w:lang w:val="en-US" w:eastAsia="zh-CN"/>
        </w:rPr>
        <w:t>”</w:t>
      </w:r>
      <w:r>
        <w:rPr>
          <w:rFonts w:hint="default"/>
          <w:lang w:val="en-US" w:eastAsia="zh-CN"/>
        </w:rPr>
        <w:t>水安全保障规划报告</w:t>
      </w:r>
      <w:r>
        <w:rPr>
          <w:rFonts w:hint="eastAsia"/>
          <w:lang w:val="en-US" w:eastAsia="zh-CN"/>
        </w:rPr>
        <w:t>》（2021.4）；</w:t>
      </w:r>
    </w:p>
    <w:p w14:paraId="2592F1BA">
      <w:pPr>
        <w:pStyle w:val="5"/>
        <w:numPr>
          <w:ilvl w:val="0"/>
          <w:numId w:val="8"/>
        </w:numPr>
        <w:bidi w:val="0"/>
        <w:rPr>
          <w:rFonts w:hint="default"/>
          <w:lang w:val="en-US" w:eastAsia="zh-CN"/>
        </w:rPr>
      </w:pPr>
      <w:r>
        <w:rPr>
          <w:rFonts w:hint="default"/>
          <w:lang w:val="en-US" w:eastAsia="zh-CN"/>
        </w:rPr>
        <w:t>《重庆太阳山市级自然保护区总体规划（修编）（2012-2022年）</w:t>
      </w:r>
      <w:r>
        <w:rPr>
          <w:rFonts w:hint="eastAsia"/>
          <w:lang w:val="en-US" w:eastAsia="zh-CN"/>
        </w:rPr>
        <w:t>》</w:t>
      </w:r>
      <w:r>
        <w:rPr>
          <w:rFonts w:hint="default"/>
          <w:lang w:val="en-US" w:eastAsia="zh-CN"/>
        </w:rPr>
        <w:t>（2012.8）</w:t>
      </w:r>
      <w:r>
        <w:rPr>
          <w:rFonts w:hint="eastAsia"/>
          <w:lang w:val="en-US" w:eastAsia="zh-CN"/>
        </w:rPr>
        <w:t>；</w:t>
      </w:r>
    </w:p>
    <w:p w14:paraId="4A985C21">
      <w:pPr>
        <w:pStyle w:val="5"/>
        <w:numPr>
          <w:ilvl w:val="0"/>
          <w:numId w:val="8"/>
        </w:numPr>
        <w:bidi w:val="0"/>
        <w:rPr>
          <w:rFonts w:hint="default"/>
        </w:rPr>
      </w:pPr>
      <w:r>
        <w:rPr>
          <w:rFonts w:hint="eastAsia"/>
          <w:lang w:val="en-US" w:eastAsia="zh-CN"/>
        </w:rPr>
        <w:t>《重庆市凤凰山森林公园总体规划》（2010年11月）。</w:t>
      </w:r>
    </w:p>
    <w:p w14:paraId="66BB2DC0">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eastAsia" w:ascii="Times New Roman" w:hAnsi="Times New Roman" w:cs="Times New Roman"/>
          <w:color w:val="auto"/>
          <w:highlight w:val="none"/>
        </w:rPr>
      </w:pPr>
      <w:bookmarkStart w:id="7" w:name="_Toc20121"/>
      <w:r>
        <w:rPr>
          <w:rFonts w:hint="eastAsia" w:ascii="Times New Roman" w:hAnsi="Times New Roman" w:cs="Times New Roman"/>
          <w:color w:val="auto"/>
          <w:highlight w:val="none"/>
        </w:rPr>
        <w:t>相关规划及文件</w:t>
      </w:r>
      <w:bookmarkEnd w:id="7"/>
    </w:p>
    <w:p w14:paraId="0B474175">
      <w:pPr>
        <w:pStyle w:val="5"/>
        <w:bidi w:val="0"/>
        <w:rPr>
          <w:rFonts w:hint="eastAsia"/>
          <w:lang w:val="en-US" w:eastAsia="zh-CN"/>
        </w:rPr>
      </w:pPr>
      <w:r>
        <w:rPr>
          <w:rFonts w:hint="eastAsia"/>
          <w:lang w:val="en-US" w:eastAsia="zh-CN"/>
        </w:rPr>
        <w:t>（1）</w:t>
      </w:r>
      <w:r>
        <w:rPr>
          <w:rFonts w:hint="default"/>
          <w:lang w:val="en-US" w:eastAsia="zh-CN"/>
        </w:rPr>
        <w:t>《城市生活垃圾处理及污染防治技术政策》（城建</w:t>
      </w:r>
      <w:r>
        <w:rPr>
          <w:rFonts w:hint="eastAsia"/>
          <w:lang w:val="en-US" w:eastAsia="zh-CN"/>
        </w:rPr>
        <w:t>〔</w:t>
      </w:r>
      <w:r>
        <w:rPr>
          <w:rFonts w:hint="default"/>
          <w:lang w:val="en-US" w:eastAsia="zh-CN"/>
        </w:rPr>
        <w:t>2000</w:t>
      </w:r>
      <w:r>
        <w:rPr>
          <w:rFonts w:hint="eastAsia"/>
          <w:lang w:val="en-US" w:eastAsia="zh-CN"/>
        </w:rPr>
        <w:t>〕</w:t>
      </w:r>
      <w:r>
        <w:rPr>
          <w:rFonts w:hint="default"/>
          <w:lang w:val="en-US" w:eastAsia="zh-CN"/>
        </w:rPr>
        <w:t>120号）</w:t>
      </w:r>
      <w:r>
        <w:rPr>
          <w:rFonts w:hint="eastAsia"/>
          <w:lang w:val="en-US" w:eastAsia="zh-CN"/>
        </w:rPr>
        <w:t>；</w:t>
      </w:r>
    </w:p>
    <w:p w14:paraId="76C59895">
      <w:pPr>
        <w:pStyle w:val="5"/>
        <w:bidi w:val="0"/>
        <w:rPr>
          <w:rFonts w:hint="eastAsia"/>
          <w:lang w:val="en-US" w:eastAsia="zh-CN"/>
        </w:rPr>
      </w:pPr>
      <w:r>
        <w:rPr>
          <w:rFonts w:hint="eastAsia"/>
          <w:lang w:val="en-US" w:eastAsia="zh-CN"/>
        </w:rPr>
        <w:t>（2）</w:t>
      </w:r>
      <w:r>
        <w:rPr>
          <w:rFonts w:hint="default"/>
          <w:lang w:val="en-US" w:eastAsia="zh-CN"/>
        </w:rPr>
        <w:t>《室外排水设计规范》（GB50014-2006（2016版））</w:t>
      </w:r>
      <w:r>
        <w:rPr>
          <w:rFonts w:hint="eastAsia"/>
          <w:lang w:val="en-US" w:eastAsia="zh-CN"/>
        </w:rPr>
        <w:t>；</w:t>
      </w:r>
    </w:p>
    <w:p w14:paraId="1DCF724A">
      <w:pPr>
        <w:pStyle w:val="5"/>
        <w:bidi w:val="0"/>
        <w:rPr>
          <w:rFonts w:hint="default"/>
          <w:lang w:val="en-US" w:eastAsia="zh-CN"/>
        </w:rPr>
      </w:pPr>
      <w:r>
        <w:rPr>
          <w:rFonts w:hint="eastAsia"/>
          <w:lang w:val="en-US" w:eastAsia="zh-CN"/>
        </w:rPr>
        <w:t>（3）</w:t>
      </w:r>
      <w:r>
        <w:rPr>
          <w:rFonts w:hint="default"/>
          <w:lang w:val="en-US" w:eastAsia="zh-CN"/>
        </w:rPr>
        <w:t>《城市水系规划规范》（GB50513-2009）（2016年版）；</w:t>
      </w:r>
    </w:p>
    <w:p w14:paraId="086C4475">
      <w:pPr>
        <w:pStyle w:val="5"/>
        <w:bidi w:val="0"/>
        <w:rPr>
          <w:rFonts w:hint="default"/>
          <w:lang w:val="en-US" w:eastAsia="zh-CN"/>
        </w:rPr>
      </w:pPr>
      <w:r>
        <w:rPr>
          <w:rFonts w:hint="eastAsia"/>
          <w:lang w:val="en-US" w:eastAsia="zh-CN"/>
        </w:rPr>
        <w:t>（4）</w:t>
      </w:r>
      <w:r>
        <w:rPr>
          <w:rFonts w:hint="default"/>
          <w:lang w:val="en-US" w:eastAsia="zh-CN"/>
        </w:rPr>
        <w:t>《生态环境状况评价技术规范》（HJ192-2015）</w:t>
      </w:r>
      <w:r>
        <w:rPr>
          <w:rFonts w:hint="eastAsia"/>
          <w:lang w:val="en-US" w:eastAsia="zh-CN"/>
        </w:rPr>
        <w:t>；</w:t>
      </w:r>
    </w:p>
    <w:p w14:paraId="3C759699">
      <w:pPr>
        <w:pStyle w:val="5"/>
        <w:bidi w:val="0"/>
        <w:rPr>
          <w:rFonts w:hint="default"/>
          <w:lang w:val="en-US" w:eastAsia="zh-CN"/>
        </w:rPr>
      </w:pPr>
      <w:r>
        <w:rPr>
          <w:rFonts w:hint="eastAsia"/>
          <w:lang w:val="en-US" w:eastAsia="zh-CN"/>
        </w:rPr>
        <w:t>（5）</w:t>
      </w:r>
      <w:r>
        <w:rPr>
          <w:rFonts w:hint="default"/>
          <w:lang w:val="en-US" w:eastAsia="zh-CN"/>
        </w:rPr>
        <w:t>《城市生活垃圾卫生填埋技术规范》（CJJ17-2004）</w:t>
      </w:r>
      <w:r>
        <w:rPr>
          <w:rFonts w:hint="eastAsia"/>
          <w:lang w:val="en-US" w:eastAsia="zh-CN"/>
        </w:rPr>
        <w:t>；</w:t>
      </w:r>
    </w:p>
    <w:p w14:paraId="0F2C6CFC">
      <w:pPr>
        <w:pStyle w:val="5"/>
        <w:bidi w:val="0"/>
        <w:rPr>
          <w:rFonts w:hint="default"/>
          <w:lang w:val="en-US" w:eastAsia="zh-CN"/>
        </w:rPr>
      </w:pPr>
      <w:r>
        <w:rPr>
          <w:rFonts w:hint="eastAsia"/>
          <w:lang w:val="en-US" w:eastAsia="zh-CN"/>
        </w:rPr>
        <w:t>（6）</w:t>
      </w:r>
      <w:r>
        <w:rPr>
          <w:rFonts w:hint="default"/>
          <w:lang w:val="en-US" w:eastAsia="zh-CN"/>
        </w:rPr>
        <w:t>《畜禽养殖业污染防治技术规范》（HJ/T81-2001）</w:t>
      </w:r>
      <w:r>
        <w:rPr>
          <w:rFonts w:hint="eastAsia"/>
          <w:lang w:val="en-US" w:eastAsia="zh-CN"/>
        </w:rPr>
        <w:t>；</w:t>
      </w:r>
    </w:p>
    <w:p w14:paraId="50F23BF9">
      <w:pPr>
        <w:pStyle w:val="5"/>
        <w:bidi w:val="0"/>
        <w:rPr>
          <w:rFonts w:hint="default"/>
          <w:lang w:val="en-US" w:eastAsia="zh-CN"/>
        </w:rPr>
      </w:pPr>
      <w:r>
        <w:rPr>
          <w:rFonts w:hint="eastAsia"/>
          <w:lang w:val="en-US" w:eastAsia="zh-CN"/>
        </w:rPr>
        <w:t>（7）</w:t>
      </w:r>
      <w:r>
        <w:rPr>
          <w:rFonts w:hint="default"/>
          <w:lang w:val="en-US" w:eastAsia="zh-CN"/>
        </w:rPr>
        <w:t>《污水综合排放标准》（GB8978-2002）</w:t>
      </w:r>
      <w:r>
        <w:rPr>
          <w:rFonts w:hint="eastAsia"/>
          <w:lang w:val="en-US" w:eastAsia="zh-CN"/>
        </w:rPr>
        <w:t>；</w:t>
      </w:r>
    </w:p>
    <w:p w14:paraId="60FD2F5E">
      <w:pPr>
        <w:pStyle w:val="5"/>
        <w:bidi w:val="0"/>
        <w:rPr>
          <w:rFonts w:hint="default"/>
          <w:lang w:val="en-US" w:eastAsia="zh-CN"/>
        </w:rPr>
      </w:pPr>
      <w:r>
        <w:rPr>
          <w:rFonts w:hint="eastAsia"/>
          <w:lang w:val="en-US" w:eastAsia="zh-CN"/>
        </w:rPr>
        <w:t>（8）</w:t>
      </w:r>
      <w:r>
        <w:rPr>
          <w:rFonts w:hint="default"/>
          <w:lang w:val="en-US" w:eastAsia="zh-CN"/>
        </w:rPr>
        <w:t>《地表水环境质量标准》（GB3838-2002）</w:t>
      </w:r>
      <w:r>
        <w:rPr>
          <w:rFonts w:hint="eastAsia"/>
          <w:lang w:val="en-US" w:eastAsia="zh-CN"/>
        </w:rPr>
        <w:t>；</w:t>
      </w:r>
    </w:p>
    <w:p w14:paraId="621AE87B">
      <w:pPr>
        <w:pStyle w:val="5"/>
        <w:bidi w:val="0"/>
        <w:rPr>
          <w:rFonts w:hint="default"/>
          <w:lang w:val="en-US" w:eastAsia="zh-CN"/>
        </w:rPr>
      </w:pPr>
      <w:r>
        <w:rPr>
          <w:rFonts w:hint="eastAsia"/>
          <w:lang w:val="en-US" w:eastAsia="zh-CN"/>
        </w:rPr>
        <w:t>（9）</w:t>
      </w:r>
      <w:r>
        <w:rPr>
          <w:rFonts w:hint="default"/>
          <w:lang w:val="en-US" w:eastAsia="zh-CN"/>
        </w:rPr>
        <w:t>《城市污水处理工程项目建设标准》（修订）（2001年版）</w:t>
      </w:r>
      <w:r>
        <w:rPr>
          <w:rFonts w:hint="eastAsia"/>
          <w:lang w:val="en-US" w:eastAsia="zh-CN"/>
        </w:rPr>
        <w:t>；</w:t>
      </w:r>
    </w:p>
    <w:p w14:paraId="604BE16C">
      <w:pPr>
        <w:pStyle w:val="5"/>
        <w:bidi w:val="0"/>
        <w:rPr>
          <w:rFonts w:hint="default"/>
          <w:lang w:val="en-US" w:eastAsia="zh-CN"/>
        </w:rPr>
      </w:pPr>
      <w:r>
        <w:rPr>
          <w:rFonts w:hint="eastAsia"/>
          <w:lang w:val="en-US" w:eastAsia="zh-CN"/>
        </w:rPr>
        <w:t>（10）</w:t>
      </w:r>
      <w:r>
        <w:rPr>
          <w:rFonts w:hint="default"/>
          <w:lang w:val="en-US" w:eastAsia="zh-CN"/>
        </w:rPr>
        <w:t>《城镇污水处理厂污染物排放标准》（GB18918-2002）</w:t>
      </w:r>
      <w:r>
        <w:rPr>
          <w:rFonts w:hint="eastAsia"/>
          <w:lang w:val="en-US" w:eastAsia="zh-CN"/>
        </w:rPr>
        <w:t>；</w:t>
      </w:r>
    </w:p>
    <w:p w14:paraId="321ED1B7">
      <w:pPr>
        <w:pStyle w:val="5"/>
        <w:bidi w:val="0"/>
        <w:rPr>
          <w:rFonts w:hint="default"/>
          <w:lang w:val="en-US" w:eastAsia="zh-CN"/>
        </w:rPr>
      </w:pPr>
      <w:r>
        <w:rPr>
          <w:rFonts w:hint="eastAsia"/>
          <w:lang w:val="en-US" w:eastAsia="zh-CN"/>
        </w:rPr>
        <w:t>（11）</w:t>
      </w:r>
      <w:r>
        <w:rPr>
          <w:rFonts w:hint="default"/>
          <w:lang w:val="en-US" w:eastAsia="zh-CN"/>
        </w:rPr>
        <w:t>《防洪标准》（GB50201-2014）</w:t>
      </w:r>
      <w:r>
        <w:rPr>
          <w:rFonts w:hint="eastAsia"/>
          <w:lang w:val="en-US" w:eastAsia="zh-CN"/>
        </w:rPr>
        <w:t>；</w:t>
      </w:r>
    </w:p>
    <w:p w14:paraId="0234E0B3">
      <w:pPr>
        <w:pStyle w:val="5"/>
        <w:bidi w:val="0"/>
        <w:rPr>
          <w:rFonts w:hint="default"/>
          <w:lang w:val="en-US" w:eastAsia="zh-CN"/>
        </w:rPr>
      </w:pPr>
      <w:r>
        <w:rPr>
          <w:rFonts w:hint="eastAsia"/>
          <w:lang w:val="en-US" w:eastAsia="zh-CN"/>
        </w:rPr>
        <w:t>（12）</w:t>
      </w:r>
      <w:r>
        <w:rPr>
          <w:rFonts w:hint="default"/>
          <w:lang w:val="en-US" w:eastAsia="zh-CN"/>
        </w:rPr>
        <w:t>《污水排入城市下水道水质标准》（GB/T31962-2015）；</w:t>
      </w:r>
    </w:p>
    <w:p w14:paraId="6C6A1121">
      <w:pPr>
        <w:pStyle w:val="5"/>
        <w:bidi w:val="0"/>
        <w:rPr>
          <w:rFonts w:hint="default"/>
          <w:lang w:val="en-US" w:eastAsia="zh-CN"/>
        </w:rPr>
      </w:pPr>
      <w:r>
        <w:rPr>
          <w:rFonts w:hint="eastAsia"/>
          <w:lang w:val="en-US" w:eastAsia="zh-CN"/>
        </w:rPr>
        <w:t>（13）</w:t>
      </w:r>
      <w:r>
        <w:rPr>
          <w:rFonts w:hint="default"/>
          <w:lang w:val="en-US" w:eastAsia="zh-CN"/>
        </w:rPr>
        <w:t>《生活垃圾填埋场污染控制标准》（GB16889-2008）</w:t>
      </w:r>
      <w:r>
        <w:rPr>
          <w:rFonts w:hint="eastAsia"/>
          <w:lang w:val="en-US" w:eastAsia="zh-CN"/>
        </w:rPr>
        <w:t>；</w:t>
      </w:r>
    </w:p>
    <w:p w14:paraId="7ABD4E1C">
      <w:pPr>
        <w:pStyle w:val="5"/>
        <w:bidi w:val="0"/>
        <w:rPr>
          <w:rFonts w:hint="default"/>
          <w:lang w:val="en-US" w:eastAsia="zh-CN"/>
        </w:rPr>
      </w:pPr>
      <w:r>
        <w:rPr>
          <w:rFonts w:hint="eastAsia"/>
          <w:lang w:val="en-US" w:eastAsia="zh-CN"/>
        </w:rPr>
        <w:t>（14）</w:t>
      </w:r>
      <w:r>
        <w:rPr>
          <w:rFonts w:hint="default"/>
          <w:lang w:val="en-US" w:eastAsia="zh-CN"/>
        </w:rPr>
        <w:t>《畜禽养殖业污染物排放标准》（GB18596-2001）</w:t>
      </w:r>
      <w:r>
        <w:rPr>
          <w:rFonts w:hint="eastAsia"/>
          <w:lang w:val="en-US" w:eastAsia="zh-CN"/>
        </w:rPr>
        <w:t>；</w:t>
      </w:r>
    </w:p>
    <w:p w14:paraId="5E9545CA">
      <w:pPr>
        <w:pStyle w:val="5"/>
        <w:bidi w:val="0"/>
        <w:rPr>
          <w:rFonts w:hint="default"/>
          <w:lang w:val="en-US" w:eastAsia="zh-CN"/>
        </w:rPr>
      </w:pPr>
      <w:r>
        <w:rPr>
          <w:rFonts w:hint="eastAsia"/>
          <w:lang w:val="en-US" w:eastAsia="zh-CN"/>
        </w:rPr>
        <w:t>（15）</w:t>
      </w:r>
      <w:r>
        <w:rPr>
          <w:rFonts w:hint="default"/>
          <w:lang w:val="en-US" w:eastAsia="zh-CN"/>
        </w:rPr>
        <w:t>《水域纳污能力计算规程》（GB/T25173-2010）</w:t>
      </w:r>
      <w:r>
        <w:rPr>
          <w:rFonts w:hint="eastAsia"/>
          <w:lang w:val="en-US" w:eastAsia="zh-CN"/>
        </w:rPr>
        <w:t>；</w:t>
      </w:r>
    </w:p>
    <w:p w14:paraId="405C5717">
      <w:pPr>
        <w:pStyle w:val="5"/>
        <w:bidi w:val="0"/>
        <w:rPr>
          <w:rFonts w:hint="default"/>
          <w:lang w:val="en-US" w:eastAsia="zh-CN"/>
        </w:rPr>
      </w:pPr>
      <w:r>
        <w:rPr>
          <w:rFonts w:hint="eastAsia"/>
          <w:lang w:val="en-US" w:eastAsia="zh-CN"/>
        </w:rPr>
        <w:t>（16）</w:t>
      </w:r>
      <w:r>
        <w:rPr>
          <w:rFonts w:hint="default"/>
          <w:lang w:val="en-US" w:eastAsia="zh-CN"/>
        </w:rPr>
        <w:t>《水污染物排放限值》（DB44/26-2001）</w:t>
      </w:r>
      <w:r>
        <w:rPr>
          <w:rFonts w:hint="eastAsia"/>
          <w:lang w:val="en-US" w:eastAsia="zh-CN"/>
        </w:rPr>
        <w:t>；</w:t>
      </w:r>
    </w:p>
    <w:p w14:paraId="74D4F7DE">
      <w:pPr>
        <w:pStyle w:val="5"/>
        <w:bidi w:val="0"/>
        <w:rPr>
          <w:rFonts w:hint="eastAsia"/>
        </w:rPr>
      </w:pPr>
      <w:r>
        <w:rPr>
          <w:rFonts w:hint="eastAsia"/>
          <w:lang w:val="en-US" w:eastAsia="zh-CN"/>
        </w:rPr>
        <w:t>（17）《水体达标方案编制技术指南（试行）》（环办函〔2015〕1711号）。</w:t>
      </w:r>
    </w:p>
    <w:p w14:paraId="24B1CA45">
      <w:pPr>
        <w:pStyle w:val="7"/>
        <w:keepNext w:val="0"/>
        <w:keepLines/>
        <w:pageBreakBefore w:val="0"/>
        <w:widowControl w:val="0"/>
        <w:kinsoku/>
        <w:wordWrap/>
        <w:overflowPunct/>
        <w:topLinePunct w:val="0"/>
        <w:autoSpaceDE/>
        <w:autoSpaceDN/>
        <w:bidi w:val="0"/>
        <w:adjustRightInd/>
        <w:snapToGrid/>
        <w:spacing w:after="79" w:afterLines="25"/>
        <w:ind w:left="0" w:leftChars="0"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其他基础资料</w:t>
      </w:r>
    </w:p>
    <w:p w14:paraId="25E59458">
      <w:pPr>
        <w:pStyle w:val="5"/>
        <w:numPr>
          <w:ilvl w:val="0"/>
          <w:numId w:val="9"/>
        </w:numPr>
        <w:bidi w:val="0"/>
        <w:rPr>
          <w:rFonts w:hint="eastAsia"/>
          <w:lang w:val="en-US" w:eastAsia="zh-CN"/>
        </w:rPr>
      </w:pPr>
      <w:r>
        <w:rPr>
          <w:rFonts w:hint="eastAsia"/>
          <w:lang w:val="en-US" w:eastAsia="zh-CN"/>
        </w:rPr>
        <w:t>《重庆市流域面积1000平方公里及以上河流河道名录登记簿》；</w:t>
      </w:r>
    </w:p>
    <w:p w14:paraId="6ED1EA60">
      <w:pPr>
        <w:pStyle w:val="5"/>
        <w:numPr>
          <w:ilvl w:val="0"/>
          <w:numId w:val="9"/>
        </w:numPr>
        <w:bidi w:val="0"/>
        <w:rPr>
          <w:rFonts w:hint="eastAsia"/>
          <w:lang w:val="en-US" w:eastAsia="zh-CN"/>
        </w:rPr>
      </w:pPr>
      <w:r>
        <w:rPr>
          <w:rFonts w:hint="eastAsia"/>
          <w:lang w:val="en-US" w:eastAsia="zh-CN"/>
        </w:rPr>
        <w:t>《重庆市第二批河流河道名录（流域面积50-1000平方公里）》；</w:t>
      </w:r>
    </w:p>
    <w:p w14:paraId="2B2CEDDC">
      <w:pPr>
        <w:pStyle w:val="5"/>
        <w:numPr>
          <w:ilvl w:val="0"/>
          <w:numId w:val="9"/>
        </w:numPr>
        <w:bidi w:val="0"/>
        <w:rPr>
          <w:rFonts w:hint="eastAsia"/>
          <w:lang w:val="en-US" w:eastAsia="zh-CN"/>
        </w:rPr>
      </w:pPr>
      <w:r>
        <w:rPr>
          <w:rFonts w:hint="eastAsia"/>
          <w:lang w:val="en-US" w:eastAsia="zh-CN"/>
        </w:rPr>
        <w:t>《秀山县“十四五”水安全保障规划报告》；</w:t>
      </w:r>
    </w:p>
    <w:p w14:paraId="6B5D1862">
      <w:pPr>
        <w:pStyle w:val="5"/>
        <w:numPr>
          <w:ilvl w:val="0"/>
          <w:numId w:val="9"/>
        </w:numPr>
        <w:bidi w:val="0"/>
        <w:rPr>
          <w:rFonts w:hint="eastAsia"/>
          <w:lang w:val="en-US" w:eastAsia="zh-CN"/>
        </w:rPr>
      </w:pPr>
      <w:r>
        <w:rPr>
          <w:rFonts w:hint="eastAsia"/>
          <w:lang w:val="en-US" w:eastAsia="zh-CN"/>
        </w:rPr>
        <w:t>《重庆市秀山县水利基础设施空间布局规划报告》；</w:t>
      </w:r>
    </w:p>
    <w:p w14:paraId="05F574F5">
      <w:pPr>
        <w:pStyle w:val="5"/>
        <w:numPr>
          <w:ilvl w:val="0"/>
          <w:numId w:val="9"/>
        </w:numPr>
        <w:bidi w:val="0"/>
        <w:rPr>
          <w:rFonts w:hint="eastAsia"/>
          <w:lang w:val="en-US" w:eastAsia="zh-CN"/>
        </w:rPr>
      </w:pPr>
      <w:r>
        <w:rPr>
          <w:rFonts w:hint="eastAsia"/>
          <w:lang w:val="en-US" w:eastAsia="zh-CN"/>
        </w:rPr>
        <w:t>《秀山土家族苗族自治县水资源配置与利用规划》；</w:t>
      </w:r>
    </w:p>
    <w:p w14:paraId="2BC7A9C4">
      <w:pPr>
        <w:pStyle w:val="5"/>
        <w:numPr>
          <w:ilvl w:val="0"/>
          <w:numId w:val="9"/>
        </w:numPr>
        <w:bidi w:val="0"/>
        <w:rPr>
          <w:rFonts w:hint="eastAsia"/>
          <w:lang w:val="en-US" w:eastAsia="zh-CN"/>
        </w:rPr>
      </w:pPr>
      <w:r>
        <w:rPr>
          <w:rFonts w:hint="eastAsia"/>
          <w:lang w:val="en-US" w:eastAsia="zh-CN"/>
        </w:rPr>
        <w:t>秀山县2020年统计年鉴；</w:t>
      </w:r>
    </w:p>
    <w:p w14:paraId="4DE397DB">
      <w:pPr>
        <w:pStyle w:val="5"/>
        <w:numPr>
          <w:ilvl w:val="0"/>
          <w:numId w:val="9"/>
        </w:numPr>
        <w:bidi w:val="0"/>
        <w:rPr>
          <w:rFonts w:hint="default"/>
          <w:lang w:val="en-US" w:eastAsia="zh-CN"/>
        </w:rPr>
      </w:pPr>
      <w:r>
        <w:rPr>
          <w:rFonts w:hint="eastAsia"/>
          <w:lang w:val="en-US" w:eastAsia="zh-CN"/>
        </w:rPr>
        <w:t>秀山县一河一档资料；</w:t>
      </w:r>
    </w:p>
    <w:p w14:paraId="52BA39DD">
      <w:pPr>
        <w:pStyle w:val="5"/>
        <w:numPr>
          <w:ilvl w:val="0"/>
          <w:numId w:val="9"/>
        </w:numPr>
        <w:bidi w:val="0"/>
        <w:rPr>
          <w:rFonts w:hint="default"/>
          <w:lang w:val="en-US" w:eastAsia="zh-CN"/>
        </w:rPr>
      </w:pPr>
      <w:r>
        <w:rPr>
          <w:rFonts w:hint="eastAsia"/>
          <w:lang w:val="en-US" w:eastAsia="zh-CN"/>
        </w:rPr>
        <w:t>梅江河流域2018~2020年水质监测资料；</w:t>
      </w:r>
    </w:p>
    <w:p w14:paraId="0D302A3F">
      <w:pPr>
        <w:pStyle w:val="5"/>
        <w:numPr>
          <w:ilvl w:val="0"/>
          <w:numId w:val="9"/>
        </w:numPr>
        <w:bidi w:val="0"/>
        <w:rPr>
          <w:rFonts w:hint="default"/>
          <w:lang w:val="en-US" w:eastAsia="zh-CN"/>
        </w:rPr>
      </w:pPr>
      <w:r>
        <w:rPr>
          <w:rFonts w:hint="eastAsia"/>
          <w:lang w:val="en-US" w:eastAsia="zh-CN"/>
        </w:rPr>
        <w:t>梅江河流域污染源普查资料；</w:t>
      </w:r>
    </w:p>
    <w:p w14:paraId="3F68B226">
      <w:pPr>
        <w:pStyle w:val="5"/>
        <w:numPr>
          <w:ilvl w:val="0"/>
          <w:numId w:val="9"/>
        </w:numPr>
        <w:bidi w:val="0"/>
        <w:rPr>
          <w:rFonts w:hint="default"/>
          <w:lang w:val="en-US" w:eastAsia="zh-CN"/>
        </w:rPr>
      </w:pPr>
      <w:r>
        <w:rPr>
          <w:rFonts w:hint="eastAsia"/>
          <w:lang w:val="en-US" w:eastAsia="zh-CN"/>
        </w:rPr>
        <w:t>梅江河流域划界资料；</w:t>
      </w:r>
    </w:p>
    <w:p w14:paraId="2981CFF6">
      <w:pPr>
        <w:pStyle w:val="5"/>
        <w:numPr>
          <w:ilvl w:val="0"/>
          <w:numId w:val="9"/>
        </w:numPr>
        <w:bidi w:val="0"/>
        <w:rPr>
          <w:rFonts w:hint="default"/>
          <w:lang w:val="en-US" w:eastAsia="zh-CN"/>
        </w:rPr>
      </w:pPr>
      <w:r>
        <w:rPr>
          <w:rFonts w:hint="eastAsia"/>
          <w:lang w:val="en-US" w:eastAsia="zh-CN"/>
        </w:rPr>
        <w:t>其他秀山县及梅江河流域基础统计资料。</w:t>
      </w:r>
    </w:p>
    <w:p w14:paraId="7A006E73">
      <w:pPr>
        <w:pStyle w:val="6"/>
        <w:bidi w:val="0"/>
        <w:ind w:left="0" w:leftChars="0" w:firstLine="0" w:firstLineChars="0"/>
        <w:rPr>
          <w:rFonts w:hint="eastAsia"/>
          <w:color w:val="auto"/>
          <w:highlight w:val="none"/>
        </w:rPr>
      </w:pPr>
      <w:bookmarkStart w:id="8" w:name="_Toc19074"/>
      <w:bookmarkStart w:id="9" w:name="_Toc2747"/>
      <w:r>
        <w:rPr>
          <w:rFonts w:hint="eastAsia"/>
          <w:color w:val="auto"/>
          <w:highlight w:val="none"/>
        </w:rPr>
        <w:t>编制对象</w:t>
      </w:r>
      <w:bookmarkEnd w:id="8"/>
      <w:bookmarkEnd w:id="9"/>
    </w:p>
    <w:p w14:paraId="2E745B5F">
      <w:pPr>
        <w:pStyle w:val="5"/>
        <w:ind w:firstLine="480"/>
        <w:rPr>
          <w:rFonts w:hint="eastAsia"/>
          <w:color w:val="auto"/>
          <w:highlight w:val="none"/>
          <w:lang w:val="en-US" w:eastAsia="zh-CN"/>
        </w:rPr>
      </w:pPr>
      <w:r>
        <w:rPr>
          <w:rFonts w:hint="eastAsia"/>
          <w:color w:val="auto"/>
          <w:highlight w:val="none"/>
        </w:rPr>
        <w:t>本报告编制对象为</w:t>
      </w:r>
      <w:r>
        <w:rPr>
          <w:rFonts w:hint="eastAsia"/>
          <w:color w:val="auto"/>
          <w:highlight w:val="none"/>
          <w:lang w:val="en-US" w:eastAsia="zh-CN"/>
        </w:rPr>
        <w:t>梅江河流域石耶镇段、石耶镇乡镇级河流及水库，共涉及4条河流。分别为梅江河石耶镇段</w:t>
      </w:r>
      <w:r>
        <w:rPr>
          <w:rFonts w:hint="eastAsia" w:ascii="Times New Roman" w:hAnsi="Times New Roman" w:eastAsia="宋体" w:cs="Times New Roman"/>
          <w:color w:val="auto"/>
          <w:highlight w:val="none"/>
          <w:lang w:val="en-US" w:eastAsia="zh-CN"/>
        </w:rPr>
        <w:t>、中平河、同心河、甘溪沟河</w:t>
      </w:r>
      <w:r>
        <w:rPr>
          <w:rFonts w:hint="eastAsia"/>
          <w:color w:val="auto"/>
          <w:highlight w:val="none"/>
          <w:lang w:eastAsia="zh-CN"/>
        </w:rPr>
        <w:t>。</w:t>
      </w:r>
      <w:r>
        <w:rPr>
          <w:rFonts w:hint="eastAsia"/>
          <w:color w:val="auto"/>
          <w:highlight w:val="none"/>
          <w:lang w:val="en-US" w:eastAsia="zh-CN"/>
        </w:rPr>
        <w:t>编制对象统计如下表所示。</w:t>
      </w:r>
    </w:p>
    <w:p w14:paraId="5A2E9DCB">
      <w:pPr>
        <w:pStyle w:val="56"/>
        <w:bidi w:val="0"/>
        <w:rPr>
          <w:rFonts w:hint="eastAsia"/>
          <w:color w:val="auto"/>
          <w:highlight w:val="none"/>
          <w:lang w:val="en-US" w:eastAsia="zh-CN"/>
        </w:rPr>
      </w:pPr>
      <w:r>
        <w:rPr>
          <w:rFonts w:hint="eastAsia"/>
          <w:color w:val="auto"/>
          <w:highlight w:val="none"/>
          <w:lang w:val="en-US" w:eastAsia="zh-CN"/>
        </w:rPr>
        <w:t>表1.2-1  石耶镇“一河一策”编制对象统计表</w:t>
      </w:r>
    </w:p>
    <w:tbl>
      <w:tblPr>
        <w:tblStyle w:val="23"/>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8"/>
        <w:gridCol w:w="924"/>
        <w:gridCol w:w="1793"/>
        <w:gridCol w:w="2272"/>
        <w:gridCol w:w="2272"/>
      </w:tblGrid>
      <w:tr w14:paraId="080E6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1258" w:type="dxa"/>
            <w:tcBorders>
              <w:tl2br w:val="nil"/>
              <w:tr2bl w:val="nil"/>
            </w:tcBorders>
            <w:shd w:val="clear" w:color="auto" w:fill="auto"/>
            <w:vAlign w:val="center"/>
          </w:tcPr>
          <w:p w14:paraId="125F699E">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rPr>
            </w:pPr>
            <w:r>
              <w:rPr>
                <w:rFonts w:hint="eastAsia"/>
                <w:b w:val="0"/>
                <w:bCs/>
                <w:color w:val="auto"/>
                <w:sz w:val="21"/>
                <w:szCs w:val="21"/>
                <w:highlight w:val="none"/>
                <w:lang w:val="en-US" w:eastAsia="zh-CN"/>
              </w:rPr>
              <w:t>乡镇、街道</w:t>
            </w:r>
          </w:p>
        </w:tc>
        <w:tc>
          <w:tcPr>
            <w:tcW w:w="924" w:type="dxa"/>
            <w:tcBorders>
              <w:tl2br w:val="nil"/>
              <w:tr2bl w:val="nil"/>
            </w:tcBorders>
            <w:shd w:val="clear" w:color="auto" w:fill="auto"/>
            <w:vAlign w:val="center"/>
          </w:tcPr>
          <w:p w14:paraId="740648F7">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序号</w:t>
            </w:r>
          </w:p>
        </w:tc>
        <w:tc>
          <w:tcPr>
            <w:tcW w:w="1793" w:type="dxa"/>
            <w:tcBorders>
              <w:tl2br w:val="nil"/>
              <w:tr2bl w:val="nil"/>
            </w:tcBorders>
            <w:shd w:val="clear" w:color="auto" w:fill="auto"/>
            <w:vAlign w:val="center"/>
          </w:tcPr>
          <w:p w14:paraId="74E87B12">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河流</w:t>
            </w:r>
          </w:p>
        </w:tc>
        <w:tc>
          <w:tcPr>
            <w:tcW w:w="2272" w:type="dxa"/>
            <w:tcBorders>
              <w:tl2br w:val="nil"/>
              <w:tr2bl w:val="nil"/>
            </w:tcBorders>
            <w:shd w:val="clear" w:color="auto" w:fill="auto"/>
            <w:vAlign w:val="center"/>
          </w:tcPr>
          <w:p w14:paraId="5A428A0D">
            <w:pPr>
              <w:pStyle w:val="29"/>
              <w:keepNext w:val="0"/>
              <w:keepLines w:val="0"/>
              <w:suppressLineNumbers w:val="0"/>
              <w:bidi w:val="0"/>
              <w:spacing w:before="0" w:beforeAutospacing="0" w:after="0" w:afterAutospacing="0"/>
              <w:ind w:left="-52" w:leftChars="-25" w:right="-52" w:rightChars="-25"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河流（水库）属性</w:t>
            </w:r>
          </w:p>
        </w:tc>
        <w:tc>
          <w:tcPr>
            <w:tcW w:w="2272" w:type="dxa"/>
            <w:tcBorders>
              <w:tl2br w:val="nil"/>
              <w:tr2bl w:val="nil"/>
            </w:tcBorders>
            <w:shd w:val="clear" w:color="auto" w:fill="auto"/>
            <w:vAlign w:val="center"/>
          </w:tcPr>
          <w:p w14:paraId="51151829">
            <w:pPr>
              <w:pStyle w:val="29"/>
              <w:keepNext w:val="0"/>
              <w:keepLines w:val="0"/>
              <w:suppressLineNumbers w:val="0"/>
              <w:bidi w:val="0"/>
              <w:spacing w:before="0" w:beforeAutospacing="0" w:after="0" w:afterAutospacing="0"/>
              <w:ind w:left="0" w:right="0"/>
              <w:rPr>
                <w:rFonts w:hint="default"/>
                <w:b w:val="0"/>
                <w:bCs/>
                <w:color w:val="auto"/>
                <w:sz w:val="21"/>
                <w:szCs w:val="21"/>
                <w:highlight w:val="none"/>
                <w:lang w:val="en-US" w:eastAsia="zh-CN"/>
              </w:rPr>
            </w:pPr>
            <w:r>
              <w:rPr>
                <w:rFonts w:hint="eastAsia"/>
                <w:b w:val="0"/>
                <w:bCs/>
                <w:color w:val="auto"/>
                <w:sz w:val="21"/>
                <w:szCs w:val="21"/>
                <w:highlight w:val="none"/>
                <w:lang w:val="en-US" w:eastAsia="zh-CN"/>
              </w:rPr>
              <w:t>备注</w:t>
            </w:r>
          </w:p>
        </w:tc>
      </w:tr>
      <w:tr w14:paraId="01876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58" w:type="dxa"/>
            <w:vMerge w:val="restart"/>
            <w:tcBorders>
              <w:tl2br w:val="nil"/>
              <w:tr2bl w:val="nil"/>
            </w:tcBorders>
            <w:shd w:val="clear" w:color="auto" w:fill="auto"/>
            <w:vAlign w:val="center"/>
          </w:tcPr>
          <w:p w14:paraId="5ADD92E2">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r>
              <w:rPr>
                <w:rFonts w:hint="eastAsia"/>
                <w:b w:val="0"/>
                <w:bCs/>
                <w:color w:val="auto"/>
                <w:sz w:val="21"/>
                <w:szCs w:val="21"/>
                <w:highlight w:val="none"/>
                <w:lang w:val="en-US" w:eastAsia="zh-CN"/>
              </w:rPr>
              <w:t>石耶镇</w:t>
            </w:r>
          </w:p>
        </w:tc>
        <w:tc>
          <w:tcPr>
            <w:tcW w:w="924" w:type="dxa"/>
            <w:tcBorders>
              <w:tl2br w:val="nil"/>
              <w:tr2bl w:val="nil"/>
            </w:tcBorders>
            <w:shd w:val="clear" w:color="auto" w:fill="auto"/>
            <w:vAlign w:val="center"/>
          </w:tcPr>
          <w:p w14:paraId="49D8F17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1793" w:type="dxa"/>
            <w:tcBorders>
              <w:tl2br w:val="nil"/>
              <w:tr2bl w:val="nil"/>
            </w:tcBorders>
            <w:shd w:val="clear" w:color="auto" w:fill="auto"/>
            <w:vAlign w:val="center"/>
          </w:tcPr>
          <w:p w14:paraId="6ECBED4D">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val="0"/>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2272" w:type="dxa"/>
            <w:tcBorders>
              <w:tl2br w:val="nil"/>
              <w:tr2bl w:val="nil"/>
            </w:tcBorders>
            <w:shd w:val="clear" w:color="auto" w:fill="auto"/>
            <w:vAlign w:val="center"/>
          </w:tcPr>
          <w:p w14:paraId="1CBC359C">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14:paraId="7EEA0B2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梅江河石耶镇段</w:t>
            </w:r>
          </w:p>
        </w:tc>
      </w:tr>
      <w:tr w14:paraId="212452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14:paraId="4DCD59BD">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14:paraId="13C7BA72">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cs="Times New Roman"/>
                <w:b w:val="0"/>
                <w:bCs/>
                <w:color w:val="auto"/>
                <w:sz w:val="21"/>
                <w:szCs w:val="21"/>
                <w:highlight w:val="none"/>
                <w:lang w:val="en-US" w:eastAsia="zh-CN"/>
              </w:rPr>
              <w:t>2</w:t>
            </w:r>
          </w:p>
        </w:tc>
        <w:tc>
          <w:tcPr>
            <w:tcW w:w="1793" w:type="dxa"/>
            <w:tcBorders>
              <w:tl2br w:val="nil"/>
              <w:tr2bl w:val="nil"/>
            </w:tcBorders>
            <w:shd w:val="clear" w:color="auto" w:fill="auto"/>
            <w:vAlign w:val="center"/>
          </w:tcPr>
          <w:p w14:paraId="58F5380B">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b w:val="0"/>
                <w:bCs/>
                <w:sz w:val="21"/>
                <w:szCs w:val="21"/>
                <w:lang w:val="en-US" w:eastAsia="zh-CN"/>
              </w:rPr>
              <w:t>中平河</w:t>
            </w:r>
          </w:p>
        </w:tc>
        <w:tc>
          <w:tcPr>
            <w:tcW w:w="2272" w:type="dxa"/>
            <w:tcBorders>
              <w:tl2br w:val="nil"/>
              <w:tr2bl w:val="nil"/>
            </w:tcBorders>
            <w:shd w:val="clear" w:color="auto" w:fill="auto"/>
            <w:vAlign w:val="center"/>
          </w:tcPr>
          <w:p w14:paraId="543DEC84">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eastAsia="zh-CN"/>
              </w:rPr>
              <w:t>县级河流</w:t>
            </w:r>
          </w:p>
        </w:tc>
        <w:tc>
          <w:tcPr>
            <w:tcW w:w="2272" w:type="dxa"/>
            <w:tcBorders>
              <w:tl2br w:val="nil"/>
              <w:tr2bl w:val="nil"/>
            </w:tcBorders>
            <w:shd w:val="clear" w:color="auto" w:fill="auto"/>
            <w:vAlign w:val="center"/>
          </w:tcPr>
          <w:p w14:paraId="174311A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14:paraId="2B0A16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14:paraId="1F8842B6">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bookmarkStart w:id="10" w:name="_Toc22387"/>
            <w:bookmarkStart w:id="11" w:name="_Toc10857"/>
          </w:p>
        </w:tc>
        <w:tc>
          <w:tcPr>
            <w:tcW w:w="924" w:type="dxa"/>
            <w:tcBorders>
              <w:tl2br w:val="nil"/>
              <w:tr2bl w:val="nil"/>
            </w:tcBorders>
            <w:shd w:val="clear" w:color="auto" w:fill="auto"/>
            <w:vAlign w:val="center"/>
          </w:tcPr>
          <w:p w14:paraId="4819CD6A">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793" w:type="dxa"/>
            <w:tcBorders>
              <w:tl2br w:val="nil"/>
              <w:tr2bl w:val="nil"/>
            </w:tcBorders>
            <w:shd w:val="clear" w:color="auto" w:fill="auto"/>
            <w:vAlign w:val="center"/>
          </w:tcPr>
          <w:p w14:paraId="598F2DE3">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同心河</w:t>
            </w:r>
          </w:p>
        </w:tc>
        <w:tc>
          <w:tcPr>
            <w:tcW w:w="2272" w:type="dxa"/>
            <w:tcBorders>
              <w:tl2br w:val="nil"/>
              <w:tr2bl w:val="nil"/>
            </w:tcBorders>
            <w:shd w:val="clear" w:color="auto" w:fill="auto"/>
            <w:vAlign w:val="center"/>
          </w:tcPr>
          <w:p w14:paraId="62E90125">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ascii="Times New Roman" w:cs="Times New Roman"/>
                <w:b w:val="0"/>
                <w:bCs w:val="0"/>
                <w:color w:val="auto"/>
                <w:sz w:val="21"/>
                <w:szCs w:val="21"/>
                <w:highlight w:val="none"/>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14:paraId="497392BE">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梅江河右岸一级支流</w:t>
            </w:r>
          </w:p>
        </w:tc>
      </w:tr>
      <w:tr w14:paraId="0A47C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1258" w:type="dxa"/>
            <w:vMerge w:val="continue"/>
            <w:tcBorders>
              <w:tl2br w:val="nil"/>
              <w:tr2bl w:val="nil"/>
            </w:tcBorders>
            <w:shd w:val="clear" w:color="auto" w:fill="auto"/>
            <w:vAlign w:val="center"/>
          </w:tcPr>
          <w:p w14:paraId="7075D57B">
            <w:pPr>
              <w:pStyle w:val="29"/>
              <w:keepNext w:val="0"/>
              <w:keepLines w:val="0"/>
              <w:suppressLineNumbers w:val="0"/>
              <w:bidi w:val="0"/>
              <w:spacing w:before="0" w:beforeAutospacing="0" w:after="0" w:afterAutospacing="0"/>
              <w:ind w:left="0" w:right="0"/>
              <w:rPr>
                <w:rFonts w:hint="eastAsia"/>
                <w:b w:val="0"/>
                <w:bCs/>
                <w:color w:val="auto"/>
                <w:sz w:val="21"/>
                <w:szCs w:val="21"/>
                <w:highlight w:val="none"/>
              </w:rPr>
            </w:pPr>
          </w:p>
        </w:tc>
        <w:tc>
          <w:tcPr>
            <w:tcW w:w="924" w:type="dxa"/>
            <w:tcBorders>
              <w:tl2br w:val="nil"/>
              <w:tr2bl w:val="nil"/>
            </w:tcBorders>
            <w:shd w:val="clear" w:color="auto" w:fill="auto"/>
            <w:vAlign w:val="center"/>
          </w:tcPr>
          <w:p w14:paraId="44AC6D00">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4</w:t>
            </w:r>
          </w:p>
        </w:tc>
        <w:tc>
          <w:tcPr>
            <w:tcW w:w="1793" w:type="dxa"/>
            <w:tcBorders>
              <w:tl2br w:val="nil"/>
              <w:tr2bl w:val="nil"/>
            </w:tcBorders>
            <w:shd w:val="clear" w:color="auto" w:fill="auto"/>
            <w:vAlign w:val="center"/>
          </w:tcPr>
          <w:p w14:paraId="320C24A6">
            <w:pPr>
              <w:pStyle w:val="29"/>
              <w:keepNext w:val="0"/>
              <w:keepLines w:val="0"/>
              <w:suppressLineNumbers w:val="0"/>
              <w:bidi w:val="0"/>
              <w:spacing w:before="0" w:beforeAutospacing="0" w:after="0" w:afterAutospacing="0"/>
              <w:ind w:left="-52" w:leftChars="-25" w:right="-52" w:rightChars="-25" w:firstLine="0" w:firstLineChars="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lang w:val="en-US" w:eastAsia="zh-CN"/>
              </w:rPr>
              <w:t>甘溪沟河</w:t>
            </w:r>
          </w:p>
        </w:tc>
        <w:tc>
          <w:tcPr>
            <w:tcW w:w="2272" w:type="dxa"/>
            <w:tcBorders>
              <w:tl2br w:val="nil"/>
              <w:tr2bl w:val="nil"/>
            </w:tcBorders>
            <w:shd w:val="clear" w:color="auto" w:fill="auto"/>
            <w:vAlign w:val="center"/>
          </w:tcPr>
          <w:p w14:paraId="09AE3D33">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default"/>
                <w:b w:val="0"/>
                <w:bCs w:val="0"/>
                <w:color w:val="auto"/>
                <w:sz w:val="21"/>
                <w:szCs w:val="21"/>
                <w:lang w:val="en-US" w:eastAsia="zh-CN"/>
              </w:rPr>
            </w:pPr>
            <w:r>
              <w:rPr>
                <w:rFonts w:hint="eastAsia"/>
                <w:b w:val="0"/>
                <w:bCs w:val="0"/>
                <w:color w:val="auto"/>
                <w:sz w:val="21"/>
                <w:szCs w:val="21"/>
                <w:lang w:val="en-US" w:eastAsia="zh-CN"/>
              </w:rPr>
              <w:t>乡镇级河流</w:t>
            </w:r>
          </w:p>
        </w:tc>
        <w:tc>
          <w:tcPr>
            <w:tcW w:w="2272" w:type="dxa"/>
            <w:tcBorders>
              <w:tl2br w:val="nil"/>
              <w:tr2bl w:val="nil"/>
            </w:tcBorders>
            <w:shd w:val="clear" w:color="auto" w:fill="auto"/>
            <w:vAlign w:val="center"/>
          </w:tcPr>
          <w:p w14:paraId="6E8B144F">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梅江河左岸一级支流</w:t>
            </w:r>
          </w:p>
        </w:tc>
      </w:tr>
    </w:tbl>
    <w:p w14:paraId="5D2E3128">
      <w:pPr>
        <w:pStyle w:val="6"/>
        <w:keepNext w:val="0"/>
        <w:keepLines/>
        <w:pageBreakBefore w:val="0"/>
        <w:widowControl w:val="0"/>
        <w:kinsoku/>
        <w:wordWrap/>
        <w:overflowPunct/>
        <w:topLinePunct w:val="0"/>
        <w:autoSpaceDE/>
        <w:autoSpaceDN/>
        <w:bidi w:val="0"/>
        <w:adjustRightInd/>
        <w:snapToGrid/>
        <w:spacing w:before="157" w:beforeLines="50"/>
        <w:ind w:left="0" w:leftChars="0" w:firstLine="0" w:firstLineChars="0"/>
        <w:textAlignment w:val="auto"/>
        <w:rPr>
          <w:rFonts w:hint="eastAsia"/>
          <w:color w:val="auto"/>
          <w:highlight w:val="none"/>
        </w:rPr>
      </w:pPr>
      <w:r>
        <w:rPr>
          <w:rFonts w:hint="eastAsia"/>
          <w:color w:val="auto"/>
          <w:highlight w:val="none"/>
        </w:rPr>
        <w:t>编制主体</w:t>
      </w:r>
      <w:bookmarkEnd w:id="10"/>
      <w:bookmarkEnd w:id="11"/>
    </w:p>
    <w:p w14:paraId="1FB92434">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编制的组织单位为：</w:t>
      </w:r>
      <w:r>
        <w:rPr>
          <w:rFonts w:hint="eastAsia"/>
          <w:color w:val="auto"/>
          <w:highlight w:val="none"/>
          <w:lang w:val="zh-CN" w:eastAsia="zh-CN"/>
        </w:rPr>
        <w:t>重庆市</w:t>
      </w:r>
      <w:r>
        <w:rPr>
          <w:rFonts w:hint="eastAsia"/>
          <w:color w:val="auto"/>
          <w:highlight w:val="none"/>
          <w:lang w:val="en-US" w:eastAsia="zh-CN"/>
        </w:rPr>
        <w:t>秀山县</w:t>
      </w:r>
      <w:r>
        <w:rPr>
          <w:rFonts w:hint="eastAsia"/>
          <w:color w:val="auto"/>
          <w:highlight w:val="none"/>
          <w:lang w:eastAsia="zh-CN"/>
        </w:rPr>
        <w:t>河长</w:t>
      </w:r>
      <w:r>
        <w:rPr>
          <w:rFonts w:hint="eastAsia"/>
          <w:color w:val="auto"/>
          <w:highlight w:val="none"/>
          <w:lang w:val="en-US" w:eastAsia="zh-CN"/>
        </w:rPr>
        <w:t>办公室</w:t>
      </w:r>
      <w:r>
        <w:rPr>
          <w:rFonts w:hint="eastAsia"/>
          <w:color w:val="auto"/>
          <w:highlight w:val="none"/>
        </w:rPr>
        <w:t>。</w:t>
      </w:r>
    </w:p>
    <w:p w14:paraId="27D5B328">
      <w:pPr>
        <w:pStyle w:val="5"/>
        <w:ind w:firstLine="480"/>
        <w:rPr>
          <w:rFonts w:hint="eastAsia"/>
          <w:color w:val="auto"/>
          <w:highlight w:val="none"/>
        </w:rPr>
      </w:pPr>
      <w:r>
        <w:rPr>
          <w:rFonts w:hint="eastAsia"/>
          <w:color w:val="auto"/>
          <w:highlight w:val="none"/>
          <w:lang w:eastAsia="zh-CN"/>
        </w:rPr>
        <w:t>重庆市</w:t>
      </w:r>
      <w:r>
        <w:rPr>
          <w:rFonts w:hint="eastAsia"/>
          <w:color w:val="auto"/>
          <w:highlight w:val="none"/>
          <w:lang w:val="en-US" w:eastAsia="zh-CN"/>
        </w:rPr>
        <w:t>秀山县石耶镇</w:t>
      </w:r>
      <w:r>
        <w:rPr>
          <w:rFonts w:hint="eastAsia"/>
          <w:color w:val="auto"/>
          <w:highlight w:val="none"/>
          <w:lang w:eastAsia="zh-CN"/>
        </w:rPr>
        <w:t>“一河一策”</w:t>
      </w:r>
      <w:r>
        <w:rPr>
          <w:rFonts w:hint="eastAsia"/>
          <w:color w:val="auto"/>
          <w:highlight w:val="none"/>
        </w:rPr>
        <w:t>编制的</w:t>
      </w:r>
      <w:r>
        <w:rPr>
          <w:rFonts w:hint="eastAsia"/>
          <w:color w:val="auto"/>
          <w:highlight w:val="none"/>
          <w:lang w:val="en-US" w:eastAsia="zh-CN"/>
        </w:rPr>
        <w:t>编制</w:t>
      </w:r>
      <w:r>
        <w:rPr>
          <w:rFonts w:hint="eastAsia"/>
          <w:color w:val="auto"/>
          <w:highlight w:val="none"/>
        </w:rPr>
        <w:t>单位为：</w:t>
      </w:r>
      <w:r>
        <w:rPr>
          <w:rFonts w:hint="eastAsia"/>
          <w:color w:val="auto"/>
          <w:highlight w:val="none"/>
          <w:lang w:eastAsia="zh-CN"/>
        </w:rPr>
        <w:t>重庆元周工程技术咨询有限公司</w:t>
      </w:r>
      <w:r>
        <w:rPr>
          <w:rFonts w:hint="eastAsia"/>
          <w:color w:val="auto"/>
          <w:highlight w:val="none"/>
        </w:rPr>
        <w:t>。</w:t>
      </w:r>
    </w:p>
    <w:p w14:paraId="45EF0CB5">
      <w:pPr>
        <w:pStyle w:val="6"/>
        <w:bidi w:val="0"/>
        <w:ind w:left="0" w:leftChars="0" w:firstLine="0" w:firstLineChars="0"/>
        <w:rPr>
          <w:rFonts w:hint="eastAsia"/>
          <w:color w:val="auto"/>
          <w:highlight w:val="none"/>
        </w:rPr>
      </w:pPr>
      <w:bookmarkStart w:id="12" w:name="_Toc12053"/>
      <w:bookmarkStart w:id="13" w:name="_Toc30904"/>
      <w:r>
        <w:rPr>
          <w:rFonts w:hint="eastAsia"/>
          <w:color w:val="auto"/>
          <w:highlight w:val="none"/>
        </w:rPr>
        <w:t>实施周期</w:t>
      </w:r>
      <w:bookmarkEnd w:id="12"/>
      <w:bookmarkEnd w:id="13"/>
    </w:p>
    <w:p w14:paraId="3C9FC0A2">
      <w:pPr>
        <w:pStyle w:val="5"/>
        <w:ind w:firstLine="480"/>
        <w:rPr>
          <w:rFonts w:hint="eastAsia"/>
          <w:color w:val="auto"/>
          <w:highlight w:val="none"/>
          <w:lang w:val="en-US" w:eastAsia="zh-CN"/>
        </w:rPr>
      </w:pPr>
      <w:r>
        <w:rPr>
          <w:rFonts w:hint="eastAsia"/>
          <w:color w:val="auto"/>
          <w:highlight w:val="none"/>
          <w:lang w:val="en-US" w:eastAsia="zh-CN"/>
        </w:rPr>
        <w:t>根据《重庆市“一河（库）一策”方案编制大纲（试行）》（以下简称大纲）的通知，要求最高层级为市级、区县级的河库，实施方案周期一般为五年；最高层级河长为乡镇（街道）级的河库，问题措施动态清单表实施周期一般为一年，次年根据上年度完成情况及新增问题措施重新编制。</w:t>
      </w:r>
    </w:p>
    <w:p w14:paraId="1441E733">
      <w:pPr>
        <w:pStyle w:val="5"/>
        <w:ind w:firstLine="480"/>
        <w:rPr>
          <w:rFonts w:hint="eastAsia"/>
          <w:color w:val="auto"/>
          <w:highlight w:val="none"/>
        </w:rPr>
      </w:pPr>
      <w:r>
        <w:rPr>
          <w:rFonts w:hint="eastAsia"/>
          <w:color w:val="auto"/>
          <w:highlight w:val="none"/>
          <w:lang w:val="en-US" w:eastAsia="zh-CN"/>
        </w:rPr>
        <w:t>本次涉及河流涉及两条县级河流分别为梅江河、中平河，其他河流均属梅江河流域支流，两条县级河流分别由</w:t>
      </w:r>
      <w:r>
        <w:rPr>
          <w:rFonts w:hint="default" w:ascii="Times New Roman" w:hAnsi="Times New Roman" w:eastAsia="宋体" w:cs="Times New Roman"/>
          <w:color w:val="000000"/>
          <w:sz w:val="21"/>
          <w:szCs w:val="21"/>
        </w:rPr>
        <w:t>县</w:t>
      </w:r>
      <w:r>
        <w:rPr>
          <w:rFonts w:hint="default" w:ascii="Times New Roman" w:hAnsi="Times New Roman" w:eastAsia="宋体" w:cs="Times New Roman"/>
          <w:color w:val="000000"/>
          <w:sz w:val="24"/>
          <w:szCs w:val="24"/>
        </w:rPr>
        <w:t>政府办公室</w:t>
      </w:r>
      <w:r>
        <w:rPr>
          <w:rFonts w:hint="eastAsia"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县农业农村委</w:t>
      </w:r>
      <w:r>
        <w:rPr>
          <w:rFonts w:hint="eastAsia" w:ascii="Times New Roman" w:hAnsi="Times New Roman" w:eastAsia="宋体" w:cs="Times New Roman"/>
          <w:color w:val="auto"/>
          <w:highlight w:val="none"/>
          <w:lang w:val="en-US" w:eastAsia="zh-CN"/>
        </w:rPr>
        <w:t>任牵头单位，</w:t>
      </w:r>
      <w:r>
        <w:rPr>
          <w:rFonts w:hint="default" w:ascii="Times New Roman" w:hAnsi="Times New Roman" w:eastAsia="宋体" w:cs="Times New Roman"/>
          <w:color w:val="000000"/>
          <w:sz w:val="24"/>
          <w:szCs w:val="24"/>
        </w:rPr>
        <w:t>县城市管理局</w:t>
      </w:r>
      <w:r>
        <w:rPr>
          <w:rFonts w:hint="default" w:ascii="Times New Roman" w:hAnsi="Times New Roman" w:eastAsia="宋体" w:cs="Times New Roman"/>
          <w:color w:val="000000"/>
          <w:sz w:val="24"/>
          <w:szCs w:val="24"/>
          <w:lang w:val="en-US" w:eastAsia="zh-CN"/>
        </w:rPr>
        <w:t>、县扶贫办</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000000"/>
          <w:kern w:val="2"/>
          <w:sz w:val="24"/>
          <w:szCs w:val="24"/>
          <w:lang w:val="en-US" w:eastAsia="zh-CN" w:bidi="ar-SA"/>
        </w:rPr>
        <w:t>县工商联</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县商务委</w:t>
      </w:r>
      <w:r>
        <w:rPr>
          <w:rFonts w:hint="eastAsia" w:ascii="Times New Roman" w:hAnsi="Times New Roman" w:eastAsia="宋体" w:cs="Times New Roman"/>
          <w:color w:val="auto"/>
          <w:highlight w:val="none"/>
          <w:lang w:val="en-US" w:eastAsia="zh-CN"/>
        </w:rPr>
        <w:t>，</w:t>
      </w:r>
      <w:r>
        <w:rPr>
          <w:rFonts w:hint="eastAsia"/>
          <w:color w:val="auto"/>
          <w:highlight w:val="none"/>
          <w:lang w:val="en-US" w:eastAsia="zh-CN"/>
        </w:rPr>
        <w:t>组织编制梅江河流域“一河一策”。本次方案</w:t>
      </w:r>
      <w:r>
        <w:rPr>
          <w:rFonts w:hint="eastAsia"/>
          <w:color w:val="auto"/>
          <w:highlight w:val="none"/>
        </w:rPr>
        <w:t>实施周期</w:t>
      </w:r>
      <w:r>
        <w:rPr>
          <w:rFonts w:hint="eastAsia"/>
          <w:color w:val="auto"/>
          <w:highlight w:val="none"/>
          <w:lang w:val="en-US" w:eastAsia="zh-CN"/>
        </w:rPr>
        <w:t>参照梅江河干流</w:t>
      </w:r>
      <w:r>
        <w:rPr>
          <w:rFonts w:hint="eastAsia"/>
          <w:color w:val="auto"/>
          <w:highlight w:val="none"/>
        </w:rPr>
        <w:t>为</w:t>
      </w:r>
      <w:r>
        <w:rPr>
          <w:rFonts w:hint="eastAsia"/>
          <w:color w:val="auto"/>
          <w:highlight w:val="none"/>
          <w:lang w:val="en-US" w:eastAsia="zh-CN"/>
        </w:rPr>
        <w:t>5</w:t>
      </w:r>
      <w:r>
        <w:rPr>
          <w:rFonts w:hint="eastAsia"/>
          <w:color w:val="auto"/>
          <w:highlight w:val="none"/>
        </w:rPr>
        <w:t>年</w:t>
      </w:r>
      <w:r>
        <w:rPr>
          <w:rFonts w:hint="eastAsia"/>
          <w:color w:val="auto"/>
          <w:highlight w:val="none"/>
          <w:lang w:eastAsia="zh-CN"/>
        </w:rPr>
        <w:t>，即</w:t>
      </w:r>
      <w:r>
        <w:rPr>
          <w:rFonts w:hint="eastAsia"/>
          <w:color w:val="auto"/>
          <w:highlight w:val="none"/>
          <w:lang w:val="en-US" w:eastAsia="zh-CN"/>
        </w:rPr>
        <w:t>2021～2025年；问题措施动态清单表实施周期为一年，次年根据上年度完成情况及新增问题措施重新编制问题措施动态清单（附表1）</w:t>
      </w:r>
      <w:r>
        <w:rPr>
          <w:rFonts w:hint="eastAsia"/>
          <w:color w:val="auto"/>
          <w:highlight w:val="none"/>
          <w:lang w:eastAsia="zh-CN"/>
        </w:rPr>
        <w:t>。</w:t>
      </w:r>
    </w:p>
    <w:p w14:paraId="6B1EBBC2">
      <w:pPr>
        <w:pStyle w:val="6"/>
        <w:bidi w:val="0"/>
        <w:ind w:left="0" w:leftChars="0" w:firstLine="0" w:firstLineChars="0"/>
        <w:rPr>
          <w:rFonts w:hint="eastAsia"/>
          <w:color w:val="auto"/>
          <w:highlight w:val="none"/>
        </w:rPr>
      </w:pPr>
      <w:bookmarkStart w:id="14" w:name="_Toc9287"/>
      <w:bookmarkStart w:id="15" w:name="_Toc9157"/>
      <w:r>
        <w:rPr>
          <w:rFonts w:hint="eastAsia"/>
          <w:color w:val="auto"/>
          <w:highlight w:val="none"/>
        </w:rPr>
        <w:t>河长组织体系</w:t>
      </w:r>
      <w:bookmarkEnd w:id="14"/>
      <w:bookmarkEnd w:id="15"/>
    </w:p>
    <w:p w14:paraId="08F583FB">
      <w:pPr>
        <w:pStyle w:val="7"/>
        <w:bidi w:val="0"/>
        <w:ind w:left="0" w:leftChars="0" w:firstLine="0" w:firstLineChars="0"/>
        <w:rPr>
          <w:rFonts w:hint="eastAsia"/>
          <w:color w:val="auto"/>
          <w:highlight w:val="none"/>
          <w:lang w:eastAsia="zh-CN"/>
        </w:rPr>
      </w:pPr>
      <w:bookmarkStart w:id="16" w:name="_Toc6649"/>
      <w:r>
        <w:rPr>
          <w:rFonts w:hint="eastAsia"/>
          <w:color w:val="auto"/>
          <w:highlight w:val="none"/>
          <w:lang w:val="en-US" w:eastAsia="zh-CN"/>
        </w:rPr>
        <w:t>秀山县</w:t>
      </w:r>
      <w:r>
        <w:rPr>
          <w:rFonts w:hint="eastAsia"/>
          <w:color w:val="auto"/>
          <w:highlight w:val="none"/>
          <w:lang w:eastAsia="zh-CN"/>
        </w:rPr>
        <w:t>河长组织体系</w:t>
      </w:r>
      <w:bookmarkEnd w:id="16"/>
    </w:p>
    <w:p w14:paraId="664C9E42">
      <w:pPr>
        <w:pStyle w:val="5"/>
        <w:rPr>
          <w:rFonts w:hint="eastAsia"/>
          <w:color w:val="auto"/>
          <w:highlight w:val="none"/>
          <w:lang w:eastAsia="zh-CN"/>
        </w:rPr>
      </w:pPr>
      <w:r>
        <w:rPr>
          <w:rFonts w:hint="eastAsia"/>
          <w:color w:val="auto"/>
          <w:highlight w:val="none"/>
          <w:lang w:val="en-US" w:eastAsia="zh-CN"/>
        </w:rPr>
        <w:t>根据《秀山自治县全面推行河长制工作实施方案》（秀山委办〔2017〕2号文件）、《</w:t>
      </w:r>
      <w:r>
        <w:rPr>
          <w:rFonts w:hint="default"/>
          <w:color w:val="auto"/>
          <w:highlight w:val="none"/>
          <w:lang w:val="en-US" w:eastAsia="zh-CN"/>
        </w:rPr>
        <w:t>秀山土家族苗族自治县河长办公室关于进一步优化调整河长组织体系的通知</w:t>
      </w:r>
      <w:r>
        <w:rPr>
          <w:rFonts w:hint="eastAsia"/>
          <w:color w:val="auto"/>
          <w:highlight w:val="none"/>
          <w:lang w:val="en-US" w:eastAsia="zh-CN"/>
        </w:rPr>
        <w:t>》等文件明确</w:t>
      </w:r>
      <w:r>
        <w:rPr>
          <w:rFonts w:hint="default"/>
          <w:color w:val="auto"/>
          <w:highlight w:val="none"/>
          <w:lang w:val="en-US" w:eastAsia="zh-CN"/>
        </w:rPr>
        <w:t>，</w:t>
      </w:r>
      <w:r>
        <w:rPr>
          <w:rFonts w:hint="eastAsia"/>
          <w:color w:val="auto"/>
          <w:highlight w:val="none"/>
          <w:lang w:val="en-US" w:eastAsia="zh-CN"/>
        </w:rPr>
        <w:t>秀山县</w:t>
      </w:r>
      <w:r>
        <w:rPr>
          <w:rFonts w:hint="default"/>
          <w:color w:val="auto"/>
          <w:highlight w:val="none"/>
          <w:lang w:val="en-US" w:eastAsia="zh-CN"/>
        </w:rPr>
        <w:t>全面建立了</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、村（社区）三级河长体系，在</w:t>
      </w:r>
      <w:r>
        <w:rPr>
          <w:rFonts w:hint="eastAsia"/>
          <w:color w:val="auto"/>
          <w:highlight w:val="none"/>
          <w:lang w:val="en-US" w:eastAsia="zh-CN"/>
        </w:rPr>
        <w:t>县</w:t>
      </w:r>
      <w:r>
        <w:rPr>
          <w:rFonts w:hint="default"/>
          <w:color w:val="auto"/>
          <w:highlight w:val="none"/>
          <w:lang w:val="en-US" w:eastAsia="zh-CN"/>
        </w:rPr>
        <w:t>、</w:t>
      </w:r>
      <w:r>
        <w:rPr>
          <w:rFonts w:hint="eastAsia"/>
          <w:color w:val="auto"/>
          <w:highlight w:val="none"/>
          <w:lang w:val="en-US" w:eastAsia="zh-CN"/>
        </w:rPr>
        <w:t>乡</w:t>
      </w:r>
      <w:r>
        <w:rPr>
          <w:rFonts w:hint="default"/>
          <w:color w:val="auto"/>
          <w:highlight w:val="none"/>
          <w:lang w:val="en-US" w:eastAsia="zh-CN"/>
        </w:rPr>
        <w:t>镇</w:t>
      </w:r>
      <w:r>
        <w:rPr>
          <w:rFonts w:hint="eastAsia"/>
          <w:color w:val="auto"/>
          <w:highlight w:val="none"/>
          <w:lang w:val="en-US" w:eastAsia="zh-CN"/>
        </w:rPr>
        <w:t>（街道）</w:t>
      </w:r>
      <w:r>
        <w:rPr>
          <w:rFonts w:hint="default"/>
          <w:color w:val="auto"/>
          <w:highlight w:val="none"/>
          <w:lang w:val="en-US" w:eastAsia="zh-CN"/>
        </w:rPr>
        <w:t>两级实行</w:t>
      </w:r>
      <w:r>
        <w:rPr>
          <w:rFonts w:hint="eastAsia"/>
          <w:color w:val="auto"/>
          <w:highlight w:val="none"/>
          <w:lang w:val="en-US" w:eastAsia="zh-CN"/>
        </w:rPr>
        <w:t>“</w:t>
      </w:r>
      <w:r>
        <w:rPr>
          <w:rFonts w:hint="default"/>
          <w:color w:val="auto"/>
          <w:highlight w:val="none"/>
          <w:lang w:val="en-US" w:eastAsia="zh-CN"/>
        </w:rPr>
        <w:t>双总河长</w:t>
      </w:r>
      <w:r>
        <w:rPr>
          <w:rFonts w:hint="eastAsia"/>
          <w:color w:val="auto"/>
          <w:highlight w:val="none"/>
          <w:lang w:val="en-US" w:eastAsia="zh-CN"/>
        </w:rPr>
        <w:t>”</w:t>
      </w:r>
      <w:r>
        <w:rPr>
          <w:rFonts w:hint="default"/>
          <w:color w:val="auto"/>
          <w:highlight w:val="none"/>
          <w:lang w:val="en-US" w:eastAsia="zh-CN"/>
        </w:rPr>
        <w:t>制</w:t>
      </w:r>
      <w:r>
        <w:rPr>
          <w:rFonts w:hint="eastAsia"/>
          <w:color w:val="auto"/>
          <w:highlight w:val="none"/>
          <w:lang w:eastAsia="zh-CN"/>
        </w:rPr>
        <w:t>。</w:t>
      </w:r>
    </w:p>
    <w:p w14:paraId="77A762D4">
      <w:pPr>
        <w:pStyle w:val="5"/>
        <w:rPr>
          <w:rFonts w:hint="eastAsia"/>
          <w:color w:val="auto"/>
          <w:highlight w:val="none"/>
        </w:rPr>
      </w:pPr>
      <w:r>
        <w:rPr>
          <w:rFonts w:hint="eastAsia"/>
          <w:color w:val="auto"/>
          <w:highlight w:val="none"/>
          <w:lang w:val="en-US" w:eastAsia="zh-CN"/>
        </w:rPr>
        <w:t>秀山县</w:t>
      </w:r>
      <w:r>
        <w:rPr>
          <w:rFonts w:hint="default"/>
          <w:color w:val="auto"/>
          <w:highlight w:val="none"/>
          <w:lang w:val="en-US" w:eastAsia="zh-CN"/>
        </w:rPr>
        <w:t>设总河长2人，由县委书记</w:t>
      </w:r>
      <w:r>
        <w:rPr>
          <w:rFonts w:hint="eastAsia"/>
          <w:color w:val="auto"/>
          <w:highlight w:val="none"/>
          <w:lang w:val="en-US" w:eastAsia="zh-CN"/>
        </w:rPr>
        <w:t>和</w:t>
      </w:r>
      <w:r>
        <w:rPr>
          <w:rFonts w:hint="default"/>
          <w:color w:val="auto"/>
          <w:highlight w:val="none"/>
          <w:lang w:val="en-US" w:eastAsia="zh-CN"/>
        </w:rPr>
        <w:t>县委副书记、县政府县长担任。</w:t>
      </w:r>
      <w:r>
        <w:rPr>
          <w:rFonts w:hint="eastAsia"/>
          <w:color w:val="auto"/>
          <w:highlight w:val="none"/>
          <w:lang w:val="en-US" w:eastAsia="zh-CN"/>
        </w:rPr>
        <w:t>并为每条县级河流设置牵头单位及责任单位</w:t>
      </w:r>
      <w:r>
        <w:rPr>
          <w:rFonts w:hint="eastAsia"/>
          <w:color w:val="auto"/>
          <w:highlight w:val="none"/>
          <w:lang w:eastAsia="zh-CN"/>
        </w:rPr>
        <w:t>。</w:t>
      </w:r>
    </w:p>
    <w:p w14:paraId="49EE474E">
      <w:pPr>
        <w:pStyle w:val="7"/>
        <w:bidi w:val="0"/>
        <w:ind w:left="0" w:leftChars="0" w:firstLine="0" w:firstLineChars="0"/>
        <w:rPr>
          <w:rFonts w:hint="eastAsia"/>
          <w:color w:val="auto"/>
          <w:highlight w:val="none"/>
        </w:rPr>
      </w:pPr>
      <w:bookmarkStart w:id="17" w:name="_Toc11701"/>
      <w:bookmarkStart w:id="18" w:name="_Toc10134"/>
      <w:bookmarkStart w:id="19" w:name="_Toc706"/>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rPr>
        <w:t>组织体系</w:t>
      </w:r>
      <w:bookmarkEnd w:id="17"/>
      <w:bookmarkEnd w:id="18"/>
      <w:bookmarkEnd w:id="19"/>
    </w:p>
    <w:p w14:paraId="57D9CC30">
      <w:pPr>
        <w:pStyle w:val="5"/>
        <w:rPr>
          <w:rFonts w:hint="eastAsia"/>
          <w:color w:val="auto"/>
          <w:highlight w:val="none"/>
          <w:lang w:eastAsia="zh-CN"/>
        </w:rPr>
      </w:pPr>
      <w:r>
        <w:rPr>
          <w:rFonts w:hint="eastAsia"/>
          <w:color w:val="auto"/>
          <w:highlight w:val="none"/>
          <w:lang w:val="en-US" w:eastAsia="zh-CN"/>
        </w:rPr>
        <w:t>石耶镇辖区内有2条县级河流</w:t>
      </w:r>
      <w:r>
        <w:rPr>
          <w:rFonts w:hint="eastAsia"/>
          <w:color w:val="auto"/>
          <w:highlight w:val="none"/>
          <w:lang w:eastAsia="zh-CN"/>
        </w:rPr>
        <w:t>，</w:t>
      </w:r>
      <w:r>
        <w:rPr>
          <w:rFonts w:hint="eastAsia"/>
          <w:color w:val="auto"/>
          <w:highlight w:val="none"/>
        </w:rPr>
        <w:t>由</w:t>
      </w:r>
      <w:r>
        <w:rPr>
          <w:rFonts w:hint="eastAsia"/>
          <w:color w:val="auto"/>
          <w:highlight w:val="none"/>
          <w:lang w:val="en-US" w:eastAsia="zh-CN"/>
        </w:rPr>
        <w:t>县</w:t>
      </w:r>
      <w:r>
        <w:rPr>
          <w:rFonts w:hint="eastAsia"/>
          <w:color w:val="auto"/>
          <w:highlight w:val="none"/>
        </w:rPr>
        <w:t>领导担任河流河长</w:t>
      </w:r>
      <w:r>
        <w:rPr>
          <w:rFonts w:hint="eastAsia"/>
          <w:color w:val="auto"/>
          <w:highlight w:val="none"/>
          <w:lang w:eastAsia="zh-CN"/>
        </w:rPr>
        <w:t>，</w:t>
      </w:r>
      <w:r>
        <w:rPr>
          <w:rFonts w:hint="eastAsia"/>
          <w:color w:val="auto"/>
          <w:highlight w:val="none"/>
          <w:lang w:val="en-US" w:eastAsia="zh-CN"/>
        </w:rPr>
        <w:t>县</w:t>
      </w:r>
      <w:r>
        <w:rPr>
          <w:rFonts w:hint="eastAsia"/>
          <w:color w:val="auto"/>
          <w:highlight w:val="none"/>
          <w:lang w:eastAsia="zh-CN"/>
        </w:rPr>
        <w:t>河长办主要成员单位担任部门河长。</w:t>
      </w:r>
    </w:p>
    <w:p w14:paraId="5B8D4FA6">
      <w:pPr>
        <w:pStyle w:val="5"/>
        <w:rPr>
          <w:rFonts w:hint="eastAsia"/>
          <w:color w:val="auto"/>
          <w:highlight w:val="none"/>
          <w:lang w:val="en-US" w:eastAsia="zh-CN"/>
        </w:rPr>
      </w:pPr>
      <w:r>
        <w:rPr>
          <w:rFonts w:hint="eastAsia"/>
          <w:color w:val="auto"/>
          <w:highlight w:val="none"/>
          <w:lang w:val="en-US" w:eastAsia="zh-CN"/>
        </w:rPr>
        <w:t>石耶镇辖区内有2条乡镇级河流，为</w:t>
      </w:r>
      <w:r>
        <w:rPr>
          <w:rFonts w:hint="eastAsia" w:cs="Times New Roman"/>
          <w:b w:val="0"/>
          <w:bCs/>
          <w:color w:val="auto"/>
          <w:sz w:val="24"/>
          <w:szCs w:val="24"/>
          <w:highlight w:val="none"/>
          <w:lang w:val="en-US" w:eastAsia="zh-CN"/>
        </w:rPr>
        <w:t>同心河</w:t>
      </w:r>
      <w:r>
        <w:rPr>
          <w:rFonts w:hint="eastAsia" w:cs="Times New Roman"/>
          <w:color w:val="auto"/>
          <w:highlight w:val="none"/>
          <w:lang w:val="en-US" w:eastAsia="zh-CN"/>
        </w:rPr>
        <w:t>、干溪沟河</w:t>
      </w:r>
      <w:r>
        <w:rPr>
          <w:rFonts w:hint="eastAsia" w:ascii="Times New Roman" w:hAnsi="Times New Roman" w:eastAsia="宋体" w:cs="Times New Roman"/>
          <w:b w:val="0"/>
          <w:bCs/>
          <w:color w:val="auto"/>
          <w:sz w:val="24"/>
          <w:szCs w:val="24"/>
          <w:highlight w:val="none"/>
          <w:lang w:val="en-US" w:eastAsia="zh-CN"/>
        </w:rPr>
        <w:t>，</w:t>
      </w:r>
      <w:r>
        <w:rPr>
          <w:rFonts w:hint="eastAsia"/>
          <w:color w:val="auto"/>
          <w:highlight w:val="none"/>
          <w:lang w:val="en-US" w:eastAsia="zh-CN"/>
        </w:rPr>
        <w:t>河流均设镇级河长及村（社区）级河长。</w:t>
      </w:r>
    </w:p>
    <w:p w14:paraId="7163E85F">
      <w:pPr>
        <w:pStyle w:val="5"/>
        <w:rPr>
          <w:rFonts w:hint="eastAsia"/>
          <w:color w:val="auto"/>
          <w:highlight w:val="none"/>
          <w:lang w:val="en-US" w:eastAsia="zh-CN"/>
        </w:rPr>
      </w:pPr>
      <w:r>
        <w:rPr>
          <w:rFonts w:hint="eastAsia"/>
          <w:color w:val="auto"/>
          <w:highlight w:val="none"/>
          <w:lang w:val="en-US" w:eastAsia="zh-CN"/>
        </w:rPr>
        <w:t>秀山县石耶镇</w:t>
      </w:r>
      <w:r>
        <w:rPr>
          <w:rFonts w:hint="eastAsia"/>
          <w:color w:val="auto"/>
          <w:highlight w:val="none"/>
          <w:lang w:eastAsia="zh-CN"/>
        </w:rPr>
        <w:t>河长</w:t>
      </w:r>
      <w:r>
        <w:rPr>
          <w:rFonts w:hint="eastAsia"/>
          <w:color w:val="auto"/>
          <w:highlight w:val="none"/>
          <w:lang w:val="en-US" w:eastAsia="zh-CN"/>
        </w:rPr>
        <w:t>组织</w:t>
      </w:r>
      <w:r>
        <w:rPr>
          <w:rFonts w:hint="eastAsia"/>
          <w:color w:val="auto"/>
          <w:highlight w:val="none"/>
          <w:lang w:eastAsia="zh-CN"/>
        </w:rPr>
        <w:t>体系详见表</w:t>
      </w:r>
      <w:r>
        <w:rPr>
          <w:rFonts w:hint="eastAsia"/>
          <w:color w:val="auto"/>
          <w:highlight w:val="none"/>
          <w:lang w:val="en-US" w:eastAsia="zh-CN"/>
        </w:rPr>
        <w:t>1.5-1。</w:t>
      </w:r>
    </w:p>
    <w:p w14:paraId="419F58E5">
      <w:pPr>
        <w:pStyle w:val="5"/>
        <w:ind w:left="0" w:leftChars="0" w:firstLine="0" w:firstLineChars="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p>
    <w:p w14:paraId="6F05C095">
      <w:pPr>
        <w:pStyle w:val="56"/>
        <w:bidi w:val="0"/>
        <w:rPr>
          <w:rFonts w:hint="default"/>
          <w:color w:val="auto"/>
          <w:highlight w:val="none"/>
          <w:lang w:val="en-US" w:eastAsia="zh-CN"/>
        </w:rPr>
      </w:pPr>
      <w:r>
        <w:rPr>
          <w:rFonts w:hint="default"/>
          <w:color w:val="auto"/>
          <w:highlight w:val="none"/>
          <w:lang w:val="en-US" w:eastAsia="zh-CN"/>
        </w:rPr>
        <w:t>表1.</w:t>
      </w:r>
      <w:r>
        <w:rPr>
          <w:rFonts w:hint="eastAsia"/>
          <w:color w:val="auto"/>
          <w:highlight w:val="none"/>
          <w:lang w:val="en-US" w:eastAsia="zh-CN"/>
        </w:rPr>
        <w:t>5</w:t>
      </w:r>
      <w:r>
        <w:rPr>
          <w:rFonts w:hint="default"/>
          <w:color w:val="auto"/>
          <w:highlight w:val="none"/>
          <w:lang w:val="en-US" w:eastAsia="zh-CN"/>
        </w:rPr>
        <w:t>-1</w:t>
      </w:r>
      <w:r>
        <w:rPr>
          <w:rFonts w:hint="eastAsia"/>
          <w:color w:val="auto"/>
          <w:highlight w:val="none"/>
          <w:lang w:val="en-US" w:eastAsia="zh-CN"/>
        </w:rPr>
        <w:t xml:space="preserve">  秀山县石耶镇河流（水库）县</w:t>
      </w:r>
      <w:r>
        <w:rPr>
          <w:rFonts w:hint="default"/>
          <w:color w:val="auto"/>
          <w:highlight w:val="none"/>
          <w:lang w:val="en-US" w:eastAsia="zh-CN"/>
        </w:rPr>
        <w:t>、</w:t>
      </w:r>
      <w:r>
        <w:rPr>
          <w:rFonts w:hint="eastAsia"/>
          <w:color w:val="auto"/>
          <w:highlight w:val="none"/>
          <w:lang w:val="en-US" w:eastAsia="zh-CN"/>
        </w:rPr>
        <w:t>乡镇</w:t>
      </w:r>
      <w:r>
        <w:rPr>
          <w:rFonts w:hint="default"/>
          <w:color w:val="auto"/>
          <w:highlight w:val="none"/>
          <w:lang w:val="en-US" w:eastAsia="zh-CN"/>
        </w:rPr>
        <w:t>（</w:t>
      </w:r>
      <w:r>
        <w:rPr>
          <w:rFonts w:hint="eastAsia"/>
          <w:color w:val="auto"/>
          <w:highlight w:val="none"/>
          <w:lang w:val="en-US" w:eastAsia="zh-CN"/>
        </w:rPr>
        <w:t>街道</w:t>
      </w:r>
      <w:r>
        <w:rPr>
          <w:rFonts w:hint="default"/>
          <w:color w:val="auto"/>
          <w:highlight w:val="none"/>
          <w:lang w:val="en-US" w:eastAsia="zh-CN"/>
        </w:rPr>
        <w:t>）、村（社区）三级河长组织体系</w:t>
      </w:r>
    </w:p>
    <w:tbl>
      <w:tblPr>
        <w:tblStyle w:val="23"/>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11"/>
        <w:gridCol w:w="1281"/>
        <w:gridCol w:w="1052"/>
        <w:gridCol w:w="1182"/>
        <w:gridCol w:w="1114"/>
        <w:gridCol w:w="1097"/>
        <w:gridCol w:w="1114"/>
        <w:gridCol w:w="1454"/>
        <w:gridCol w:w="1902"/>
        <w:gridCol w:w="1117"/>
        <w:gridCol w:w="1409"/>
        <w:gridCol w:w="830"/>
      </w:tblGrid>
      <w:tr w14:paraId="1BFFE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11" w:type="dxa"/>
            <w:vMerge w:val="restart"/>
            <w:tcBorders>
              <w:tl2br w:val="nil"/>
              <w:tr2bl w:val="nil"/>
            </w:tcBorders>
            <w:shd w:val="clear" w:color="auto" w:fill="auto"/>
            <w:vAlign w:val="center"/>
          </w:tcPr>
          <w:p w14:paraId="3687C4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1281" w:type="dxa"/>
            <w:vMerge w:val="restart"/>
            <w:tcBorders>
              <w:tl2br w:val="nil"/>
              <w:tr2bl w:val="nil"/>
            </w:tcBorders>
            <w:shd w:val="clear" w:color="auto" w:fill="auto"/>
            <w:vAlign w:val="center"/>
          </w:tcPr>
          <w:p w14:paraId="1982D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河流</w:t>
            </w:r>
            <w:r>
              <w:rPr>
                <w:rFonts w:hint="eastAsia" w:eastAsia="宋体" w:cs="Times New Roman"/>
                <w:i w:val="0"/>
                <w:iCs w:val="0"/>
                <w:color w:val="auto"/>
                <w:kern w:val="0"/>
                <w:sz w:val="21"/>
                <w:szCs w:val="21"/>
                <w:highlight w:val="none"/>
                <w:u w:val="none"/>
                <w:lang w:val="en-US" w:eastAsia="zh-CN" w:bidi="ar"/>
              </w:rPr>
              <w:t>（水库）</w:t>
            </w:r>
            <w:r>
              <w:rPr>
                <w:rFonts w:hint="default" w:ascii="Times New Roman" w:hAnsi="Times New Roman" w:eastAsia="宋体" w:cs="Times New Roman"/>
                <w:i w:val="0"/>
                <w:iCs w:val="0"/>
                <w:color w:val="auto"/>
                <w:kern w:val="0"/>
                <w:sz w:val="21"/>
                <w:szCs w:val="21"/>
                <w:highlight w:val="none"/>
                <w:u w:val="none"/>
                <w:lang w:val="en-US" w:eastAsia="zh-CN" w:bidi="ar"/>
              </w:rPr>
              <w:t>名称</w:t>
            </w:r>
          </w:p>
        </w:tc>
        <w:tc>
          <w:tcPr>
            <w:tcW w:w="2234" w:type="dxa"/>
            <w:gridSpan w:val="2"/>
            <w:tcBorders>
              <w:tl2br w:val="nil"/>
              <w:tr2bl w:val="nil"/>
            </w:tcBorders>
            <w:shd w:val="clear" w:color="auto" w:fill="auto"/>
            <w:vAlign w:val="center"/>
          </w:tcPr>
          <w:p w14:paraId="0073F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区县河长</w:t>
            </w:r>
          </w:p>
        </w:tc>
        <w:tc>
          <w:tcPr>
            <w:tcW w:w="1114" w:type="dxa"/>
            <w:vMerge w:val="restart"/>
            <w:tcBorders>
              <w:tl2br w:val="nil"/>
              <w:tr2bl w:val="nil"/>
            </w:tcBorders>
            <w:shd w:val="clear" w:color="auto" w:fill="auto"/>
            <w:vAlign w:val="center"/>
          </w:tcPr>
          <w:p w14:paraId="4FDC58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牵头单位</w:t>
            </w:r>
          </w:p>
        </w:tc>
        <w:tc>
          <w:tcPr>
            <w:tcW w:w="1097" w:type="dxa"/>
            <w:vMerge w:val="restart"/>
            <w:tcBorders>
              <w:tl2br w:val="nil"/>
              <w:tr2bl w:val="nil"/>
            </w:tcBorders>
            <w:shd w:val="clear" w:color="auto" w:fill="auto"/>
            <w:vAlign w:val="center"/>
          </w:tcPr>
          <w:p w14:paraId="4FA0F2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责任单位</w:t>
            </w:r>
          </w:p>
        </w:tc>
        <w:tc>
          <w:tcPr>
            <w:tcW w:w="2568" w:type="dxa"/>
            <w:gridSpan w:val="2"/>
            <w:tcBorders>
              <w:tl2br w:val="nil"/>
              <w:tr2bl w:val="nil"/>
            </w:tcBorders>
            <w:shd w:val="clear" w:color="auto" w:fill="auto"/>
            <w:vAlign w:val="center"/>
          </w:tcPr>
          <w:p w14:paraId="24B9E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乡镇（街道）河长</w:t>
            </w:r>
          </w:p>
        </w:tc>
        <w:tc>
          <w:tcPr>
            <w:tcW w:w="4428" w:type="dxa"/>
            <w:gridSpan w:val="3"/>
            <w:tcBorders>
              <w:tl2br w:val="nil"/>
              <w:tr2bl w:val="nil"/>
            </w:tcBorders>
            <w:shd w:val="clear" w:color="auto" w:fill="auto"/>
            <w:vAlign w:val="center"/>
          </w:tcPr>
          <w:p w14:paraId="62AB1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村</w:t>
            </w:r>
            <w:r>
              <w:rPr>
                <w:rFonts w:hint="eastAsia" w:eastAsia="宋体" w:cs="Times New Roman"/>
                <w:i w:val="0"/>
                <w:iCs w:val="0"/>
                <w:color w:val="auto"/>
                <w:kern w:val="0"/>
                <w:sz w:val="21"/>
                <w:szCs w:val="21"/>
                <w:highlight w:val="none"/>
                <w:u w:val="none"/>
                <w:lang w:val="en-US" w:eastAsia="zh-CN" w:bidi="ar"/>
              </w:rPr>
              <w:t>（社区）</w:t>
            </w:r>
            <w:r>
              <w:rPr>
                <w:rFonts w:hint="default" w:ascii="Times New Roman" w:hAnsi="Times New Roman" w:eastAsia="宋体" w:cs="Times New Roman"/>
                <w:i w:val="0"/>
                <w:iCs w:val="0"/>
                <w:color w:val="auto"/>
                <w:kern w:val="0"/>
                <w:sz w:val="21"/>
                <w:szCs w:val="21"/>
                <w:highlight w:val="none"/>
                <w:u w:val="none"/>
                <w:lang w:val="en-US" w:eastAsia="zh-CN" w:bidi="ar"/>
              </w:rPr>
              <w:t>河长</w:t>
            </w:r>
          </w:p>
        </w:tc>
        <w:tc>
          <w:tcPr>
            <w:tcW w:w="830" w:type="dxa"/>
            <w:vMerge w:val="restart"/>
            <w:tcBorders>
              <w:tl2br w:val="nil"/>
              <w:tr2bl w:val="nil"/>
            </w:tcBorders>
            <w:shd w:val="clear" w:color="auto" w:fill="auto"/>
            <w:vAlign w:val="center"/>
          </w:tcPr>
          <w:p w14:paraId="37BB0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岸别</w:t>
            </w:r>
          </w:p>
        </w:tc>
      </w:tr>
      <w:tr w14:paraId="32E27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11" w:type="dxa"/>
            <w:vMerge w:val="continue"/>
            <w:tcBorders>
              <w:tl2br w:val="nil"/>
              <w:tr2bl w:val="nil"/>
            </w:tcBorders>
            <w:shd w:val="clear" w:color="auto" w:fill="auto"/>
            <w:vAlign w:val="center"/>
          </w:tcPr>
          <w:p w14:paraId="36F664EA">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14:paraId="3D173884">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tcBorders>
              <w:tl2br w:val="nil"/>
              <w:tr2bl w:val="nil"/>
            </w:tcBorders>
            <w:shd w:val="clear" w:color="auto" w:fill="auto"/>
            <w:vAlign w:val="center"/>
          </w:tcPr>
          <w:p w14:paraId="56A2F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182" w:type="dxa"/>
            <w:tcBorders>
              <w:tl2br w:val="nil"/>
              <w:tr2bl w:val="nil"/>
            </w:tcBorders>
            <w:shd w:val="clear" w:color="auto" w:fill="auto"/>
            <w:vAlign w:val="center"/>
          </w:tcPr>
          <w:p w14:paraId="70190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114" w:type="dxa"/>
            <w:vMerge w:val="continue"/>
            <w:tcBorders>
              <w:tl2br w:val="nil"/>
              <w:tr2bl w:val="nil"/>
            </w:tcBorders>
            <w:shd w:val="clear" w:color="auto" w:fill="auto"/>
            <w:vAlign w:val="center"/>
          </w:tcPr>
          <w:p w14:paraId="19D009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097" w:type="dxa"/>
            <w:vMerge w:val="continue"/>
            <w:tcBorders>
              <w:tl2br w:val="nil"/>
              <w:tr2bl w:val="nil"/>
            </w:tcBorders>
            <w:shd w:val="clear" w:color="auto" w:fill="auto"/>
            <w:vAlign w:val="center"/>
          </w:tcPr>
          <w:p w14:paraId="6630D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14:paraId="6E4CC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姓名</w:t>
            </w:r>
          </w:p>
        </w:tc>
        <w:tc>
          <w:tcPr>
            <w:tcW w:w="1454" w:type="dxa"/>
            <w:tcBorders>
              <w:tl2br w:val="nil"/>
              <w:tr2bl w:val="nil"/>
            </w:tcBorders>
            <w:shd w:val="clear" w:color="auto" w:fill="auto"/>
            <w:vAlign w:val="center"/>
          </w:tcPr>
          <w:p w14:paraId="63227F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职务</w:t>
            </w:r>
          </w:p>
        </w:tc>
        <w:tc>
          <w:tcPr>
            <w:tcW w:w="1902" w:type="dxa"/>
            <w:tcBorders>
              <w:tl2br w:val="nil"/>
              <w:tr2bl w:val="nil"/>
            </w:tcBorders>
            <w:shd w:val="clear" w:color="auto" w:fill="auto"/>
            <w:vAlign w:val="center"/>
          </w:tcPr>
          <w:p w14:paraId="525A62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村居名称</w:t>
            </w:r>
          </w:p>
        </w:tc>
        <w:tc>
          <w:tcPr>
            <w:tcW w:w="1117" w:type="dxa"/>
            <w:tcBorders>
              <w:tl2br w:val="nil"/>
              <w:tr2bl w:val="nil"/>
            </w:tcBorders>
            <w:shd w:val="clear" w:color="auto" w:fill="auto"/>
            <w:vAlign w:val="center"/>
          </w:tcPr>
          <w:p w14:paraId="22EEC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姓名</w:t>
            </w:r>
          </w:p>
        </w:tc>
        <w:tc>
          <w:tcPr>
            <w:tcW w:w="1409" w:type="dxa"/>
            <w:tcBorders>
              <w:tl2br w:val="nil"/>
              <w:tr2bl w:val="nil"/>
            </w:tcBorders>
            <w:shd w:val="clear" w:color="auto" w:fill="auto"/>
            <w:vAlign w:val="center"/>
          </w:tcPr>
          <w:p w14:paraId="132855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职务</w:t>
            </w:r>
          </w:p>
        </w:tc>
        <w:tc>
          <w:tcPr>
            <w:tcW w:w="830" w:type="dxa"/>
            <w:vMerge w:val="continue"/>
            <w:tcBorders>
              <w:tl2br w:val="nil"/>
              <w:tr2bl w:val="nil"/>
            </w:tcBorders>
            <w:shd w:val="clear" w:color="auto" w:fill="auto"/>
            <w:vAlign w:val="center"/>
          </w:tcPr>
          <w:p w14:paraId="07D5991D">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eastAsia" w:ascii="宋体" w:hAnsi="宋体" w:eastAsia="宋体" w:cs="宋体"/>
                <w:i w:val="0"/>
                <w:iCs w:val="0"/>
                <w:color w:val="auto"/>
                <w:sz w:val="21"/>
                <w:szCs w:val="21"/>
                <w:highlight w:val="none"/>
                <w:u w:val="none"/>
              </w:rPr>
            </w:pPr>
          </w:p>
        </w:tc>
      </w:tr>
      <w:tr w14:paraId="123E25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14:paraId="665441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eastAsia" w:cs="Times New Roman"/>
                <w:i w:val="0"/>
                <w:iCs w:val="0"/>
                <w:color w:val="auto"/>
                <w:kern w:val="0"/>
                <w:sz w:val="21"/>
                <w:szCs w:val="21"/>
                <w:highlight w:val="none"/>
                <w:u w:val="none"/>
                <w:lang w:val="en-US" w:eastAsia="zh-CN" w:bidi="ar"/>
              </w:rPr>
              <w:t>1</w:t>
            </w:r>
          </w:p>
        </w:tc>
        <w:tc>
          <w:tcPr>
            <w:tcW w:w="1281" w:type="dxa"/>
            <w:vMerge w:val="restart"/>
            <w:tcBorders>
              <w:tl2br w:val="nil"/>
              <w:tr2bl w:val="nil"/>
            </w:tcBorders>
            <w:shd w:val="clear" w:color="auto" w:fill="auto"/>
            <w:vAlign w:val="center"/>
          </w:tcPr>
          <w:p w14:paraId="21D5FEC9">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i w:val="0"/>
                <w:iCs w:val="0"/>
                <w:color w:val="auto"/>
                <w:sz w:val="21"/>
                <w:szCs w:val="21"/>
                <w:highlight w:val="none"/>
                <w:u w:val="none"/>
              </w:rPr>
            </w:pPr>
            <w:r>
              <w:rPr>
                <w:rFonts w:hint="eastAsia" w:ascii="Times New Roman" w:cs="Times New Roman"/>
                <w:b w:val="0"/>
                <w:bCs/>
                <w:color w:val="auto"/>
                <w:sz w:val="21"/>
                <w:szCs w:val="21"/>
                <w:highlight w:val="none"/>
                <w:lang w:val="en-US" w:eastAsia="zh-CN"/>
              </w:rPr>
              <w:t>梅江</w:t>
            </w:r>
            <w:r>
              <w:rPr>
                <w:rFonts w:hint="eastAsia" w:ascii="Times New Roman" w:hAnsi="Times New Roman" w:eastAsia="宋体" w:cs="Times New Roman"/>
                <w:b w:val="0"/>
                <w:bCs/>
                <w:color w:val="auto"/>
                <w:sz w:val="21"/>
                <w:szCs w:val="21"/>
                <w:highlight w:val="none"/>
                <w:lang w:val="en-US" w:eastAsia="zh-CN"/>
              </w:rPr>
              <w:t>河</w:t>
            </w:r>
          </w:p>
        </w:tc>
        <w:tc>
          <w:tcPr>
            <w:tcW w:w="1052" w:type="dxa"/>
            <w:vMerge w:val="restart"/>
            <w:tcBorders>
              <w:tl2br w:val="nil"/>
              <w:tr2bl w:val="nil"/>
            </w:tcBorders>
            <w:shd w:val="clear" w:color="auto" w:fill="auto"/>
            <w:vAlign w:val="center"/>
          </w:tcPr>
          <w:p w14:paraId="6DFA5F71">
            <w:pPr>
              <w:keepNext w:val="0"/>
              <w:keepLines w:val="0"/>
              <w:widowControl/>
              <w:suppressLineNumbers w:val="0"/>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2"/>
                <w:sz w:val="21"/>
                <w:szCs w:val="21"/>
                <w:u w:val="none"/>
                <w:lang w:val="en-US" w:eastAsia="zh-CN" w:bidi="ar-SA"/>
              </w:rPr>
              <w:t>马文森</w:t>
            </w:r>
          </w:p>
        </w:tc>
        <w:tc>
          <w:tcPr>
            <w:tcW w:w="1182" w:type="dxa"/>
            <w:vMerge w:val="restart"/>
            <w:tcBorders>
              <w:tl2br w:val="nil"/>
              <w:tr2bl w:val="nil"/>
            </w:tcBorders>
            <w:shd w:val="clear" w:color="auto" w:fill="auto"/>
            <w:vAlign w:val="center"/>
          </w:tcPr>
          <w:p w14:paraId="643EF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sz w:val="21"/>
                <w:szCs w:val="21"/>
                <w:highlight w:val="none"/>
                <w:u w:val="none"/>
                <w:lang w:val="en-US" w:eastAsia="zh-CN"/>
              </w:rPr>
            </w:pPr>
            <w:r>
              <w:rPr>
                <w:rFonts w:hint="eastAsia" w:eastAsia="宋体" w:cs="Times New Roman"/>
                <w:i w:val="0"/>
                <w:iCs w:val="0"/>
                <w:color w:val="auto"/>
                <w:sz w:val="21"/>
                <w:szCs w:val="21"/>
                <w:highlight w:val="none"/>
                <w:u w:val="none"/>
                <w:lang w:val="en-US" w:eastAsia="zh-CN"/>
              </w:rPr>
              <w:t>县委副书记、县政府代理县长</w:t>
            </w:r>
          </w:p>
        </w:tc>
        <w:tc>
          <w:tcPr>
            <w:tcW w:w="1114" w:type="dxa"/>
            <w:vMerge w:val="restart"/>
            <w:tcBorders>
              <w:tl2br w:val="nil"/>
              <w:tr2bl w:val="nil"/>
            </w:tcBorders>
            <w:shd w:val="clear" w:color="auto" w:fill="auto"/>
            <w:vAlign w:val="center"/>
          </w:tcPr>
          <w:p w14:paraId="6E453A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sz w:val="21"/>
                <w:szCs w:val="21"/>
              </w:rPr>
              <w:t>县政府办公室</w:t>
            </w:r>
          </w:p>
        </w:tc>
        <w:tc>
          <w:tcPr>
            <w:tcW w:w="1097" w:type="dxa"/>
            <w:vMerge w:val="restart"/>
            <w:tcBorders>
              <w:tl2br w:val="nil"/>
              <w:tr2bl w:val="nil"/>
            </w:tcBorders>
            <w:shd w:val="clear" w:color="auto" w:fill="auto"/>
            <w:vAlign w:val="center"/>
          </w:tcPr>
          <w:p w14:paraId="4E0B09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000000"/>
                <w:kern w:val="2"/>
                <w:sz w:val="21"/>
                <w:szCs w:val="21"/>
                <w:lang w:val="en-US" w:eastAsia="zh-CN" w:bidi="ar-SA"/>
              </w:rPr>
              <w:t>县民政局、县扶贫办</w:t>
            </w:r>
          </w:p>
        </w:tc>
        <w:tc>
          <w:tcPr>
            <w:tcW w:w="1114" w:type="dxa"/>
            <w:vMerge w:val="restart"/>
            <w:tcBorders>
              <w:tl2br w:val="nil"/>
              <w:tr2bl w:val="nil"/>
            </w:tcBorders>
            <w:shd w:val="clear" w:color="auto" w:fill="auto"/>
            <w:vAlign w:val="center"/>
          </w:tcPr>
          <w:p w14:paraId="25B4F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u w:val="none"/>
                <w:lang w:val="en-US" w:eastAsia="zh-CN" w:bidi="ar"/>
              </w:rPr>
              <w:t>程轶</w:t>
            </w:r>
          </w:p>
        </w:tc>
        <w:tc>
          <w:tcPr>
            <w:tcW w:w="1454" w:type="dxa"/>
            <w:vMerge w:val="restart"/>
            <w:tcBorders>
              <w:tl2br w:val="nil"/>
              <w:tr2bl w:val="nil"/>
            </w:tcBorders>
            <w:shd w:val="clear" w:color="auto" w:fill="auto"/>
            <w:vAlign w:val="center"/>
          </w:tcPr>
          <w:p w14:paraId="3F611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镇党委书记</w:t>
            </w:r>
          </w:p>
        </w:tc>
        <w:tc>
          <w:tcPr>
            <w:tcW w:w="1902" w:type="dxa"/>
            <w:tcBorders>
              <w:tl2br w:val="nil"/>
              <w:tr2bl w:val="nil"/>
            </w:tcBorders>
            <w:shd w:val="clear" w:color="auto" w:fill="auto"/>
            <w:vAlign w:val="center"/>
          </w:tcPr>
          <w:p w14:paraId="13F2C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平邑村</w:t>
            </w:r>
          </w:p>
        </w:tc>
        <w:tc>
          <w:tcPr>
            <w:tcW w:w="1117" w:type="dxa"/>
            <w:tcBorders>
              <w:tl2br w:val="nil"/>
              <w:tr2bl w:val="nil"/>
            </w:tcBorders>
            <w:shd w:val="clear" w:color="auto" w:fill="auto"/>
            <w:vAlign w:val="center"/>
          </w:tcPr>
          <w:p w14:paraId="17D58F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lang w:val="en-US" w:eastAsia="zh-CN"/>
              </w:rPr>
            </w:pPr>
            <w:r>
              <w:rPr>
                <w:rFonts w:hint="eastAsia"/>
                <w:lang w:val="en-US" w:eastAsia="zh-CN"/>
              </w:rPr>
              <w:t>曹江峰</w:t>
            </w:r>
          </w:p>
          <w:p w14:paraId="715555B5">
            <w:pPr>
              <w:pStyle w:val="2"/>
              <w:rPr>
                <w:rFonts w:hint="eastAsia"/>
                <w:lang w:val="en-US" w:eastAsia="zh-CN"/>
              </w:rPr>
            </w:pPr>
          </w:p>
        </w:tc>
        <w:tc>
          <w:tcPr>
            <w:tcW w:w="1409" w:type="dxa"/>
            <w:tcBorders>
              <w:tl2br w:val="nil"/>
              <w:tr2bl w:val="nil"/>
            </w:tcBorders>
            <w:shd w:val="clear" w:color="auto" w:fill="auto"/>
            <w:vAlign w:val="center"/>
          </w:tcPr>
          <w:p w14:paraId="511A2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eastAsia="宋体" w:cs="Times New Roman"/>
                <w:i w:val="0"/>
                <w:iCs w:val="0"/>
                <w:color w:val="000000"/>
                <w:kern w:val="2"/>
                <w:sz w:val="21"/>
                <w:szCs w:val="21"/>
                <w:u w:val="none"/>
                <w:lang w:val="en-US" w:eastAsia="zh-CN" w:bidi="ar-SA"/>
              </w:rPr>
              <w:t>村支部副书记</w:t>
            </w:r>
          </w:p>
        </w:tc>
        <w:tc>
          <w:tcPr>
            <w:tcW w:w="830" w:type="dxa"/>
            <w:tcBorders>
              <w:tl2br w:val="nil"/>
              <w:tr2bl w:val="nil"/>
            </w:tcBorders>
            <w:shd w:val="clear" w:color="auto" w:fill="auto"/>
            <w:vAlign w:val="center"/>
          </w:tcPr>
          <w:p w14:paraId="30BE7F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14:paraId="48F875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14:paraId="0F8250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14:paraId="5DD3006F">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14:paraId="4EEF3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14:paraId="510E53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14:paraId="75FCF5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14:paraId="273732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14:paraId="01577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14:paraId="2C3001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14:paraId="7093E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14:paraId="63344C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陈勇</w:t>
            </w:r>
          </w:p>
        </w:tc>
        <w:tc>
          <w:tcPr>
            <w:tcW w:w="1409" w:type="dxa"/>
            <w:tcBorders>
              <w:tl2br w:val="nil"/>
              <w:tr2bl w:val="nil"/>
            </w:tcBorders>
            <w:shd w:val="clear" w:color="auto" w:fill="auto"/>
            <w:vAlign w:val="center"/>
          </w:tcPr>
          <w:p w14:paraId="38C4C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14:paraId="2B5F9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14:paraId="43A3E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14:paraId="2DA22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14:paraId="26B596F3">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14:paraId="1FDE7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14:paraId="73FA7B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14:paraId="5343B9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14:paraId="56CFF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14:paraId="240934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14:paraId="0970A2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14:paraId="0EED3B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余庆</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14:paraId="66365A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孙立群</w:t>
            </w:r>
          </w:p>
        </w:tc>
        <w:tc>
          <w:tcPr>
            <w:tcW w:w="1409" w:type="dxa"/>
            <w:tcBorders>
              <w:tl2br w:val="nil"/>
              <w:tr2bl w:val="nil"/>
            </w:tcBorders>
            <w:shd w:val="clear" w:color="auto" w:fill="auto"/>
            <w:vAlign w:val="center"/>
          </w:tcPr>
          <w:p w14:paraId="745DD3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14:paraId="3FBBA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右岸</w:t>
            </w:r>
          </w:p>
        </w:tc>
      </w:tr>
      <w:tr w14:paraId="0F4A48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14:paraId="108206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14:paraId="00735D0A">
            <w:pPr>
              <w:pStyle w:val="29"/>
              <w:keepNext w:val="0"/>
              <w:keepLines w:val="0"/>
              <w:suppressLineNumbers w:val="0"/>
              <w:bidi w:val="0"/>
              <w:spacing w:before="0" w:beforeAutospacing="0" w:after="0" w:afterAutospacing="0"/>
              <w:ind w:left="-52" w:leftChars="-25" w:right="-52" w:rightChars="-25" w:firstLine="0" w:firstLineChars="0"/>
              <w:rPr>
                <w:rFonts w:hint="eastAsia" w:ascii="Times New Roman" w:hAnsi="Times New Roman" w:eastAsia="宋体" w:cs="Times New Roman"/>
                <w:b w:val="0"/>
                <w:bCs/>
                <w:color w:val="auto"/>
                <w:sz w:val="21"/>
                <w:szCs w:val="21"/>
                <w:highlight w:val="none"/>
                <w:lang w:val="en-US" w:eastAsia="zh-CN"/>
              </w:rPr>
            </w:pPr>
          </w:p>
        </w:tc>
        <w:tc>
          <w:tcPr>
            <w:tcW w:w="1052" w:type="dxa"/>
            <w:vMerge w:val="continue"/>
            <w:tcBorders>
              <w:tl2br w:val="nil"/>
              <w:tr2bl w:val="nil"/>
            </w:tcBorders>
            <w:shd w:val="clear" w:color="auto" w:fill="auto"/>
            <w:vAlign w:val="center"/>
          </w:tcPr>
          <w:p w14:paraId="66FAB2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82" w:type="dxa"/>
            <w:vMerge w:val="continue"/>
            <w:tcBorders>
              <w:tl2br w:val="nil"/>
              <w:tr2bl w:val="nil"/>
            </w:tcBorders>
            <w:shd w:val="clear" w:color="auto" w:fill="auto"/>
            <w:vAlign w:val="center"/>
          </w:tcPr>
          <w:p w14:paraId="4605E4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114" w:type="dxa"/>
            <w:vMerge w:val="continue"/>
            <w:tcBorders>
              <w:tl2br w:val="nil"/>
              <w:tr2bl w:val="nil"/>
            </w:tcBorders>
            <w:shd w:val="clear" w:color="auto" w:fill="auto"/>
            <w:vAlign w:val="center"/>
          </w:tcPr>
          <w:p w14:paraId="39ECC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14:paraId="52B0BB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kern w:val="2"/>
                <w:sz w:val="21"/>
                <w:szCs w:val="21"/>
                <w:lang w:val="en-US" w:eastAsia="zh-CN" w:bidi="ar-SA"/>
              </w:rPr>
            </w:pPr>
          </w:p>
        </w:tc>
        <w:tc>
          <w:tcPr>
            <w:tcW w:w="1114" w:type="dxa"/>
            <w:vMerge w:val="continue"/>
            <w:tcBorders>
              <w:tl2br w:val="nil"/>
              <w:tr2bl w:val="nil"/>
            </w:tcBorders>
            <w:shd w:val="clear" w:color="auto" w:fill="auto"/>
            <w:vAlign w:val="center"/>
          </w:tcPr>
          <w:p w14:paraId="2C8F78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14:paraId="615C6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14:paraId="13C80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西大</w:t>
            </w:r>
            <w:r>
              <w:rPr>
                <w:rFonts w:hint="eastAsia" w:ascii="Times New Roman" w:hAnsi="Times New Roman" w:eastAsia="宋体" w:cs="Times New Roman"/>
                <w:i w:val="0"/>
                <w:iCs w:val="0"/>
                <w:color w:val="000000"/>
                <w:kern w:val="0"/>
                <w:sz w:val="21"/>
                <w:szCs w:val="21"/>
                <w:u w:val="none"/>
                <w:lang w:val="en-US" w:eastAsia="zh-CN" w:bidi="ar"/>
              </w:rPr>
              <w:t>社区</w:t>
            </w:r>
          </w:p>
        </w:tc>
        <w:tc>
          <w:tcPr>
            <w:tcW w:w="1117" w:type="dxa"/>
            <w:tcBorders>
              <w:tl2br w:val="nil"/>
              <w:tr2bl w:val="nil"/>
            </w:tcBorders>
            <w:shd w:val="clear" w:color="auto" w:fill="auto"/>
            <w:vAlign w:val="center"/>
          </w:tcPr>
          <w:p w14:paraId="0D2749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杨志勇</w:t>
            </w:r>
          </w:p>
        </w:tc>
        <w:tc>
          <w:tcPr>
            <w:tcW w:w="1409" w:type="dxa"/>
            <w:tcBorders>
              <w:tl2br w:val="nil"/>
              <w:tr2bl w:val="nil"/>
            </w:tcBorders>
            <w:shd w:val="clear" w:color="auto" w:fill="auto"/>
            <w:vAlign w:val="center"/>
          </w:tcPr>
          <w:p w14:paraId="382FCB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14:paraId="39F613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14:paraId="021B58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14:paraId="5C98120C">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281" w:type="dxa"/>
            <w:vMerge w:val="continue"/>
            <w:tcBorders>
              <w:tl2br w:val="nil"/>
              <w:tr2bl w:val="nil"/>
            </w:tcBorders>
            <w:shd w:val="clear" w:color="auto" w:fill="auto"/>
            <w:vAlign w:val="center"/>
          </w:tcPr>
          <w:p w14:paraId="6F8508E2">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52" w:type="dxa"/>
            <w:vMerge w:val="continue"/>
            <w:tcBorders>
              <w:tl2br w:val="nil"/>
              <w:tr2bl w:val="nil"/>
            </w:tcBorders>
            <w:shd w:val="clear" w:color="auto" w:fill="auto"/>
            <w:vAlign w:val="center"/>
          </w:tcPr>
          <w:p w14:paraId="27F7D6F0">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82" w:type="dxa"/>
            <w:vMerge w:val="continue"/>
            <w:tcBorders>
              <w:tl2br w:val="nil"/>
              <w:tr2bl w:val="nil"/>
            </w:tcBorders>
            <w:shd w:val="clear" w:color="auto" w:fill="auto"/>
            <w:vAlign w:val="center"/>
          </w:tcPr>
          <w:p w14:paraId="3AFA8119">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14:paraId="5CB28792">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097" w:type="dxa"/>
            <w:vMerge w:val="continue"/>
            <w:tcBorders>
              <w:tl2br w:val="nil"/>
              <w:tr2bl w:val="nil"/>
            </w:tcBorders>
            <w:shd w:val="clear" w:color="auto" w:fill="auto"/>
            <w:vAlign w:val="center"/>
          </w:tcPr>
          <w:p w14:paraId="3B456992">
            <w:pPr>
              <w:keepNext w:val="0"/>
              <w:keepLines w:val="0"/>
              <w:pageBreakBefore w:val="0"/>
              <w:suppressLineNumbers w:val="0"/>
              <w:kinsoku/>
              <w:wordWrap/>
              <w:overflowPunct/>
              <w:topLinePunct w:val="0"/>
              <w:autoSpaceDE/>
              <w:autoSpaceDN/>
              <w:bidi w:val="0"/>
              <w:adjustRightInd w:val="0"/>
              <w:snapToGrid w:val="0"/>
              <w:spacing w:before="0" w:beforeLines="0" w:beforeAutospacing="0" w:after="0" w:afterAutospacing="0" w:line="240" w:lineRule="auto"/>
              <w:ind w:left="0" w:right="0" w:firstLine="0" w:firstLineChars="0"/>
              <w:jc w:val="center"/>
              <w:rPr>
                <w:rFonts w:hint="default" w:ascii="Times New Roman" w:hAnsi="Times New Roman" w:eastAsia="宋体" w:cs="Times New Roman"/>
                <w:i w:val="0"/>
                <w:iCs w:val="0"/>
                <w:color w:val="auto"/>
                <w:sz w:val="21"/>
                <w:szCs w:val="21"/>
                <w:highlight w:val="none"/>
                <w:u w:val="none"/>
              </w:rPr>
            </w:pPr>
          </w:p>
        </w:tc>
        <w:tc>
          <w:tcPr>
            <w:tcW w:w="1114" w:type="dxa"/>
            <w:vMerge w:val="continue"/>
            <w:tcBorders>
              <w:tl2br w:val="nil"/>
              <w:tr2bl w:val="nil"/>
            </w:tcBorders>
            <w:shd w:val="clear" w:color="auto" w:fill="auto"/>
            <w:vAlign w:val="center"/>
          </w:tcPr>
          <w:p w14:paraId="51B30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54" w:type="dxa"/>
            <w:vMerge w:val="continue"/>
            <w:tcBorders>
              <w:tl2br w:val="nil"/>
              <w:tr2bl w:val="nil"/>
            </w:tcBorders>
            <w:shd w:val="clear" w:color="auto" w:fill="auto"/>
            <w:vAlign w:val="center"/>
          </w:tcPr>
          <w:p w14:paraId="11EE6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902" w:type="dxa"/>
            <w:tcBorders>
              <w:tl2br w:val="nil"/>
              <w:tr2bl w:val="nil"/>
            </w:tcBorders>
            <w:shd w:val="clear" w:color="auto" w:fill="auto"/>
            <w:vAlign w:val="center"/>
          </w:tcPr>
          <w:p w14:paraId="5C06C3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鱼梁村</w:t>
            </w:r>
          </w:p>
        </w:tc>
        <w:tc>
          <w:tcPr>
            <w:tcW w:w="1117" w:type="dxa"/>
            <w:tcBorders>
              <w:tl2br w:val="nil"/>
              <w:tr2bl w:val="nil"/>
            </w:tcBorders>
            <w:shd w:val="clear" w:color="auto" w:fill="auto"/>
            <w:vAlign w:val="center"/>
          </w:tcPr>
          <w:p w14:paraId="210BE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杨秀均</w:t>
            </w:r>
          </w:p>
        </w:tc>
        <w:tc>
          <w:tcPr>
            <w:tcW w:w="1409" w:type="dxa"/>
            <w:tcBorders>
              <w:tl2br w:val="nil"/>
              <w:tr2bl w:val="nil"/>
            </w:tcBorders>
            <w:shd w:val="clear" w:color="auto" w:fill="auto"/>
            <w:vAlign w:val="center"/>
          </w:tcPr>
          <w:p w14:paraId="3796D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14:paraId="1CD39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左岸</w:t>
            </w:r>
          </w:p>
        </w:tc>
      </w:tr>
      <w:tr w14:paraId="789D1B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vMerge w:val="restart"/>
            <w:tcBorders>
              <w:tl2br w:val="nil"/>
              <w:tr2bl w:val="nil"/>
            </w:tcBorders>
            <w:shd w:val="clear" w:color="auto" w:fill="auto"/>
            <w:vAlign w:val="center"/>
          </w:tcPr>
          <w:p w14:paraId="1B645F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cs="Times New Roman"/>
                <w:i w:val="0"/>
                <w:iCs w:val="0"/>
                <w:color w:val="auto"/>
                <w:kern w:val="0"/>
                <w:sz w:val="21"/>
                <w:szCs w:val="21"/>
                <w:highlight w:val="none"/>
                <w:u w:val="none"/>
                <w:lang w:val="en-US" w:eastAsia="zh-CN" w:bidi="ar"/>
              </w:rPr>
              <w:t>2</w:t>
            </w:r>
          </w:p>
        </w:tc>
        <w:tc>
          <w:tcPr>
            <w:tcW w:w="1281" w:type="dxa"/>
            <w:vMerge w:val="restart"/>
            <w:tcBorders>
              <w:tl2br w:val="nil"/>
              <w:tr2bl w:val="nil"/>
            </w:tcBorders>
            <w:shd w:val="clear" w:color="auto" w:fill="auto"/>
            <w:vAlign w:val="center"/>
          </w:tcPr>
          <w:p w14:paraId="497050BA">
            <w:pPr>
              <w:pStyle w:val="29"/>
              <w:keepNext w:val="0"/>
              <w:keepLines w:val="0"/>
              <w:suppressLineNumbers w:val="0"/>
              <w:bidi w:val="0"/>
              <w:spacing w:before="0" w:beforeAutospacing="0" w:after="0" w:afterAutospacing="0"/>
              <w:ind w:left="-52" w:leftChars="-25" w:right="-52" w:rightChars="-25" w:firstLine="0" w:firstLineChars="0"/>
              <w:rPr>
                <w:rFonts w:hint="default" w:ascii="Times New Roman" w:hAnsi="Times New Roman" w:eastAsia="宋体" w:cs="Times New Roman"/>
                <w:i w:val="0"/>
                <w:iCs w:val="0"/>
                <w:color w:val="auto"/>
                <w:sz w:val="21"/>
                <w:szCs w:val="21"/>
                <w:highlight w:val="none"/>
                <w:u w:val="none"/>
                <w:lang w:val="en-US"/>
              </w:rPr>
            </w:pPr>
            <w:r>
              <w:rPr>
                <w:rFonts w:hint="eastAsia" w:ascii="Times New Roman" w:cs="Times New Roman"/>
                <w:b w:val="0"/>
                <w:bCs/>
                <w:color w:val="auto"/>
                <w:sz w:val="21"/>
                <w:szCs w:val="21"/>
                <w:highlight w:val="none"/>
                <w:lang w:val="en-US" w:eastAsia="zh-CN"/>
              </w:rPr>
              <w:t>中平河</w:t>
            </w:r>
          </w:p>
        </w:tc>
        <w:tc>
          <w:tcPr>
            <w:tcW w:w="1052" w:type="dxa"/>
            <w:vMerge w:val="restart"/>
            <w:tcBorders>
              <w:tl2br w:val="nil"/>
              <w:tr2bl w:val="nil"/>
            </w:tcBorders>
            <w:shd w:val="clear" w:color="auto" w:fill="auto"/>
            <w:vAlign w:val="center"/>
          </w:tcPr>
          <w:p w14:paraId="77A43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sz w:val="21"/>
                <w:szCs w:val="21"/>
                <w:highlight w:val="none"/>
                <w:u w:val="none"/>
                <w:lang w:val="en-US"/>
              </w:rPr>
              <w:t>陶剑波</w:t>
            </w:r>
          </w:p>
        </w:tc>
        <w:tc>
          <w:tcPr>
            <w:tcW w:w="1182" w:type="dxa"/>
            <w:vMerge w:val="restart"/>
            <w:tcBorders>
              <w:tl2br w:val="nil"/>
              <w:tr2bl w:val="nil"/>
            </w:tcBorders>
            <w:shd w:val="clear" w:color="auto" w:fill="auto"/>
            <w:vAlign w:val="center"/>
          </w:tcPr>
          <w:p w14:paraId="36B745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sz w:val="21"/>
                <w:szCs w:val="21"/>
                <w:highlight w:val="none"/>
                <w:u w:val="none"/>
              </w:rPr>
              <w:t>县委常委、县纪委书记、县监委主任、</w:t>
            </w:r>
          </w:p>
        </w:tc>
        <w:tc>
          <w:tcPr>
            <w:tcW w:w="1114" w:type="dxa"/>
            <w:vMerge w:val="restart"/>
            <w:tcBorders>
              <w:tl2br w:val="nil"/>
              <w:tr2bl w:val="nil"/>
            </w:tcBorders>
            <w:shd w:val="clear" w:color="auto" w:fill="auto"/>
            <w:vAlign w:val="center"/>
          </w:tcPr>
          <w:p w14:paraId="774E32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县纪委监委机关</w:t>
            </w:r>
          </w:p>
        </w:tc>
        <w:tc>
          <w:tcPr>
            <w:tcW w:w="1097" w:type="dxa"/>
            <w:vMerge w:val="restart"/>
            <w:tcBorders>
              <w:tl2br w:val="nil"/>
              <w:tr2bl w:val="nil"/>
            </w:tcBorders>
            <w:shd w:val="clear" w:color="auto" w:fill="auto"/>
            <w:vAlign w:val="center"/>
          </w:tcPr>
          <w:p w14:paraId="46514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县妇联、县总工会</w:t>
            </w:r>
          </w:p>
        </w:tc>
        <w:tc>
          <w:tcPr>
            <w:tcW w:w="1114" w:type="dxa"/>
            <w:vMerge w:val="restart"/>
            <w:tcBorders>
              <w:tl2br w:val="nil"/>
              <w:tr2bl w:val="nil"/>
            </w:tcBorders>
            <w:shd w:val="clear" w:color="auto" w:fill="auto"/>
            <w:vAlign w:val="center"/>
          </w:tcPr>
          <w:p w14:paraId="7ACB26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艾德华</w:t>
            </w:r>
          </w:p>
        </w:tc>
        <w:tc>
          <w:tcPr>
            <w:tcW w:w="1454" w:type="dxa"/>
            <w:vMerge w:val="restart"/>
            <w:tcBorders>
              <w:tl2br w:val="nil"/>
              <w:tr2bl w:val="nil"/>
            </w:tcBorders>
            <w:shd w:val="clear" w:color="auto" w:fill="auto"/>
            <w:vAlign w:val="center"/>
          </w:tcPr>
          <w:p w14:paraId="1D5820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镇政府镇长</w:t>
            </w:r>
          </w:p>
        </w:tc>
        <w:tc>
          <w:tcPr>
            <w:tcW w:w="1902" w:type="dxa"/>
            <w:tcBorders>
              <w:tl2br w:val="nil"/>
              <w:tr2bl w:val="nil"/>
            </w:tcBorders>
            <w:shd w:val="clear" w:color="auto" w:fill="auto"/>
            <w:vAlign w:val="center"/>
          </w:tcPr>
          <w:p w14:paraId="45544D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大溪村</w:t>
            </w:r>
          </w:p>
        </w:tc>
        <w:tc>
          <w:tcPr>
            <w:tcW w:w="1117" w:type="dxa"/>
            <w:tcBorders>
              <w:tl2br w:val="nil"/>
              <w:tr2bl w:val="nil"/>
            </w:tcBorders>
            <w:shd w:val="clear" w:color="auto" w:fill="auto"/>
            <w:vAlign w:val="center"/>
          </w:tcPr>
          <w:p w14:paraId="1977B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黄秀云</w:t>
            </w:r>
          </w:p>
        </w:tc>
        <w:tc>
          <w:tcPr>
            <w:tcW w:w="1409" w:type="dxa"/>
            <w:tcBorders>
              <w:tl2br w:val="nil"/>
              <w:tr2bl w:val="nil"/>
            </w:tcBorders>
            <w:shd w:val="clear" w:color="auto" w:fill="auto"/>
            <w:vAlign w:val="center"/>
          </w:tcPr>
          <w:p w14:paraId="58696F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村支书</w:t>
            </w:r>
          </w:p>
        </w:tc>
        <w:tc>
          <w:tcPr>
            <w:tcW w:w="830" w:type="dxa"/>
            <w:tcBorders>
              <w:tl2br w:val="nil"/>
              <w:tr2bl w:val="nil"/>
            </w:tcBorders>
            <w:shd w:val="clear" w:color="auto" w:fill="auto"/>
            <w:vAlign w:val="center"/>
          </w:tcPr>
          <w:p w14:paraId="447A51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14:paraId="25911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vMerge w:val="continue"/>
            <w:tcBorders>
              <w:tl2br w:val="nil"/>
              <w:tr2bl w:val="nil"/>
            </w:tcBorders>
            <w:shd w:val="clear" w:color="auto" w:fill="auto"/>
            <w:vAlign w:val="center"/>
          </w:tcPr>
          <w:p w14:paraId="7F9A1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281" w:type="dxa"/>
            <w:vMerge w:val="continue"/>
            <w:tcBorders>
              <w:tl2br w:val="nil"/>
              <w:tr2bl w:val="nil"/>
            </w:tcBorders>
            <w:shd w:val="clear" w:color="auto" w:fill="auto"/>
            <w:vAlign w:val="center"/>
          </w:tcPr>
          <w:p w14:paraId="529F27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52" w:type="dxa"/>
            <w:vMerge w:val="continue"/>
            <w:tcBorders>
              <w:tl2br w:val="nil"/>
              <w:tr2bl w:val="nil"/>
            </w:tcBorders>
            <w:shd w:val="clear" w:color="auto" w:fill="auto"/>
            <w:vAlign w:val="center"/>
          </w:tcPr>
          <w:p w14:paraId="02ED4B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vMerge w:val="continue"/>
            <w:tcBorders>
              <w:tl2br w:val="nil"/>
              <w:tr2bl w:val="nil"/>
            </w:tcBorders>
            <w:shd w:val="clear" w:color="auto" w:fill="auto"/>
            <w:vAlign w:val="center"/>
          </w:tcPr>
          <w:p w14:paraId="0A950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vMerge w:val="continue"/>
            <w:tcBorders>
              <w:tl2br w:val="nil"/>
              <w:tr2bl w:val="nil"/>
            </w:tcBorders>
            <w:shd w:val="clear" w:color="auto" w:fill="auto"/>
            <w:vAlign w:val="center"/>
          </w:tcPr>
          <w:p w14:paraId="4A72D0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p>
        </w:tc>
        <w:tc>
          <w:tcPr>
            <w:tcW w:w="1097" w:type="dxa"/>
            <w:vMerge w:val="continue"/>
            <w:tcBorders>
              <w:tl2br w:val="nil"/>
              <w:tr2bl w:val="nil"/>
            </w:tcBorders>
            <w:shd w:val="clear" w:color="auto" w:fill="auto"/>
            <w:vAlign w:val="center"/>
          </w:tcPr>
          <w:p w14:paraId="68681C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lang w:val="en-US" w:eastAsia="zh-CN"/>
              </w:rPr>
            </w:pPr>
          </w:p>
        </w:tc>
        <w:tc>
          <w:tcPr>
            <w:tcW w:w="1114" w:type="dxa"/>
            <w:vMerge w:val="continue"/>
            <w:tcBorders>
              <w:tl2br w:val="nil"/>
              <w:tr2bl w:val="nil"/>
            </w:tcBorders>
            <w:shd w:val="clear" w:color="auto" w:fill="auto"/>
            <w:vAlign w:val="center"/>
          </w:tcPr>
          <w:p w14:paraId="42591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454" w:type="dxa"/>
            <w:vMerge w:val="continue"/>
            <w:tcBorders>
              <w:tl2br w:val="nil"/>
              <w:tr2bl w:val="nil"/>
            </w:tcBorders>
            <w:shd w:val="clear" w:color="auto" w:fill="auto"/>
            <w:vAlign w:val="center"/>
          </w:tcPr>
          <w:p w14:paraId="5B813F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902" w:type="dxa"/>
            <w:tcBorders>
              <w:tl2br w:val="nil"/>
              <w:tr2bl w:val="nil"/>
            </w:tcBorders>
            <w:shd w:val="clear" w:color="auto" w:fill="auto"/>
            <w:vAlign w:val="center"/>
          </w:tcPr>
          <w:p w14:paraId="5038C9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青龙村</w:t>
            </w:r>
          </w:p>
        </w:tc>
        <w:tc>
          <w:tcPr>
            <w:tcW w:w="1117" w:type="dxa"/>
            <w:tcBorders>
              <w:tl2br w:val="nil"/>
              <w:tr2bl w:val="nil"/>
            </w:tcBorders>
            <w:shd w:val="clear" w:color="auto" w:fill="auto"/>
            <w:vAlign w:val="center"/>
          </w:tcPr>
          <w:p w14:paraId="52D960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黄乾刚</w:t>
            </w:r>
          </w:p>
        </w:tc>
        <w:tc>
          <w:tcPr>
            <w:tcW w:w="1409" w:type="dxa"/>
            <w:tcBorders>
              <w:tl2br w:val="nil"/>
              <w:tr2bl w:val="nil"/>
            </w:tcBorders>
            <w:shd w:val="clear" w:color="auto" w:fill="auto"/>
            <w:vAlign w:val="center"/>
          </w:tcPr>
          <w:p w14:paraId="03DE7B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村</w:t>
            </w:r>
            <w:r>
              <w:rPr>
                <w:rFonts w:hint="eastAsia" w:eastAsia="宋体" w:cs="Times New Roman"/>
                <w:i w:val="0"/>
                <w:iCs w:val="0"/>
                <w:color w:val="000000"/>
                <w:kern w:val="0"/>
                <w:sz w:val="21"/>
                <w:szCs w:val="21"/>
                <w:u w:val="none"/>
                <w:lang w:val="en-US" w:eastAsia="zh-CN" w:bidi="ar"/>
              </w:rPr>
              <w:t>支部副书记</w:t>
            </w:r>
          </w:p>
        </w:tc>
        <w:tc>
          <w:tcPr>
            <w:tcW w:w="830" w:type="dxa"/>
            <w:tcBorders>
              <w:tl2br w:val="nil"/>
              <w:tr2bl w:val="nil"/>
            </w:tcBorders>
            <w:shd w:val="clear" w:color="auto" w:fill="auto"/>
            <w:vAlign w:val="center"/>
          </w:tcPr>
          <w:p w14:paraId="2BD3A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左岸</w:t>
            </w:r>
          </w:p>
        </w:tc>
      </w:tr>
      <w:tr w14:paraId="0021B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14:paraId="26081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c>
          <w:tcPr>
            <w:tcW w:w="1281" w:type="dxa"/>
            <w:tcBorders>
              <w:tl2br w:val="nil"/>
              <w:tr2bl w:val="nil"/>
            </w:tcBorders>
            <w:shd w:val="clear" w:color="auto" w:fill="auto"/>
            <w:vAlign w:val="center"/>
          </w:tcPr>
          <w:p w14:paraId="374BD3BF">
            <w:pPr>
              <w:pStyle w:val="29"/>
              <w:keepNext w:val="0"/>
              <w:keepLines w:val="0"/>
              <w:suppressLineNumbers w:val="0"/>
              <w:bidi w:val="0"/>
              <w:spacing w:before="0" w:beforeAutospacing="0" w:after="0" w:afterAutospacing="0"/>
              <w:ind w:left="-52" w:leftChars="-25" w:right="-52" w:rightChars="-25" w:firstLine="0" w:firstLineChars="0"/>
              <w:rPr>
                <w:rFonts w:hint="eastAsia" w:cs="Times New Roman"/>
                <w:i w:val="0"/>
                <w:iCs w:val="0"/>
                <w:color w:val="auto"/>
                <w:kern w:val="0"/>
                <w:sz w:val="21"/>
                <w:szCs w:val="21"/>
                <w:highlight w:val="none"/>
                <w:u w:val="none"/>
                <w:lang w:val="en-US" w:eastAsia="zh-CN" w:bidi="ar"/>
              </w:rPr>
            </w:pPr>
            <w:r>
              <w:rPr>
                <w:rFonts w:hint="eastAsia" w:ascii="Times New Roman" w:cs="Times New Roman"/>
                <w:b w:val="0"/>
                <w:bCs/>
                <w:color w:val="auto"/>
                <w:sz w:val="21"/>
                <w:szCs w:val="21"/>
                <w:highlight w:val="none"/>
                <w:lang w:val="en-US" w:eastAsia="zh-CN"/>
              </w:rPr>
              <w:t>同心河</w:t>
            </w:r>
          </w:p>
        </w:tc>
        <w:tc>
          <w:tcPr>
            <w:tcW w:w="1052" w:type="dxa"/>
            <w:tcBorders>
              <w:tl2br w:val="nil"/>
              <w:tr2bl w:val="nil"/>
            </w:tcBorders>
            <w:shd w:val="clear" w:color="auto" w:fill="auto"/>
            <w:vAlign w:val="center"/>
          </w:tcPr>
          <w:p w14:paraId="6695B8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82" w:type="dxa"/>
            <w:tcBorders>
              <w:tl2br w:val="nil"/>
              <w:tr2bl w:val="nil"/>
            </w:tcBorders>
            <w:shd w:val="clear" w:color="auto" w:fill="auto"/>
            <w:vAlign w:val="center"/>
          </w:tcPr>
          <w:p w14:paraId="1272EB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14:paraId="370AFE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14:paraId="7BC825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14:paraId="622173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胡均亮</w:t>
            </w:r>
          </w:p>
        </w:tc>
        <w:tc>
          <w:tcPr>
            <w:tcW w:w="1454" w:type="dxa"/>
            <w:tcBorders>
              <w:tl2br w:val="nil"/>
              <w:tr2bl w:val="nil"/>
            </w:tcBorders>
            <w:shd w:val="clear" w:color="auto" w:fill="auto"/>
            <w:vAlign w:val="center"/>
          </w:tcPr>
          <w:p w14:paraId="18F54E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b w:val="0"/>
                <w:bCs w:val="0"/>
                <w:i w:val="0"/>
                <w:iCs w:val="0"/>
                <w:color w:val="000000"/>
                <w:kern w:val="0"/>
                <w:sz w:val="21"/>
                <w:szCs w:val="21"/>
                <w:u w:val="none"/>
                <w:lang w:val="en-US" w:eastAsia="zh-CN" w:bidi="ar"/>
              </w:rPr>
              <w:t>镇党委副</w:t>
            </w:r>
            <w:r>
              <w:rPr>
                <w:rFonts w:hint="default" w:ascii="Times New Roman" w:hAnsi="Times New Roman" w:eastAsia="宋体" w:cs="Times New Roman"/>
                <w:b w:val="0"/>
                <w:bCs w:val="0"/>
                <w:i w:val="0"/>
                <w:iCs w:val="0"/>
                <w:color w:val="000000"/>
                <w:kern w:val="0"/>
                <w:sz w:val="21"/>
                <w:szCs w:val="21"/>
                <w:u w:val="none"/>
                <w:lang w:val="en-US" w:eastAsia="zh-CN" w:bidi="ar"/>
              </w:rPr>
              <w:t>书记</w:t>
            </w:r>
          </w:p>
        </w:tc>
        <w:tc>
          <w:tcPr>
            <w:tcW w:w="1902" w:type="dxa"/>
            <w:tcBorders>
              <w:tl2br w:val="nil"/>
              <w:tr2bl w:val="nil"/>
            </w:tcBorders>
            <w:shd w:val="clear" w:color="auto" w:fill="auto"/>
            <w:vAlign w:val="center"/>
          </w:tcPr>
          <w:p w14:paraId="49B431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余庆居委会</w:t>
            </w:r>
          </w:p>
        </w:tc>
        <w:tc>
          <w:tcPr>
            <w:tcW w:w="1117" w:type="dxa"/>
            <w:tcBorders>
              <w:tl2br w:val="nil"/>
              <w:tr2bl w:val="nil"/>
            </w:tcBorders>
            <w:shd w:val="clear" w:color="auto" w:fill="auto"/>
            <w:vAlign w:val="center"/>
          </w:tcPr>
          <w:p w14:paraId="6D4739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杨建林</w:t>
            </w:r>
          </w:p>
        </w:tc>
        <w:tc>
          <w:tcPr>
            <w:tcW w:w="1409" w:type="dxa"/>
            <w:tcBorders>
              <w:tl2br w:val="nil"/>
              <w:tr2bl w:val="nil"/>
            </w:tcBorders>
            <w:shd w:val="clear" w:color="auto" w:fill="auto"/>
            <w:vAlign w:val="center"/>
          </w:tcPr>
          <w:p w14:paraId="6D8CA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14:paraId="335E1F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右岸</w:t>
            </w:r>
          </w:p>
        </w:tc>
      </w:tr>
      <w:tr w14:paraId="3672F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11" w:type="dxa"/>
            <w:tcBorders>
              <w:tl2br w:val="nil"/>
              <w:tr2bl w:val="nil"/>
            </w:tcBorders>
            <w:shd w:val="clear" w:color="auto" w:fill="auto"/>
            <w:vAlign w:val="center"/>
          </w:tcPr>
          <w:p w14:paraId="4D5FED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c>
          <w:tcPr>
            <w:tcW w:w="1281" w:type="dxa"/>
            <w:tcBorders>
              <w:tl2br w:val="nil"/>
              <w:tr2bl w:val="nil"/>
            </w:tcBorders>
            <w:shd w:val="clear" w:color="auto" w:fill="auto"/>
            <w:vAlign w:val="center"/>
          </w:tcPr>
          <w:p w14:paraId="01E7873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甘溪沟河</w:t>
            </w:r>
          </w:p>
        </w:tc>
        <w:tc>
          <w:tcPr>
            <w:tcW w:w="1052" w:type="dxa"/>
            <w:tcBorders>
              <w:tl2br w:val="nil"/>
              <w:tr2bl w:val="nil"/>
            </w:tcBorders>
            <w:shd w:val="clear" w:color="auto" w:fill="auto"/>
            <w:vAlign w:val="center"/>
          </w:tcPr>
          <w:p w14:paraId="119AA4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82" w:type="dxa"/>
            <w:tcBorders>
              <w:tl2br w:val="nil"/>
              <w:tr2bl w:val="nil"/>
            </w:tcBorders>
            <w:shd w:val="clear" w:color="auto" w:fill="auto"/>
            <w:vAlign w:val="center"/>
          </w:tcPr>
          <w:p w14:paraId="48BA1A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114" w:type="dxa"/>
            <w:tcBorders>
              <w:tl2br w:val="nil"/>
              <w:tr2bl w:val="nil"/>
            </w:tcBorders>
            <w:shd w:val="clear" w:color="auto" w:fill="auto"/>
            <w:vAlign w:val="center"/>
          </w:tcPr>
          <w:p w14:paraId="050DB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097" w:type="dxa"/>
            <w:tcBorders>
              <w:tl2br w:val="nil"/>
              <w:tr2bl w:val="nil"/>
            </w:tcBorders>
            <w:shd w:val="clear" w:color="auto" w:fill="auto"/>
            <w:vAlign w:val="center"/>
          </w:tcPr>
          <w:p w14:paraId="14444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cs="Times New Roman"/>
                <w:i w:val="0"/>
                <w:iCs w:val="0"/>
                <w:color w:val="auto"/>
                <w:kern w:val="0"/>
                <w:sz w:val="21"/>
                <w:szCs w:val="21"/>
                <w:highlight w:val="none"/>
                <w:u w:val="none"/>
                <w:lang w:val="en-US" w:eastAsia="zh-CN" w:bidi="ar"/>
              </w:rPr>
            </w:pPr>
          </w:p>
        </w:tc>
        <w:tc>
          <w:tcPr>
            <w:tcW w:w="1114" w:type="dxa"/>
            <w:tcBorders>
              <w:tl2br w:val="nil"/>
              <w:tr2bl w:val="nil"/>
            </w:tcBorders>
            <w:shd w:val="clear" w:color="auto" w:fill="auto"/>
            <w:vAlign w:val="center"/>
          </w:tcPr>
          <w:p w14:paraId="2F47BE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陈加顺</w:t>
            </w:r>
          </w:p>
        </w:tc>
        <w:tc>
          <w:tcPr>
            <w:tcW w:w="1454" w:type="dxa"/>
            <w:tcBorders>
              <w:tl2br w:val="nil"/>
              <w:tr2bl w:val="nil"/>
            </w:tcBorders>
            <w:shd w:val="clear" w:color="auto" w:fill="auto"/>
            <w:vAlign w:val="center"/>
          </w:tcPr>
          <w:p w14:paraId="33234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镇人大主席</w:t>
            </w:r>
          </w:p>
        </w:tc>
        <w:tc>
          <w:tcPr>
            <w:tcW w:w="1902" w:type="dxa"/>
            <w:tcBorders>
              <w:tl2br w:val="nil"/>
              <w:tr2bl w:val="nil"/>
            </w:tcBorders>
            <w:shd w:val="clear" w:color="auto" w:fill="auto"/>
            <w:vAlign w:val="center"/>
          </w:tcPr>
          <w:p w14:paraId="214C4F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西大居委会</w:t>
            </w:r>
          </w:p>
        </w:tc>
        <w:tc>
          <w:tcPr>
            <w:tcW w:w="1117" w:type="dxa"/>
            <w:tcBorders>
              <w:tl2br w:val="nil"/>
              <w:tr2bl w:val="nil"/>
            </w:tcBorders>
            <w:shd w:val="clear" w:color="auto" w:fill="auto"/>
            <w:vAlign w:val="center"/>
          </w:tcPr>
          <w:p w14:paraId="0BCA0D4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汪祖云</w:t>
            </w:r>
          </w:p>
        </w:tc>
        <w:tc>
          <w:tcPr>
            <w:tcW w:w="1409" w:type="dxa"/>
            <w:tcBorders>
              <w:tl2br w:val="nil"/>
              <w:tr2bl w:val="nil"/>
            </w:tcBorders>
            <w:shd w:val="clear" w:color="auto" w:fill="auto"/>
            <w:vAlign w:val="center"/>
          </w:tcPr>
          <w:p w14:paraId="010F347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居委会支部副书记</w:t>
            </w:r>
          </w:p>
        </w:tc>
        <w:tc>
          <w:tcPr>
            <w:tcW w:w="830" w:type="dxa"/>
            <w:tcBorders>
              <w:tl2br w:val="nil"/>
              <w:tr2bl w:val="nil"/>
            </w:tcBorders>
            <w:shd w:val="clear" w:color="auto" w:fill="auto"/>
            <w:vAlign w:val="center"/>
          </w:tcPr>
          <w:p w14:paraId="71F559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两岸</w:t>
            </w:r>
          </w:p>
        </w:tc>
      </w:tr>
    </w:tbl>
    <w:p w14:paraId="4C092C79">
      <w:pPr>
        <w:pStyle w:val="5"/>
        <w:ind w:left="0" w:leftChars="0" w:firstLine="0" w:firstLineChars="0"/>
        <w:rPr>
          <w:rFonts w:hint="eastAsia"/>
          <w:color w:val="auto"/>
          <w:highlight w:val="none"/>
          <w:lang w:val="en-US" w:eastAsia="zh-CN"/>
        </w:rPr>
      </w:pPr>
    </w:p>
    <w:p w14:paraId="5D18FCD7">
      <w:pPr>
        <w:pStyle w:val="5"/>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0"/>
        </w:sectPr>
      </w:pPr>
    </w:p>
    <w:p w14:paraId="1E2EA791">
      <w:pPr>
        <w:pStyle w:val="7"/>
        <w:keepNext w:val="0"/>
        <w:keepLines/>
        <w:pageBreakBefore w:val="0"/>
        <w:widowControl w:val="0"/>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color w:val="auto"/>
          <w:highlight w:val="none"/>
          <w:lang w:eastAsia="zh-CN"/>
        </w:rPr>
      </w:pPr>
      <w:bookmarkStart w:id="20" w:name="_Toc14902"/>
      <w:r>
        <w:rPr>
          <w:rFonts w:hint="default"/>
          <w:color w:val="auto"/>
          <w:highlight w:val="none"/>
          <w:lang w:val="en-US" w:eastAsia="zh-CN"/>
        </w:rPr>
        <w:t>河长办公室</w:t>
      </w:r>
      <w:r>
        <w:rPr>
          <w:rFonts w:hint="eastAsia"/>
          <w:color w:val="auto"/>
          <w:highlight w:val="none"/>
          <w:lang w:val="en-US" w:eastAsia="zh-CN"/>
        </w:rPr>
        <w:t>设置</w:t>
      </w:r>
      <w:r>
        <w:rPr>
          <w:rFonts w:hint="default"/>
          <w:color w:val="auto"/>
          <w:highlight w:val="none"/>
          <w:lang w:val="en-US" w:eastAsia="zh-CN"/>
        </w:rPr>
        <w:t>情况及主要职责</w:t>
      </w:r>
      <w:bookmarkEnd w:id="20"/>
    </w:p>
    <w:p w14:paraId="5ED5DEEB">
      <w:pPr>
        <w:pStyle w:val="5"/>
        <w:rPr>
          <w:rFonts w:hint="eastAsia"/>
          <w:color w:val="auto"/>
          <w:highlight w:val="none"/>
          <w:lang w:val="en-US" w:eastAsia="zh-CN"/>
        </w:rPr>
      </w:pPr>
      <w:r>
        <w:rPr>
          <w:rFonts w:hint="eastAsia"/>
          <w:color w:val="auto"/>
          <w:highlight w:val="none"/>
          <w:lang w:val="en-US" w:eastAsia="zh-CN"/>
        </w:rPr>
        <w:t>县级河长办公室办公地点在县水利局；各乡镇（街道）级河长办公室设在乡镇（街道）人民政府。</w:t>
      </w:r>
    </w:p>
    <w:p w14:paraId="2E6B1DEA">
      <w:pPr>
        <w:pStyle w:val="5"/>
        <w:rPr>
          <w:rFonts w:hint="eastAsia"/>
          <w:color w:val="auto"/>
          <w:highlight w:val="none"/>
          <w:lang w:val="en-US" w:eastAsia="zh-CN"/>
        </w:rPr>
      </w:pPr>
      <w:r>
        <w:rPr>
          <w:rFonts w:hint="eastAsia"/>
          <w:color w:val="auto"/>
          <w:highlight w:val="none"/>
          <w:lang w:val="en-US" w:eastAsia="zh-CN"/>
        </w:rPr>
        <w:t>县级河长办公室主任由县政府分管水利副县长担任，县水利局、县生态环境局主要负责人担任副主任。办公室成员单位由县经信委、县规划自然资源局、县生态环境局、县水利局、县住房城乡建委、县农业农村委、县文化旅游委、县卫生健康委、县林业局组成。</w:t>
      </w:r>
    </w:p>
    <w:p w14:paraId="1B81454D">
      <w:pPr>
        <w:pStyle w:val="5"/>
        <w:rPr>
          <w:rFonts w:hint="eastAsia"/>
          <w:color w:val="auto"/>
          <w:highlight w:val="none"/>
          <w:lang w:val="en-US" w:eastAsia="zh-CN"/>
        </w:rPr>
      </w:pPr>
      <w:r>
        <w:rPr>
          <w:rFonts w:hint="eastAsia"/>
          <w:color w:val="auto"/>
          <w:highlight w:val="none"/>
          <w:lang w:val="en-US" w:eastAsia="zh-CN"/>
        </w:rPr>
        <w:t>乡镇（街道）级总河长由各乡镇（街道）党委书记、乡镇长（主任）担任，村级河长由村支委担任。</w:t>
      </w:r>
    </w:p>
    <w:p w14:paraId="53CCF4EA">
      <w:pPr>
        <w:pStyle w:val="5"/>
        <w:rPr>
          <w:rFonts w:hint="eastAsia"/>
          <w:color w:val="auto"/>
          <w:highlight w:val="none"/>
          <w:lang w:val="en-US" w:eastAsia="zh-CN"/>
        </w:rPr>
      </w:pPr>
      <w:r>
        <w:rPr>
          <w:rFonts w:hint="eastAsia"/>
          <w:color w:val="auto"/>
          <w:highlight w:val="none"/>
          <w:lang w:val="en-US" w:eastAsia="zh-CN"/>
        </w:rPr>
        <w:t>县、乡镇（街道）级河长办公室履行以下主要职责：①落实本级总河长决策事项，拟定河长制年度工作任务；②拟定工作制度并推动实施；③组织开展河长制宣传、教育、培训工作；④统筹编制一河一策方案，建立一河一档，建设、维护河长制信息化系统；⑤承办河长制工作监督、考核、表彰及河长制社会监督工作；⑥协助本级河长做好巡河等日常工作；⑦办理上级河长办公室、本级河长交办和下一级河长上报事项，督促有关部门、单位落实工作任务。</w:t>
      </w:r>
    </w:p>
    <w:p w14:paraId="165FE45E">
      <w:pPr>
        <w:pStyle w:val="5"/>
        <w:rPr>
          <w:rFonts w:hint="eastAsia"/>
          <w:color w:val="auto"/>
          <w:highlight w:val="none"/>
          <w:lang w:val="en-US" w:eastAsia="zh-CN"/>
        </w:rPr>
      </w:pPr>
      <w:r>
        <w:rPr>
          <w:rFonts w:hint="eastAsia"/>
          <w:color w:val="auto"/>
          <w:highlight w:val="none"/>
          <w:lang w:val="en-US" w:eastAsia="zh-CN"/>
        </w:rPr>
        <w:t>县级河长履行下列主要职责：①落实本级总河长决策事项，组织领导责任河流管理保护工作，组织开展突出问题专项整治；②审查责任河流一河一策方案并督促实施；③巡查责任河流，每季度不少于一次，协调解决巡河发现、本级有关部门和下一级河长上报、社会公众反映的有关问题；④统筹责任河流上下游、左右岸、干支流管理保护工作，落实区域联防联控、部门协同联动；⑤督促本级河长制责任单位、下级总河长、责任河流河长履行职责；⑥落实市级河长、河长办公室交办事项；⑦国家和本市规定的其他职责。</w:t>
      </w:r>
    </w:p>
    <w:p w14:paraId="25CA8D43">
      <w:pPr>
        <w:pStyle w:val="5"/>
        <w:rPr>
          <w:rFonts w:hint="default"/>
          <w:color w:val="auto"/>
          <w:highlight w:val="none"/>
          <w:lang w:eastAsia="zh-CN"/>
        </w:rPr>
      </w:pPr>
      <w:r>
        <w:rPr>
          <w:rFonts w:hint="eastAsia"/>
          <w:color w:val="auto"/>
          <w:highlight w:val="none"/>
          <w:lang w:val="en-US" w:eastAsia="zh-CN"/>
        </w:rPr>
        <w:t>乡镇（街道）级河长履行下列主要职责：①落实本级总河长决策事项，组织落实责任河流管理保护工作，组织落实河流突出问题清理整治；②巡查责任河流，巡河次数由县总河长确定；③及时协调解决巡河发现和社会公众反映的问题，劝阻涉河违法违规行为，属于上级有关部门职责范围的，按照规定及时向上一级河长、河长办公室或者有关部门报告；④督促指导村（社区）级河长履行职责；⑤落实上级河长、河长办公室交办事项；⑥国家和本市规定的其他职责</w:t>
      </w:r>
      <w:r>
        <w:rPr>
          <w:rFonts w:hint="eastAsia"/>
          <w:color w:val="auto"/>
          <w:highlight w:val="none"/>
          <w:lang w:eastAsia="zh-CN"/>
        </w:rPr>
        <w:t>。</w:t>
      </w:r>
    </w:p>
    <w:p w14:paraId="28F779CD">
      <w:pPr>
        <w:pStyle w:val="5"/>
        <w:rPr>
          <w:rFonts w:hint="default"/>
          <w:color w:val="auto"/>
          <w:highlight w:val="none"/>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AndChars" w:linePitch="312" w:charSpace="0"/>
        </w:sectPr>
      </w:pPr>
      <w:r>
        <w:rPr>
          <w:rFonts w:hint="default"/>
          <w:color w:val="auto"/>
          <w:highlight w:val="none"/>
          <w:lang w:val="en-US" w:eastAsia="zh-CN"/>
        </w:rPr>
        <w:t>村（社区）级河长履行下列主要职责：①开展河流管理保护宣传教育；②巡查责任河流，巡河次数由区县（自治县）总河长确定；③及时处理巡河发现的问题，劝阻涉河违法违规行为，并按规定上报；④协助执法部门开展执法工作；⑤落实上级河长、河长办公室交办的事项</w:t>
      </w:r>
      <w:r>
        <w:rPr>
          <w:rFonts w:hint="eastAsia"/>
          <w:color w:val="auto"/>
          <w:highlight w:val="none"/>
          <w:lang w:val="en-US" w:eastAsia="zh-CN"/>
        </w:rPr>
        <w:t>。</w:t>
      </w:r>
    </w:p>
    <w:p w14:paraId="3C4747C4">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1" w:name="_Toc2821"/>
      <w:bookmarkStart w:id="22" w:name="_Toc29728"/>
      <w:r>
        <w:rPr>
          <w:rFonts w:hint="eastAsia"/>
          <w:color w:val="auto"/>
          <w:highlight w:val="none"/>
          <w:lang w:val="en-US" w:eastAsia="zh-CN"/>
        </w:rPr>
        <w:t>上一实施周期主要成效</w:t>
      </w:r>
      <w:bookmarkEnd w:id="21"/>
      <w:bookmarkEnd w:id="22"/>
    </w:p>
    <w:p w14:paraId="16FA1F32">
      <w:pPr>
        <w:pStyle w:val="6"/>
        <w:bidi w:val="0"/>
        <w:ind w:left="0" w:leftChars="0" w:firstLine="0" w:firstLineChars="0"/>
        <w:rPr>
          <w:rFonts w:hint="eastAsia"/>
          <w:color w:val="auto"/>
          <w:highlight w:val="none"/>
          <w:lang w:val="en-US" w:eastAsia="zh-CN"/>
        </w:rPr>
      </w:pPr>
      <w:bookmarkStart w:id="23" w:name="_Toc3411"/>
      <w:bookmarkStart w:id="24" w:name="_Toc21563"/>
      <w:r>
        <w:rPr>
          <w:rFonts w:hint="eastAsia"/>
          <w:color w:val="auto"/>
          <w:highlight w:val="none"/>
          <w:lang w:val="en-US" w:eastAsia="zh-CN"/>
        </w:rPr>
        <w:t>上一周期实施成效</w:t>
      </w:r>
      <w:bookmarkEnd w:id="23"/>
      <w:bookmarkEnd w:id="24"/>
    </w:p>
    <w:p w14:paraId="289C4CDD">
      <w:pPr>
        <w:pStyle w:val="7"/>
        <w:bidi w:val="0"/>
        <w:rPr>
          <w:rFonts w:hint="default"/>
          <w:color w:val="auto"/>
          <w:highlight w:val="none"/>
          <w:lang w:val="en-US" w:eastAsia="zh-CN"/>
        </w:rPr>
      </w:pPr>
      <w:r>
        <w:rPr>
          <w:rFonts w:hint="default"/>
          <w:color w:val="auto"/>
          <w:highlight w:val="none"/>
          <w:lang w:val="en-US" w:eastAsia="zh-CN"/>
        </w:rPr>
        <w:t>整体概况</w:t>
      </w:r>
    </w:p>
    <w:p w14:paraId="4BDA5E34">
      <w:pPr>
        <w:pStyle w:val="8"/>
        <w:bidi w:val="0"/>
        <w:rPr>
          <w:rFonts w:hint="default"/>
          <w:color w:val="auto"/>
          <w:highlight w:val="none"/>
          <w:lang w:val="en-US" w:eastAsia="zh-CN"/>
        </w:rPr>
      </w:pPr>
      <w:r>
        <w:rPr>
          <w:rFonts w:hint="default"/>
          <w:color w:val="auto"/>
          <w:highlight w:val="none"/>
          <w:lang w:val="en-US" w:eastAsia="zh-CN"/>
        </w:rPr>
        <w:t>河长履职情况</w:t>
      </w:r>
    </w:p>
    <w:p w14:paraId="013FE1C7">
      <w:pPr>
        <w:pStyle w:val="5"/>
        <w:bidi w:val="0"/>
        <w:rPr>
          <w:rFonts w:hint="eastAsia"/>
          <w:lang w:val="en-US" w:eastAsia="zh-CN"/>
        </w:rPr>
      </w:pPr>
      <w:r>
        <w:rPr>
          <w:rFonts w:hint="eastAsia"/>
          <w:lang w:val="en-US" w:eastAsia="zh-CN"/>
        </w:rPr>
        <w:t>石耶镇“一河一策”（2018~2020年）工作开展以来，镇级河长多次组织专题巡河</w:t>
      </w:r>
      <w:r>
        <w:rPr>
          <w:rFonts w:hint="default"/>
          <w:lang w:val="en-US" w:eastAsia="zh-CN"/>
        </w:rPr>
        <w:t>，召集有关</w:t>
      </w:r>
      <w:r>
        <w:rPr>
          <w:rFonts w:hint="eastAsia"/>
          <w:lang w:val="en-US" w:eastAsia="zh-CN"/>
        </w:rPr>
        <w:t>村居委</w:t>
      </w:r>
      <w:r>
        <w:rPr>
          <w:rFonts w:hint="default"/>
          <w:lang w:val="en-US" w:eastAsia="zh-CN"/>
        </w:rPr>
        <w:t>、部门召开专题河长会议，专题听取</w:t>
      </w:r>
      <w:r>
        <w:rPr>
          <w:rFonts w:hint="eastAsia"/>
          <w:lang w:val="en-US" w:eastAsia="zh-CN"/>
        </w:rPr>
        <w:t>辖区内河流</w:t>
      </w:r>
      <w:r>
        <w:rPr>
          <w:rFonts w:hint="default"/>
          <w:lang w:val="en-US" w:eastAsia="zh-CN"/>
        </w:rPr>
        <w:t>治理工作进度情况，研究解决存在问题，有效地保证了河长制工作的顺利有序开展</w:t>
      </w:r>
      <w:r>
        <w:rPr>
          <w:rFonts w:hint="eastAsia"/>
          <w:lang w:val="en-US" w:eastAsia="zh-CN"/>
        </w:rPr>
        <w:t>。</w:t>
      </w:r>
    </w:p>
    <w:p w14:paraId="5B6092DD">
      <w:pPr>
        <w:pStyle w:val="5"/>
        <w:bidi w:val="0"/>
        <w:rPr>
          <w:rFonts w:hint="eastAsia"/>
          <w:lang w:val="en-US" w:eastAsia="zh-CN"/>
        </w:rPr>
      </w:pPr>
      <w:r>
        <w:rPr>
          <w:rFonts w:hint="eastAsia"/>
          <w:lang w:val="en-US" w:eastAsia="zh-CN"/>
        </w:rPr>
        <w:t>根据“智慧河长系统”数据统计，石耶镇2018~2020年各级河长均按相关要求完成巡河工作。</w:t>
      </w:r>
    </w:p>
    <w:p w14:paraId="1A08B27A">
      <w:pPr>
        <w:pStyle w:val="8"/>
        <w:bidi w:val="0"/>
        <w:rPr>
          <w:rFonts w:hint="default"/>
          <w:color w:val="auto"/>
          <w:highlight w:val="none"/>
          <w:lang w:val="en-US" w:eastAsia="zh-CN"/>
        </w:rPr>
      </w:pPr>
      <w:r>
        <w:rPr>
          <w:rFonts w:hint="default"/>
          <w:color w:val="auto"/>
          <w:highlight w:val="none"/>
          <w:lang w:val="en-US" w:eastAsia="zh-CN"/>
        </w:rPr>
        <w:t>核心工作成效</w:t>
      </w:r>
    </w:p>
    <w:p w14:paraId="79594508">
      <w:pPr>
        <w:pStyle w:val="5"/>
        <w:bidi w:val="0"/>
        <w:rPr>
          <w:rFonts w:hint="default"/>
          <w:color w:val="auto"/>
          <w:lang w:val="en-US" w:eastAsia="zh-CN"/>
        </w:rPr>
      </w:pPr>
      <w:r>
        <w:rPr>
          <w:rFonts w:hint="eastAsia"/>
          <w:color w:val="auto"/>
          <w:lang w:val="en-US" w:eastAsia="zh-CN"/>
        </w:rPr>
        <w:t>经过一河一策的实施，石耶镇各河流</w:t>
      </w:r>
      <w:r>
        <w:rPr>
          <w:rFonts w:hint="default"/>
          <w:color w:val="auto"/>
          <w:lang w:val="en-US" w:eastAsia="zh-CN"/>
        </w:rPr>
        <w:t>水质</w:t>
      </w:r>
      <w:r>
        <w:rPr>
          <w:rFonts w:hint="eastAsia"/>
          <w:color w:val="auto"/>
          <w:lang w:val="en-US" w:eastAsia="zh-CN"/>
        </w:rPr>
        <w:t>稳步</w:t>
      </w:r>
      <w:r>
        <w:rPr>
          <w:rFonts w:hint="default"/>
          <w:color w:val="auto"/>
          <w:lang w:val="en-US" w:eastAsia="zh-CN"/>
        </w:rPr>
        <w:t>提升，河流水质评价分级</w:t>
      </w:r>
      <w:r>
        <w:rPr>
          <w:rFonts w:hint="eastAsia"/>
          <w:color w:val="auto"/>
          <w:lang w:val="en-US" w:eastAsia="zh-CN"/>
        </w:rPr>
        <w:t>保持“</w:t>
      </w:r>
      <w:r>
        <w:rPr>
          <w:rFonts w:hint="default"/>
          <w:color w:val="auto"/>
          <w:lang w:val="en-US" w:eastAsia="zh-CN"/>
        </w:rPr>
        <w:t>优</w:t>
      </w:r>
      <w:r>
        <w:rPr>
          <w:rFonts w:hint="eastAsia"/>
          <w:color w:val="auto"/>
          <w:lang w:val="en-US" w:eastAsia="zh-CN"/>
        </w:rPr>
        <w:t>”，石耶镇各河流水质监测结果详见3.2.5.2章节。</w:t>
      </w:r>
    </w:p>
    <w:p w14:paraId="1129D429">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14:paraId="3C3F1822">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14:paraId="0C8BC92B">
      <w:pPr>
        <w:pStyle w:val="56"/>
        <w:bidi w:val="0"/>
        <w:rPr>
          <w:rFonts w:hint="default"/>
          <w:color w:val="auto"/>
          <w:highlight w:val="none"/>
          <w:lang w:val="en-US" w:eastAsia="zh-CN"/>
        </w:rPr>
      </w:pPr>
      <w:r>
        <w:rPr>
          <w:rFonts w:hint="default"/>
          <w:color w:val="auto"/>
          <w:highlight w:val="none"/>
          <w:lang w:val="en-US" w:eastAsia="zh-CN"/>
        </w:rPr>
        <w:t>表2.1-1</w:t>
      </w:r>
      <w:r>
        <w:rPr>
          <w:rFonts w:hint="eastAsia"/>
          <w:color w:val="auto"/>
          <w:highlight w:val="none"/>
          <w:lang w:val="en-US" w:eastAsia="zh-CN"/>
        </w:rPr>
        <w:t xml:space="preserve">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23"/>
        <w:tblW w:w="8303"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23"/>
        <w:gridCol w:w="1395"/>
        <w:gridCol w:w="1485"/>
      </w:tblGrid>
      <w:tr w14:paraId="44E6DC0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3CF799B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5" w:type="dxa"/>
            <w:tcBorders>
              <w:tl2br w:val="nil"/>
              <w:tr2bl w:val="nil"/>
            </w:tcBorders>
            <w:vAlign w:val="center"/>
          </w:tcPr>
          <w:p w14:paraId="2C8C79C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5" w:type="dxa"/>
            <w:tcBorders>
              <w:tl2br w:val="nil"/>
              <w:tr2bl w:val="nil"/>
            </w:tcBorders>
            <w:vAlign w:val="center"/>
          </w:tcPr>
          <w:p w14:paraId="1021098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14:paraId="6205B94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1C837D0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14:paraId="7108C2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5" w:type="dxa"/>
            <w:tcBorders>
              <w:tl2br w:val="nil"/>
              <w:tr2bl w:val="nil"/>
            </w:tcBorders>
            <w:vAlign w:val="center"/>
          </w:tcPr>
          <w:p w14:paraId="66B726A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14:paraId="4407F40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091184B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5" w:type="dxa"/>
            <w:tcBorders>
              <w:tl2br w:val="nil"/>
              <w:tr2bl w:val="nil"/>
            </w:tcBorders>
            <w:vAlign w:val="center"/>
          </w:tcPr>
          <w:p w14:paraId="25D434D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5" w:type="dxa"/>
            <w:tcBorders>
              <w:tl2br w:val="nil"/>
              <w:tr2bl w:val="nil"/>
            </w:tcBorders>
            <w:vAlign w:val="center"/>
          </w:tcPr>
          <w:p w14:paraId="24E3216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14:paraId="74B10BF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3234E1E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5" w:type="dxa"/>
            <w:tcBorders>
              <w:tl2br w:val="nil"/>
              <w:tr2bl w:val="nil"/>
            </w:tcBorders>
            <w:vAlign w:val="center"/>
          </w:tcPr>
          <w:p w14:paraId="2326466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5" w:type="dxa"/>
            <w:tcBorders>
              <w:tl2br w:val="nil"/>
              <w:tr2bl w:val="nil"/>
            </w:tcBorders>
            <w:vAlign w:val="center"/>
          </w:tcPr>
          <w:p w14:paraId="66193E6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14:paraId="38C2479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0CC952F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14:paraId="1F9635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5" w:type="dxa"/>
            <w:tcBorders>
              <w:tl2br w:val="nil"/>
              <w:tr2bl w:val="nil"/>
            </w:tcBorders>
            <w:vAlign w:val="center"/>
          </w:tcPr>
          <w:p w14:paraId="2F1E3C8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14:paraId="590FB17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23" w:type="dxa"/>
            <w:tcBorders>
              <w:tl2br w:val="nil"/>
              <w:tr2bl w:val="nil"/>
            </w:tcBorders>
            <w:vAlign w:val="center"/>
          </w:tcPr>
          <w:p w14:paraId="2B30691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5" w:type="dxa"/>
            <w:tcBorders>
              <w:tl2br w:val="nil"/>
              <w:tr2bl w:val="nil"/>
            </w:tcBorders>
            <w:vAlign w:val="center"/>
          </w:tcPr>
          <w:p w14:paraId="765A380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5" w:type="dxa"/>
            <w:tcBorders>
              <w:tl2br w:val="nil"/>
              <w:tr2bl w:val="nil"/>
            </w:tcBorders>
            <w:vAlign w:val="center"/>
          </w:tcPr>
          <w:p w14:paraId="16B9926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14:paraId="47D0FC9E">
      <w:pPr>
        <w:pStyle w:val="7"/>
        <w:bidi w:val="0"/>
        <w:rPr>
          <w:rFonts w:hint="default"/>
          <w:color w:val="auto"/>
          <w:highlight w:val="none"/>
          <w:lang w:val="en-US" w:eastAsia="zh-CN"/>
        </w:rPr>
      </w:pPr>
      <w:r>
        <w:rPr>
          <w:rFonts w:hint="default"/>
          <w:color w:val="auto"/>
          <w:highlight w:val="none"/>
          <w:lang w:val="en-US" w:eastAsia="zh-CN"/>
        </w:rPr>
        <w:t>水资源保护实施成效</w:t>
      </w:r>
    </w:p>
    <w:p w14:paraId="21646B6C">
      <w:pPr>
        <w:pStyle w:val="27"/>
        <w:bidi w:val="0"/>
        <w:rPr>
          <w:rFonts w:hint="default"/>
          <w:color w:val="auto"/>
          <w:highlight w:val="none"/>
          <w:lang w:val="en-US" w:eastAsia="zh-CN"/>
        </w:rPr>
      </w:pPr>
      <w:r>
        <w:rPr>
          <w:rFonts w:hint="eastAsia"/>
          <w:color w:val="auto"/>
          <w:highlight w:val="none"/>
          <w:lang w:val="en-US" w:eastAsia="zh-CN"/>
        </w:rPr>
        <w:t>（1）用水量及用水指标</w:t>
      </w:r>
    </w:p>
    <w:p w14:paraId="2DE38F26">
      <w:pPr>
        <w:pStyle w:val="5"/>
        <w:bidi w:val="0"/>
        <w:rPr>
          <w:color w:val="auto"/>
          <w:sz w:val="15"/>
          <w:szCs w:val="15"/>
          <w:highlight w:val="none"/>
        </w:rPr>
      </w:pPr>
      <w:r>
        <w:rPr>
          <w:rFonts w:hint="default"/>
          <w:lang w:val="en-US" w:eastAsia="zh-CN"/>
        </w:rPr>
        <w:t>2018</w:t>
      </w:r>
      <w:r>
        <w:rPr>
          <w:rFonts w:hint="eastAsia"/>
          <w:lang w:val="en-US" w:eastAsia="zh-CN"/>
        </w:rPr>
        <w:t>~</w:t>
      </w:r>
      <w:r>
        <w:rPr>
          <w:rFonts w:hint="default"/>
          <w:lang w:val="en-US" w:eastAsia="zh-CN"/>
        </w:rPr>
        <w:t>2020年，</w:t>
      </w:r>
      <w:r>
        <w:rPr>
          <w:rFonts w:hint="eastAsia"/>
          <w:lang w:val="en-US" w:eastAsia="zh-CN"/>
        </w:rPr>
        <w:t>秀山县</w:t>
      </w:r>
      <w:r>
        <w:rPr>
          <w:rFonts w:hint="default"/>
          <w:lang w:val="en-US" w:eastAsia="zh-CN"/>
        </w:rPr>
        <w:t>完成了上一阶段制定的水资源管理</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控制目标，最严格水资源管理制度落实情况较好。</w:t>
      </w:r>
    </w:p>
    <w:p w14:paraId="48FEDB5E">
      <w:pPr>
        <w:pStyle w:val="27"/>
        <w:bidi w:val="0"/>
        <w:rPr>
          <w:rFonts w:hint="eastAsia"/>
          <w:color w:val="auto"/>
          <w:highlight w:val="none"/>
          <w:lang w:val="en-US" w:eastAsia="zh-CN"/>
        </w:rPr>
      </w:pPr>
      <w:r>
        <w:rPr>
          <w:rFonts w:hint="eastAsia"/>
          <w:color w:val="auto"/>
          <w:highlight w:val="none"/>
          <w:lang w:val="en-US" w:eastAsia="zh-CN"/>
        </w:rPr>
        <w:t>（2）饮用水源地建设</w:t>
      </w:r>
    </w:p>
    <w:p w14:paraId="4E98CF45">
      <w:pPr>
        <w:pStyle w:val="5"/>
        <w:bidi w:val="0"/>
        <w:rPr>
          <w:rFonts w:hint="eastAsia"/>
          <w:color w:val="auto"/>
          <w:lang w:val="en-US" w:eastAsia="zh-CN"/>
        </w:rPr>
      </w:pPr>
      <w:r>
        <w:rPr>
          <w:rFonts w:hint="eastAsia"/>
          <w:color w:val="auto"/>
          <w:lang w:val="en-US" w:eastAsia="zh-CN"/>
        </w:rPr>
        <w:t>石耶镇暂无饮用水源地。</w:t>
      </w:r>
    </w:p>
    <w:p w14:paraId="268814B0">
      <w:pPr>
        <w:pStyle w:val="27"/>
        <w:bidi w:val="0"/>
        <w:rPr>
          <w:rFonts w:hint="eastAsia"/>
          <w:color w:val="auto"/>
          <w:highlight w:val="none"/>
          <w:lang w:val="en-US" w:eastAsia="zh-CN"/>
        </w:rPr>
      </w:pPr>
      <w:r>
        <w:rPr>
          <w:rFonts w:hint="eastAsia"/>
          <w:color w:val="auto"/>
          <w:highlight w:val="none"/>
          <w:lang w:val="en-US" w:eastAsia="zh-CN"/>
        </w:rPr>
        <w:t>（3）节水建设</w:t>
      </w:r>
    </w:p>
    <w:p w14:paraId="51CCFAB7">
      <w:pPr>
        <w:pStyle w:val="5"/>
        <w:bidi w:val="0"/>
        <w:rPr>
          <w:rFonts w:hint="eastAsia"/>
          <w:lang w:val="en-US" w:eastAsia="zh-CN"/>
        </w:rPr>
      </w:pPr>
      <w:r>
        <w:rPr>
          <w:rFonts w:hint="eastAsia"/>
          <w:lang w:val="en-US" w:eastAsia="zh-CN"/>
        </w:rPr>
        <w:t>石耶镇</w:t>
      </w:r>
      <w:r>
        <w:t>严格落实</w:t>
      </w:r>
      <w:r>
        <w:rPr>
          <w:rFonts w:hint="eastAsia"/>
          <w:lang w:eastAsia="zh-CN"/>
        </w:rPr>
        <w:t>“</w:t>
      </w:r>
      <w:r>
        <w:t>节水优先</w:t>
      </w:r>
      <w:r>
        <w:rPr>
          <w:rFonts w:hint="eastAsia"/>
          <w:lang w:eastAsia="zh-CN"/>
        </w:rPr>
        <w:t>”</w:t>
      </w:r>
      <w:r>
        <w:t>方针，把节水贯穿于全</w:t>
      </w:r>
      <w:r>
        <w:rPr>
          <w:rFonts w:hint="eastAsia"/>
          <w:lang w:val="en-US" w:eastAsia="zh-CN"/>
        </w:rPr>
        <w:t>镇</w:t>
      </w:r>
      <w:r>
        <w:t>经济社会发展和生产生活的全过程、全方位、全领域，通过</w:t>
      </w:r>
      <w:r>
        <w:rPr>
          <w:rFonts w:hint="eastAsia"/>
          <w:lang w:eastAsia="zh-CN"/>
        </w:rPr>
        <w:t>“</w:t>
      </w:r>
      <w:r>
        <w:t>五个节水</w:t>
      </w:r>
      <w:r>
        <w:rPr>
          <w:rFonts w:hint="eastAsia"/>
          <w:lang w:eastAsia="zh-CN"/>
        </w:rPr>
        <w:t>”</w:t>
      </w:r>
      <w:r>
        <w:t>，制度节水、模式节水、机制节水、工程节水、管理节水，实现</w:t>
      </w:r>
      <w:r>
        <w:rPr>
          <w:rFonts w:hint="eastAsia"/>
          <w:lang w:eastAsia="zh-CN"/>
        </w:rPr>
        <w:t>“</w:t>
      </w:r>
      <w:r>
        <w:t>两减两增</w:t>
      </w:r>
      <w:r>
        <w:rPr>
          <w:rFonts w:hint="eastAsia"/>
          <w:lang w:eastAsia="zh-CN"/>
        </w:rPr>
        <w:t>”</w:t>
      </w:r>
      <w:r>
        <w:t>，节水减用、节水减排、节水增绿、节水增效，大幅提高水资源利用效益和效率，为全</w:t>
      </w:r>
      <w:r>
        <w:rPr>
          <w:rFonts w:hint="eastAsia"/>
          <w:lang w:val="en-US" w:eastAsia="zh-CN"/>
        </w:rPr>
        <w:t>县</w:t>
      </w:r>
      <w:r>
        <w:t>水资源可持续利用和水安全保障提供有力支撑</w:t>
      </w:r>
      <w:r>
        <w:rPr>
          <w:rFonts w:hint="eastAsia"/>
          <w:lang w:eastAsia="zh-CN"/>
        </w:rPr>
        <w:t>。</w:t>
      </w:r>
    </w:p>
    <w:p w14:paraId="26AB70EC">
      <w:pPr>
        <w:pStyle w:val="7"/>
        <w:bidi w:val="0"/>
        <w:rPr>
          <w:rFonts w:hint="default"/>
          <w:color w:val="auto"/>
          <w:highlight w:val="none"/>
          <w:lang w:val="en-US" w:eastAsia="zh-CN"/>
        </w:rPr>
      </w:pPr>
      <w:r>
        <w:rPr>
          <w:rFonts w:hint="default"/>
          <w:color w:val="auto"/>
          <w:highlight w:val="none"/>
          <w:lang w:val="en-US" w:eastAsia="zh-CN"/>
        </w:rPr>
        <w:t>水域岸线管理保护实施成效</w:t>
      </w:r>
    </w:p>
    <w:p w14:paraId="0D6E2DAB">
      <w:pPr>
        <w:pStyle w:val="5"/>
        <w:bidi w:val="0"/>
        <w:rPr>
          <w:rFonts w:hint="eastAsia"/>
          <w:lang w:val="en-US" w:eastAsia="zh-CN"/>
        </w:rPr>
      </w:pPr>
      <w:r>
        <w:rPr>
          <w:rFonts w:hint="eastAsia"/>
          <w:lang w:val="en-US" w:eastAsia="zh-CN"/>
        </w:rPr>
        <w:t>石耶镇严厉打击非法侵占水域岸线和非法采砂等行为，及时发现、及时整治，自石耶镇“一河一策”实施以来未发生因岸线乱占、河道乱建行为造成阻碍行洪的事件发生。石耶镇在2018年～2020年“</w:t>
      </w:r>
      <w:r>
        <w:rPr>
          <w:rFonts w:hint="default"/>
          <w:lang w:val="en-US" w:eastAsia="zh-CN"/>
        </w:rPr>
        <w:t>一河一策</w:t>
      </w:r>
      <w:r>
        <w:rPr>
          <w:rFonts w:hint="eastAsia"/>
          <w:lang w:val="en-US" w:eastAsia="zh-CN"/>
        </w:rPr>
        <w:t>”</w:t>
      </w:r>
      <w:r>
        <w:rPr>
          <w:rFonts w:hint="default"/>
          <w:lang w:val="en-US" w:eastAsia="zh-CN"/>
        </w:rPr>
        <w:t>施行</w:t>
      </w:r>
      <w:r>
        <w:rPr>
          <w:rFonts w:hint="eastAsia"/>
          <w:lang w:val="en-US" w:eastAsia="zh-CN"/>
        </w:rPr>
        <w:t>期间建设完成梅江河河道综合治理工程。</w:t>
      </w:r>
    </w:p>
    <w:p w14:paraId="5E12C393">
      <w:pPr>
        <w:pStyle w:val="7"/>
        <w:bidi w:val="0"/>
        <w:rPr>
          <w:rFonts w:hint="default"/>
          <w:color w:val="auto"/>
          <w:highlight w:val="none"/>
          <w:lang w:val="en-US" w:eastAsia="zh-CN"/>
        </w:rPr>
      </w:pPr>
      <w:r>
        <w:rPr>
          <w:rFonts w:hint="default"/>
          <w:color w:val="auto"/>
          <w:highlight w:val="none"/>
          <w:lang w:val="en-US" w:eastAsia="zh-CN"/>
        </w:rPr>
        <w:t>水污染防治实施成效</w:t>
      </w:r>
      <w:r>
        <w:rPr>
          <w:rFonts w:hint="eastAsia"/>
          <w:color w:val="auto"/>
          <w:highlight w:val="none"/>
          <w:lang w:val="en-US" w:eastAsia="zh-CN"/>
        </w:rPr>
        <w:t xml:space="preserve"> </w:t>
      </w:r>
    </w:p>
    <w:p w14:paraId="35C23E6A">
      <w:pPr>
        <w:pStyle w:val="8"/>
        <w:bidi w:val="0"/>
        <w:rPr>
          <w:rFonts w:hint="default"/>
          <w:color w:val="auto"/>
          <w:highlight w:val="none"/>
          <w:lang w:val="en-US" w:eastAsia="zh-CN"/>
        </w:rPr>
      </w:pPr>
      <w:r>
        <w:rPr>
          <w:rFonts w:hint="eastAsia"/>
          <w:color w:val="auto"/>
          <w:highlight w:val="none"/>
          <w:lang w:val="en-US" w:eastAsia="zh-CN"/>
        </w:rPr>
        <w:t>生活污染源整治</w:t>
      </w:r>
    </w:p>
    <w:p w14:paraId="3F2EAFD6">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经排查完成</w:t>
      </w:r>
      <w:r>
        <w:rPr>
          <w:rFonts w:hint="eastAsia"/>
          <w:lang w:val="en-US" w:eastAsia="zh-CN"/>
        </w:rPr>
        <w:t>7</w:t>
      </w:r>
      <w:r>
        <w:rPr>
          <w:rFonts w:hint="default"/>
          <w:lang w:val="en-US" w:eastAsia="zh-CN"/>
        </w:rPr>
        <w:t>处</w:t>
      </w:r>
      <w:r>
        <w:rPr>
          <w:rFonts w:hint="eastAsia"/>
          <w:lang w:val="en-US" w:eastAsia="zh-CN"/>
        </w:rPr>
        <w:t>生活污染源</w:t>
      </w:r>
      <w:r>
        <w:rPr>
          <w:rFonts w:hint="default"/>
          <w:lang w:val="en-US" w:eastAsia="zh-CN"/>
        </w:rPr>
        <w:t>问题整治</w:t>
      </w:r>
      <w:r>
        <w:rPr>
          <w:rFonts w:hint="eastAsia"/>
          <w:lang w:val="en-US" w:eastAsia="zh-CN"/>
        </w:rPr>
        <w:t>，</w:t>
      </w:r>
      <w:r>
        <w:rPr>
          <w:rFonts w:hint="default"/>
          <w:lang w:val="en-US" w:eastAsia="zh-CN"/>
        </w:rPr>
        <w:t>详情见下表2.</w:t>
      </w:r>
      <w:r>
        <w:rPr>
          <w:rFonts w:hint="eastAsia"/>
          <w:lang w:val="en-US" w:eastAsia="zh-CN"/>
        </w:rPr>
        <w:t>1-2</w:t>
      </w:r>
      <w:r>
        <w:rPr>
          <w:rFonts w:hint="eastAsia"/>
          <w:color w:val="auto"/>
          <w:sz w:val="24"/>
          <w:szCs w:val="24"/>
          <w:lang w:val="en-US" w:eastAsia="zh-CN"/>
        </w:rPr>
        <w:t>。</w:t>
      </w:r>
    </w:p>
    <w:p w14:paraId="52FB40E5">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2.1-2  </w:t>
      </w:r>
      <w:r>
        <w:rPr>
          <w:rFonts w:hint="eastAsia"/>
          <w:lang w:val="en-US" w:eastAsia="zh-CN"/>
        </w:rPr>
        <w:t>石耶</w:t>
      </w:r>
      <w:r>
        <w:rPr>
          <w:rFonts w:hint="eastAsia"/>
          <w:color w:val="auto"/>
          <w:highlight w:val="none"/>
          <w:lang w:val="en-US" w:eastAsia="zh-CN"/>
        </w:rPr>
        <w:t>镇生活污染源整治</w:t>
      </w:r>
      <w:r>
        <w:rPr>
          <w:rFonts w:hint="default"/>
          <w:color w:val="auto"/>
          <w:highlight w:val="none"/>
          <w:lang w:val="en-US" w:eastAsia="zh-CN"/>
        </w:rPr>
        <w:t>已完成清单</w:t>
      </w:r>
    </w:p>
    <w:tbl>
      <w:tblPr>
        <w:tblStyle w:val="23"/>
        <w:tblW w:w="8519"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Layout w:type="fixed"/>
        <w:tblCellMar>
          <w:top w:w="0" w:type="dxa"/>
          <w:left w:w="108" w:type="dxa"/>
          <w:bottom w:w="0" w:type="dxa"/>
          <w:right w:w="108" w:type="dxa"/>
        </w:tblCellMar>
      </w:tblPr>
      <w:tblGrid>
        <w:gridCol w:w="576"/>
        <w:gridCol w:w="931"/>
        <w:gridCol w:w="4158"/>
        <w:gridCol w:w="1291"/>
        <w:gridCol w:w="1563"/>
      </w:tblGrid>
      <w:tr w14:paraId="525A50A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tblHeader/>
        </w:trPr>
        <w:tc>
          <w:tcPr>
            <w:tcW w:w="576" w:type="dxa"/>
            <w:tcBorders>
              <w:tl2br w:val="nil"/>
              <w:tr2bl w:val="nil"/>
            </w:tcBorders>
            <w:shd w:val="clear" w:color="auto" w:fill="auto"/>
            <w:vAlign w:val="center"/>
          </w:tcPr>
          <w:p w14:paraId="57BF42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31" w:type="dxa"/>
            <w:tcBorders>
              <w:tl2br w:val="nil"/>
              <w:tr2bl w:val="nil"/>
            </w:tcBorders>
            <w:shd w:val="clear" w:color="auto" w:fill="auto"/>
            <w:vAlign w:val="center"/>
          </w:tcPr>
          <w:p w14:paraId="4F79F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河流</w:t>
            </w:r>
          </w:p>
        </w:tc>
        <w:tc>
          <w:tcPr>
            <w:tcW w:w="4158" w:type="dxa"/>
            <w:tcBorders>
              <w:tl2br w:val="nil"/>
              <w:tr2bl w:val="nil"/>
            </w:tcBorders>
            <w:shd w:val="clear" w:color="auto" w:fill="auto"/>
            <w:vAlign w:val="center"/>
          </w:tcPr>
          <w:p w14:paraId="00653B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存在问题</w:t>
            </w:r>
          </w:p>
        </w:tc>
        <w:tc>
          <w:tcPr>
            <w:tcW w:w="1291" w:type="dxa"/>
            <w:tcBorders>
              <w:tl2br w:val="nil"/>
              <w:tr2bl w:val="nil"/>
            </w:tcBorders>
            <w:shd w:val="clear" w:color="auto" w:fill="auto"/>
            <w:vAlign w:val="center"/>
          </w:tcPr>
          <w:p w14:paraId="447AF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乡镇</w:t>
            </w:r>
          </w:p>
        </w:tc>
        <w:tc>
          <w:tcPr>
            <w:tcW w:w="1563" w:type="dxa"/>
            <w:tcBorders>
              <w:tl2br w:val="nil"/>
              <w:tr2bl w:val="nil"/>
            </w:tcBorders>
            <w:shd w:val="clear" w:color="auto" w:fill="auto"/>
            <w:vAlign w:val="center"/>
          </w:tcPr>
          <w:p w14:paraId="2CCA83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是否整治完毕</w:t>
            </w:r>
          </w:p>
        </w:tc>
      </w:tr>
      <w:tr w14:paraId="22EC9A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shd w:val="clear" w:color="auto" w:fill="auto"/>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5C9846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931" w:type="dxa"/>
            <w:vMerge w:val="restart"/>
            <w:tcBorders>
              <w:tl2br w:val="nil"/>
              <w:tr2bl w:val="nil"/>
            </w:tcBorders>
            <w:shd w:val="clear" w:color="auto" w:fill="auto"/>
            <w:vAlign w:val="center"/>
          </w:tcPr>
          <w:p w14:paraId="22E2B8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sz w:val="18"/>
                <w:szCs w:val="18"/>
                <w:highlight w:val="none"/>
                <w:u w:val="none"/>
                <w:lang w:val="en-US" w:eastAsia="zh-CN"/>
              </w:rPr>
            </w:pPr>
            <w:r>
              <w:rPr>
                <w:rFonts w:hint="eastAsia" w:ascii="宋体" w:hAnsi="宋体" w:eastAsia="宋体" w:cs="宋体"/>
                <w:i w:val="0"/>
                <w:iCs w:val="0"/>
                <w:color w:val="auto"/>
                <w:sz w:val="18"/>
                <w:szCs w:val="18"/>
                <w:highlight w:val="none"/>
                <w:u w:val="none"/>
                <w:lang w:val="en-US" w:eastAsia="zh-CN"/>
              </w:rPr>
              <w:t>梅江河</w:t>
            </w:r>
          </w:p>
        </w:tc>
        <w:tc>
          <w:tcPr>
            <w:tcW w:w="4158" w:type="dxa"/>
            <w:tcBorders>
              <w:tl2br w:val="nil"/>
              <w:tr2bl w:val="nil"/>
            </w:tcBorders>
            <w:shd w:val="clear" w:color="auto" w:fill="auto"/>
            <w:vAlign w:val="center"/>
          </w:tcPr>
          <w:p w14:paraId="10CCB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西大社区秀山二中生活污水直排入河</w:t>
            </w:r>
          </w:p>
        </w:tc>
        <w:tc>
          <w:tcPr>
            <w:tcW w:w="1291" w:type="dxa"/>
            <w:tcBorders>
              <w:tl2br w:val="nil"/>
              <w:tr2bl w:val="nil"/>
            </w:tcBorders>
            <w:shd w:val="clear" w:color="auto" w:fill="auto"/>
            <w:vAlign w:val="center"/>
          </w:tcPr>
          <w:p w14:paraId="319B10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7958C3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5CD72DD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7A4A5D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931" w:type="dxa"/>
            <w:vMerge w:val="continue"/>
            <w:tcBorders>
              <w:tl2br w:val="nil"/>
              <w:tr2bl w:val="nil"/>
            </w:tcBorders>
            <w:shd w:val="clear" w:color="auto" w:fill="auto"/>
            <w:vAlign w:val="center"/>
          </w:tcPr>
          <w:p w14:paraId="4BF79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497AA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平邑村居民生活污水直排入河</w:t>
            </w:r>
          </w:p>
        </w:tc>
        <w:tc>
          <w:tcPr>
            <w:tcW w:w="1291" w:type="dxa"/>
            <w:tcBorders>
              <w:tl2br w:val="nil"/>
              <w:tr2bl w:val="nil"/>
            </w:tcBorders>
            <w:shd w:val="clear" w:color="auto" w:fill="auto"/>
            <w:vAlign w:val="center"/>
          </w:tcPr>
          <w:p w14:paraId="0FA99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30C5F5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2578D0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05AA9B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3</w:t>
            </w:r>
          </w:p>
        </w:tc>
        <w:tc>
          <w:tcPr>
            <w:tcW w:w="931" w:type="dxa"/>
            <w:vMerge w:val="continue"/>
            <w:tcBorders>
              <w:tl2br w:val="nil"/>
              <w:tr2bl w:val="nil"/>
            </w:tcBorders>
            <w:shd w:val="clear" w:color="auto" w:fill="auto"/>
            <w:vAlign w:val="center"/>
          </w:tcPr>
          <w:p w14:paraId="33CEB0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04CDB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青龙村居民生活污水直排入河</w:t>
            </w:r>
          </w:p>
        </w:tc>
        <w:tc>
          <w:tcPr>
            <w:tcW w:w="1291" w:type="dxa"/>
            <w:tcBorders>
              <w:tl2br w:val="nil"/>
              <w:tr2bl w:val="nil"/>
            </w:tcBorders>
            <w:shd w:val="clear" w:color="auto" w:fill="auto"/>
            <w:vAlign w:val="center"/>
          </w:tcPr>
          <w:p w14:paraId="263C2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69B05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7AFD542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2E915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4</w:t>
            </w:r>
          </w:p>
        </w:tc>
        <w:tc>
          <w:tcPr>
            <w:tcW w:w="931" w:type="dxa"/>
            <w:vMerge w:val="continue"/>
            <w:tcBorders>
              <w:tl2br w:val="nil"/>
              <w:tr2bl w:val="nil"/>
            </w:tcBorders>
            <w:shd w:val="clear" w:color="auto" w:fill="auto"/>
            <w:vAlign w:val="center"/>
          </w:tcPr>
          <w:p w14:paraId="059B06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1E5396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余庆社区石耶中心校生活污水直排入河</w:t>
            </w:r>
          </w:p>
        </w:tc>
        <w:tc>
          <w:tcPr>
            <w:tcW w:w="1291" w:type="dxa"/>
            <w:tcBorders>
              <w:tl2br w:val="nil"/>
              <w:tr2bl w:val="nil"/>
            </w:tcBorders>
            <w:shd w:val="clear" w:color="auto" w:fill="auto"/>
            <w:vAlign w:val="center"/>
          </w:tcPr>
          <w:p w14:paraId="1D021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370D8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1619A10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74C3F5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5</w:t>
            </w:r>
          </w:p>
        </w:tc>
        <w:tc>
          <w:tcPr>
            <w:tcW w:w="931" w:type="dxa"/>
            <w:vMerge w:val="continue"/>
            <w:tcBorders>
              <w:tl2br w:val="nil"/>
              <w:tr2bl w:val="nil"/>
            </w:tcBorders>
            <w:shd w:val="clear" w:color="auto" w:fill="auto"/>
            <w:vAlign w:val="center"/>
          </w:tcPr>
          <w:p w14:paraId="633583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58067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余庆社区居民生活污水直排入河</w:t>
            </w:r>
          </w:p>
        </w:tc>
        <w:tc>
          <w:tcPr>
            <w:tcW w:w="1291" w:type="dxa"/>
            <w:tcBorders>
              <w:tl2br w:val="nil"/>
              <w:tr2bl w:val="nil"/>
            </w:tcBorders>
            <w:shd w:val="clear" w:color="auto" w:fill="auto"/>
            <w:vAlign w:val="center"/>
          </w:tcPr>
          <w:p w14:paraId="39AC4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48566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6691FDF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1837AA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6</w:t>
            </w:r>
          </w:p>
        </w:tc>
        <w:tc>
          <w:tcPr>
            <w:tcW w:w="931" w:type="dxa"/>
            <w:vMerge w:val="continue"/>
            <w:tcBorders>
              <w:tl2br w:val="nil"/>
              <w:tr2bl w:val="nil"/>
            </w:tcBorders>
            <w:shd w:val="clear" w:color="auto" w:fill="auto"/>
            <w:vAlign w:val="center"/>
          </w:tcPr>
          <w:p w14:paraId="205D42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3D8A25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鱼梁村居民生活污水直排入河</w:t>
            </w:r>
          </w:p>
        </w:tc>
        <w:tc>
          <w:tcPr>
            <w:tcW w:w="1291" w:type="dxa"/>
            <w:tcBorders>
              <w:tl2br w:val="nil"/>
              <w:tr2bl w:val="nil"/>
            </w:tcBorders>
            <w:shd w:val="clear" w:color="auto" w:fill="auto"/>
            <w:vAlign w:val="center"/>
          </w:tcPr>
          <w:p w14:paraId="22342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7E700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r w14:paraId="68BE9B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76" w:type="dxa"/>
            <w:tcBorders>
              <w:tl2br w:val="nil"/>
              <w:tr2bl w:val="nil"/>
            </w:tcBorders>
            <w:shd w:val="clear" w:color="auto" w:fill="auto"/>
            <w:vAlign w:val="center"/>
          </w:tcPr>
          <w:p w14:paraId="7B599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eastAsia="宋体" w:cs="Times New Roman"/>
                <w:i w:val="0"/>
                <w:iCs w:val="0"/>
                <w:color w:val="auto"/>
                <w:kern w:val="0"/>
                <w:sz w:val="18"/>
                <w:szCs w:val="18"/>
                <w:highlight w:val="none"/>
                <w:u w:val="none"/>
                <w:lang w:val="en-US" w:eastAsia="zh-CN" w:bidi="ar"/>
              </w:rPr>
              <w:t>7</w:t>
            </w:r>
          </w:p>
        </w:tc>
        <w:tc>
          <w:tcPr>
            <w:tcW w:w="931" w:type="dxa"/>
            <w:vMerge w:val="continue"/>
            <w:tcBorders>
              <w:tl2br w:val="nil"/>
              <w:tr2bl w:val="nil"/>
            </w:tcBorders>
            <w:shd w:val="clear" w:color="auto" w:fill="auto"/>
            <w:vAlign w:val="center"/>
          </w:tcPr>
          <w:p w14:paraId="67E804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ascii="宋体" w:hAnsi="宋体" w:eastAsia="宋体" w:cs="宋体"/>
                <w:i w:val="0"/>
                <w:iCs w:val="0"/>
                <w:color w:val="auto"/>
                <w:sz w:val="18"/>
                <w:szCs w:val="18"/>
                <w:highlight w:val="none"/>
                <w:u w:val="none"/>
              </w:rPr>
            </w:pPr>
          </w:p>
        </w:tc>
        <w:tc>
          <w:tcPr>
            <w:tcW w:w="4158" w:type="dxa"/>
            <w:tcBorders>
              <w:tl2br w:val="nil"/>
              <w:tr2bl w:val="nil"/>
            </w:tcBorders>
            <w:shd w:val="clear" w:color="auto" w:fill="auto"/>
            <w:vAlign w:val="center"/>
          </w:tcPr>
          <w:p w14:paraId="424B8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石耶镇卫生院污水直排入河</w:t>
            </w:r>
          </w:p>
        </w:tc>
        <w:tc>
          <w:tcPr>
            <w:tcW w:w="1291" w:type="dxa"/>
            <w:tcBorders>
              <w:tl2br w:val="nil"/>
              <w:tr2bl w:val="nil"/>
            </w:tcBorders>
            <w:shd w:val="clear" w:color="auto" w:fill="auto"/>
            <w:vAlign w:val="center"/>
          </w:tcPr>
          <w:p w14:paraId="3EAAFC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eastAsia" w:eastAsia="宋体" w:cs="Times New Roman"/>
                <w:i w:val="0"/>
                <w:iCs w:val="0"/>
                <w:color w:val="000000"/>
                <w:sz w:val="18"/>
                <w:szCs w:val="18"/>
                <w:lang w:val="en-US" w:eastAsia="zh-CN" w:bidi="ar"/>
              </w:rPr>
            </w:pPr>
            <w:r>
              <w:rPr>
                <w:rStyle w:val="81"/>
                <w:rFonts w:hint="eastAsia" w:eastAsia="宋体" w:cs="Times New Roman"/>
                <w:i w:val="0"/>
                <w:iCs w:val="0"/>
                <w:color w:val="000000"/>
                <w:sz w:val="18"/>
                <w:szCs w:val="18"/>
                <w:lang w:val="en-US" w:eastAsia="zh-CN" w:bidi="ar"/>
              </w:rPr>
              <w:t>石耶</w:t>
            </w:r>
            <w:r>
              <w:rPr>
                <w:rStyle w:val="81"/>
                <w:rFonts w:hint="default" w:ascii="Times New Roman" w:hAnsi="Times New Roman" w:eastAsia="宋体" w:cs="Times New Roman"/>
                <w:i w:val="0"/>
                <w:iCs w:val="0"/>
                <w:color w:val="000000"/>
                <w:sz w:val="18"/>
                <w:szCs w:val="18"/>
                <w:lang w:val="en-US" w:eastAsia="zh-CN" w:bidi="ar"/>
              </w:rPr>
              <w:t>镇</w:t>
            </w:r>
          </w:p>
        </w:tc>
        <w:tc>
          <w:tcPr>
            <w:tcW w:w="1563" w:type="dxa"/>
            <w:tcBorders>
              <w:tl2br w:val="nil"/>
              <w:tr2bl w:val="nil"/>
            </w:tcBorders>
            <w:shd w:val="clear" w:color="auto" w:fill="auto"/>
            <w:vAlign w:val="center"/>
          </w:tcPr>
          <w:p w14:paraId="4E1E1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是</w:t>
            </w:r>
          </w:p>
        </w:tc>
      </w:tr>
    </w:tbl>
    <w:p w14:paraId="503DD55E">
      <w:pPr>
        <w:pStyle w:val="5"/>
        <w:bidi w:val="0"/>
        <w:rPr>
          <w:rFonts w:hint="eastAsia"/>
          <w:color w:val="FF0000"/>
          <w:lang w:val="en-US" w:eastAsia="zh-CN"/>
        </w:rPr>
      </w:pPr>
    </w:p>
    <w:p w14:paraId="68A55633">
      <w:pPr>
        <w:pStyle w:val="8"/>
        <w:bidi w:val="0"/>
        <w:rPr>
          <w:rFonts w:hint="eastAsia"/>
          <w:color w:val="auto"/>
          <w:highlight w:val="none"/>
          <w:lang w:val="en-US" w:eastAsia="zh-CN"/>
        </w:rPr>
      </w:pPr>
      <w:r>
        <w:rPr>
          <w:rFonts w:hint="default"/>
          <w:color w:val="auto"/>
          <w:highlight w:val="none"/>
          <w:lang w:val="en-US" w:eastAsia="zh-CN"/>
        </w:rPr>
        <w:t>污水处理</w:t>
      </w:r>
      <w:r>
        <w:rPr>
          <w:rFonts w:hint="eastAsia"/>
          <w:color w:val="auto"/>
          <w:highlight w:val="none"/>
          <w:lang w:val="en-US" w:eastAsia="zh-CN"/>
        </w:rPr>
        <w:t>设施运行监督</w:t>
      </w:r>
    </w:p>
    <w:p w14:paraId="731E75B2">
      <w:pPr>
        <w:pStyle w:val="5"/>
        <w:bidi w:val="0"/>
        <w:rPr>
          <w:rFonts w:hint="eastAsia"/>
          <w:lang w:val="en-US" w:eastAsia="zh-CN"/>
        </w:rPr>
      </w:pPr>
      <w:r>
        <w:rPr>
          <w:rFonts w:hint="eastAsia"/>
          <w:lang w:val="en-US" w:eastAsia="zh-CN"/>
        </w:rPr>
        <w:t>石耶镇辖区内建设完成1座污水处理厂，所有污水处理设置均设有运营单位进行管理维护，石耶镇相关部门加强了排污口的监管工作。</w:t>
      </w:r>
    </w:p>
    <w:p w14:paraId="52949EED">
      <w:pPr>
        <w:pStyle w:val="8"/>
        <w:bidi w:val="0"/>
        <w:rPr>
          <w:rFonts w:hint="default"/>
          <w:color w:val="auto"/>
          <w:highlight w:val="none"/>
          <w:lang w:val="en-US" w:eastAsia="zh-CN"/>
        </w:rPr>
      </w:pPr>
      <w:r>
        <w:rPr>
          <w:rFonts w:hint="default"/>
          <w:color w:val="auto"/>
          <w:highlight w:val="none"/>
          <w:lang w:val="en-US" w:eastAsia="zh-CN"/>
        </w:rPr>
        <w:t>畜禽养殖污染防治</w:t>
      </w:r>
    </w:p>
    <w:p w14:paraId="55C74C1E">
      <w:pPr>
        <w:pStyle w:val="5"/>
        <w:bidi w:val="0"/>
        <w:rPr>
          <w:rFonts w:hint="eastAsia"/>
          <w:lang w:val="en-US" w:eastAsia="zh-CN"/>
        </w:rPr>
      </w:pPr>
      <w:r>
        <w:rPr>
          <w:rFonts w:hint="eastAsia"/>
          <w:lang w:val="en-US" w:eastAsia="zh-CN"/>
        </w:rPr>
        <w:t>根据秀山县农业农村委《养殖禁养区关闭搬迁完成清单》及《养殖污染治理工程完成清单》，石耶镇</w:t>
      </w:r>
      <w:r>
        <w:rPr>
          <w:rFonts w:hint="default"/>
          <w:lang w:val="en-US" w:eastAsia="zh-CN"/>
        </w:rPr>
        <w:t>2018年</w:t>
      </w:r>
      <w:r>
        <w:rPr>
          <w:rFonts w:hint="eastAsia"/>
          <w:lang w:val="en-US" w:eastAsia="zh-CN"/>
        </w:rPr>
        <w:t>～2020年</w:t>
      </w:r>
      <w:r>
        <w:rPr>
          <w:rFonts w:hint="default"/>
          <w:lang w:val="en-US" w:eastAsia="zh-CN"/>
        </w:rPr>
        <w:t>完成</w:t>
      </w:r>
      <w:r>
        <w:rPr>
          <w:rFonts w:hint="eastAsia"/>
          <w:lang w:val="en-US" w:eastAsia="zh-CN"/>
        </w:rPr>
        <w:t>4</w:t>
      </w:r>
      <w:r>
        <w:rPr>
          <w:rFonts w:hint="default"/>
          <w:lang w:val="en-US" w:eastAsia="zh-CN"/>
        </w:rPr>
        <w:t>户</w:t>
      </w:r>
      <w:r>
        <w:rPr>
          <w:rFonts w:hint="eastAsia"/>
          <w:lang w:val="en-US" w:eastAsia="zh-CN"/>
        </w:rPr>
        <w:t>养殖场</w:t>
      </w:r>
      <w:r>
        <w:rPr>
          <w:rFonts w:hint="default"/>
          <w:lang w:val="en-US" w:eastAsia="zh-CN"/>
        </w:rPr>
        <w:t>畜禽养殖污染治</w:t>
      </w:r>
      <w:r>
        <w:rPr>
          <w:rFonts w:hint="eastAsia"/>
          <w:lang w:val="en-US" w:eastAsia="zh-CN"/>
        </w:rPr>
        <w:t>理任务，</w:t>
      </w:r>
      <w:r>
        <w:rPr>
          <w:rFonts w:hint="default"/>
          <w:lang w:val="en-US" w:eastAsia="zh-CN"/>
        </w:rPr>
        <w:t>关闭</w:t>
      </w:r>
      <w:r>
        <w:rPr>
          <w:rFonts w:hint="eastAsia"/>
          <w:lang w:val="en-US" w:eastAsia="zh-CN"/>
        </w:rPr>
        <w:t>禁养区</w:t>
      </w:r>
      <w:r>
        <w:rPr>
          <w:rFonts w:hint="default"/>
          <w:lang w:val="en-US" w:eastAsia="zh-CN"/>
        </w:rPr>
        <w:t>养殖场</w:t>
      </w:r>
      <w:r>
        <w:rPr>
          <w:rFonts w:hint="eastAsia"/>
          <w:lang w:val="en-US" w:eastAsia="zh-CN"/>
        </w:rPr>
        <w:t>2</w:t>
      </w:r>
      <w:r>
        <w:rPr>
          <w:rFonts w:hint="default"/>
          <w:lang w:val="en-US" w:eastAsia="zh-CN"/>
        </w:rPr>
        <w:t>户</w:t>
      </w:r>
      <w:r>
        <w:rPr>
          <w:rFonts w:hint="eastAsia"/>
          <w:lang w:val="en-US" w:eastAsia="zh-CN"/>
        </w:rPr>
        <w:t>，全面完成畜禽养殖污染治理，禁养区畜禽养殖户全部关闭搬迁。</w:t>
      </w:r>
    </w:p>
    <w:p w14:paraId="28465C4C">
      <w:pPr>
        <w:pStyle w:val="56"/>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2.1-3  石耶镇2018~2020年</w:t>
      </w:r>
      <w:r>
        <w:rPr>
          <w:rFonts w:hint="default"/>
          <w:color w:val="auto"/>
          <w:highlight w:val="none"/>
          <w:lang w:val="en-US" w:eastAsia="zh-CN"/>
        </w:rPr>
        <w:t>畜禽养殖污染治</w:t>
      </w:r>
      <w:r>
        <w:rPr>
          <w:rFonts w:hint="eastAsia"/>
          <w:color w:val="auto"/>
          <w:highlight w:val="none"/>
          <w:lang w:val="en-US" w:eastAsia="zh-CN"/>
        </w:rPr>
        <w:t>理</w:t>
      </w:r>
      <w:r>
        <w:rPr>
          <w:rFonts w:hint="default"/>
          <w:color w:val="auto"/>
          <w:highlight w:val="none"/>
          <w:lang w:val="en-US" w:eastAsia="zh-CN"/>
        </w:rPr>
        <w:t>已完成清单</w:t>
      </w:r>
    </w:p>
    <w:tbl>
      <w:tblPr>
        <w:tblStyle w:val="23"/>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6"/>
        <w:gridCol w:w="2672"/>
        <w:gridCol w:w="2417"/>
        <w:gridCol w:w="998"/>
        <w:gridCol w:w="856"/>
        <w:gridCol w:w="974"/>
      </w:tblGrid>
      <w:tr w14:paraId="17EC2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606" w:type="dxa"/>
            <w:tcBorders>
              <w:tl2br w:val="nil"/>
              <w:tr2bl w:val="nil"/>
            </w:tcBorders>
            <w:shd w:val="clear" w:color="auto" w:fill="auto"/>
            <w:vAlign w:val="center"/>
          </w:tcPr>
          <w:p w14:paraId="4FC13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序号</w:t>
            </w:r>
          </w:p>
        </w:tc>
        <w:tc>
          <w:tcPr>
            <w:tcW w:w="2672" w:type="dxa"/>
            <w:tcBorders>
              <w:tl2br w:val="nil"/>
              <w:tr2bl w:val="nil"/>
            </w:tcBorders>
            <w:shd w:val="clear" w:color="auto" w:fill="auto"/>
            <w:vAlign w:val="center"/>
          </w:tcPr>
          <w:p w14:paraId="0DCF4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养殖场户名称</w:t>
            </w:r>
          </w:p>
        </w:tc>
        <w:tc>
          <w:tcPr>
            <w:tcW w:w="2417" w:type="dxa"/>
            <w:tcBorders>
              <w:tl2br w:val="nil"/>
              <w:tr2bl w:val="nil"/>
            </w:tcBorders>
            <w:shd w:val="clear" w:color="auto" w:fill="auto"/>
            <w:vAlign w:val="center"/>
          </w:tcPr>
          <w:p w14:paraId="4F740F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详细地址</w:t>
            </w:r>
          </w:p>
        </w:tc>
        <w:tc>
          <w:tcPr>
            <w:tcW w:w="998" w:type="dxa"/>
            <w:tcBorders>
              <w:tl2br w:val="nil"/>
              <w:tr2bl w:val="nil"/>
            </w:tcBorders>
            <w:shd w:val="clear" w:color="auto" w:fill="auto"/>
            <w:vAlign w:val="center"/>
          </w:tcPr>
          <w:p w14:paraId="45B3D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14:paraId="246DB1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14:paraId="1EA533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是否验收</w:t>
            </w:r>
          </w:p>
        </w:tc>
      </w:tr>
      <w:tr w14:paraId="519116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14:paraId="6E330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1</w:t>
            </w:r>
          </w:p>
        </w:tc>
        <w:tc>
          <w:tcPr>
            <w:tcW w:w="2672" w:type="dxa"/>
            <w:tcBorders>
              <w:tl2br w:val="nil"/>
              <w:tr2bl w:val="nil"/>
            </w:tcBorders>
            <w:shd w:val="clear" w:color="auto" w:fill="auto"/>
            <w:vAlign w:val="center"/>
          </w:tcPr>
          <w:p w14:paraId="776964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杨明付生猪养殖场</w:t>
            </w:r>
          </w:p>
        </w:tc>
        <w:tc>
          <w:tcPr>
            <w:tcW w:w="2417" w:type="dxa"/>
            <w:tcBorders>
              <w:tl2br w:val="nil"/>
              <w:tr2bl w:val="nil"/>
            </w:tcBorders>
            <w:shd w:val="clear" w:color="auto" w:fill="auto"/>
            <w:vAlign w:val="center"/>
          </w:tcPr>
          <w:p w14:paraId="75C67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石耶西大居委会衙院组</w:t>
            </w:r>
          </w:p>
        </w:tc>
        <w:tc>
          <w:tcPr>
            <w:tcW w:w="998" w:type="dxa"/>
            <w:tcBorders>
              <w:tl2br w:val="nil"/>
              <w:tr2bl w:val="nil"/>
            </w:tcBorders>
            <w:shd w:val="clear" w:color="auto" w:fill="auto"/>
            <w:vAlign w:val="center"/>
          </w:tcPr>
          <w:p w14:paraId="59B5C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022D6F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120</w:t>
            </w:r>
          </w:p>
        </w:tc>
        <w:tc>
          <w:tcPr>
            <w:tcW w:w="974" w:type="dxa"/>
            <w:tcBorders>
              <w:tl2br w:val="nil"/>
              <w:tr2bl w:val="nil"/>
            </w:tcBorders>
            <w:shd w:val="clear" w:color="auto" w:fill="auto"/>
            <w:vAlign w:val="center"/>
          </w:tcPr>
          <w:p w14:paraId="7A54CF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14:paraId="5D3BF3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14:paraId="3C10F6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2</w:t>
            </w:r>
          </w:p>
        </w:tc>
        <w:tc>
          <w:tcPr>
            <w:tcW w:w="2672" w:type="dxa"/>
            <w:tcBorders>
              <w:tl2br w:val="nil"/>
              <w:tr2bl w:val="nil"/>
            </w:tcBorders>
            <w:shd w:val="clear" w:color="auto" w:fill="auto"/>
            <w:vAlign w:val="center"/>
          </w:tcPr>
          <w:p w14:paraId="0E9B33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秀山县辛建国生猪养殖场</w:t>
            </w:r>
          </w:p>
        </w:tc>
        <w:tc>
          <w:tcPr>
            <w:tcW w:w="2417" w:type="dxa"/>
            <w:tcBorders>
              <w:tl2br w:val="nil"/>
              <w:tr2bl w:val="nil"/>
            </w:tcBorders>
            <w:shd w:val="clear" w:color="auto" w:fill="auto"/>
            <w:vAlign w:val="center"/>
          </w:tcPr>
          <w:p w14:paraId="7A4BFD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石耶大溪村莲花塘组</w:t>
            </w:r>
          </w:p>
        </w:tc>
        <w:tc>
          <w:tcPr>
            <w:tcW w:w="998" w:type="dxa"/>
            <w:tcBorders>
              <w:tl2br w:val="nil"/>
              <w:tr2bl w:val="nil"/>
            </w:tcBorders>
            <w:shd w:val="clear" w:color="auto" w:fill="auto"/>
            <w:vAlign w:val="center"/>
          </w:tcPr>
          <w:p w14:paraId="6C43BD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3BB862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600</w:t>
            </w:r>
          </w:p>
        </w:tc>
        <w:tc>
          <w:tcPr>
            <w:tcW w:w="974" w:type="dxa"/>
            <w:tcBorders>
              <w:tl2br w:val="nil"/>
              <w:tr2bl w:val="nil"/>
            </w:tcBorders>
            <w:shd w:val="clear" w:color="auto" w:fill="auto"/>
            <w:vAlign w:val="center"/>
          </w:tcPr>
          <w:p w14:paraId="38EAFF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14:paraId="2F89C7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14:paraId="38EB3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3</w:t>
            </w:r>
          </w:p>
        </w:tc>
        <w:tc>
          <w:tcPr>
            <w:tcW w:w="2672" w:type="dxa"/>
            <w:tcBorders>
              <w:tl2br w:val="nil"/>
              <w:tr2bl w:val="nil"/>
            </w:tcBorders>
            <w:shd w:val="clear" w:color="auto" w:fill="auto"/>
            <w:vAlign w:val="center"/>
          </w:tcPr>
          <w:p w14:paraId="1460C7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杨正友猪养殖场</w:t>
            </w:r>
          </w:p>
        </w:tc>
        <w:tc>
          <w:tcPr>
            <w:tcW w:w="2417" w:type="dxa"/>
            <w:tcBorders>
              <w:tl2br w:val="nil"/>
              <w:tr2bl w:val="nil"/>
            </w:tcBorders>
            <w:shd w:val="clear" w:color="auto" w:fill="auto"/>
            <w:vAlign w:val="center"/>
          </w:tcPr>
          <w:p w14:paraId="462762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石耶西大居委会云盘组</w:t>
            </w:r>
          </w:p>
        </w:tc>
        <w:tc>
          <w:tcPr>
            <w:tcW w:w="998" w:type="dxa"/>
            <w:tcBorders>
              <w:tl2br w:val="nil"/>
              <w:tr2bl w:val="nil"/>
            </w:tcBorders>
            <w:shd w:val="clear" w:color="auto" w:fill="auto"/>
            <w:vAlign w:val="center"/>
          </w:tcPr>
          <w:p w14:paraId="4D9A9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4C7BBD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50</w:t>
            </w:r>
          </w:p>
        </w:tc>
        <w:tc>
          <w:tcPr>
            <w:tcW w:w="974" w:type="dxa"/>
            <w:tcBorders>
              <w:tl2br w:val="nil"/>
              <w:tr2bl w:val="nil"/>
            </w:tcBorders>
            <w:shd w:val="clear" w:color="auto" w:fill="auto"/>
            <w:vAlign w:val="center"/>
          </w:tcPr>
          <w:p w14:paraId="21136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14:paraId="017C4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06" w:type="dxa"/>
            <w:tcBorders>
              <w:tl2br w:val="nil"/>
              <w:tr2bl w:val="nil"/>
            </w:tcBorders>
            <w:shd w:val="clear" w:color="auto" w:fill="auto"/>
            <w:vAlign w:val="center"/>
          </w:tcPr>
          <w:p w14:paraId="7149E5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eastAsia" w:ascii="Times New Roman" w:hAnsi="Times New Roman" w:eastAsia="宋体" w:cs="Times New Roman"/>
                <w:i w:val="0"/>
                <w:iCs w:val="0"/>
                <w:color w:val="auto"/>
                <w:sz w:val="18"/>
                <w:szCs w:val="18"/>
                <w:highlight w:val="none"/>
                <w:lang w:val="en-US" w:eastAsia="zh-CN" w:bidi="ar"/>
              </w:rPr>
              <w:t>4</w:t>
            </w:r>
          </w:p>
        </w:tc>
        <w:tc>
          <w:tcPr>
            <w:tcW w:w="2672" w:type="dxa"/>
            <w:tcBorders>
              <w:tl2br w:val="nil"/>
              <w:tr2bl w:val="nil"/>
            </w:tcBorders>
            <w:shd w:val="clear" w:color="auto" w:fill="auto"/>
            <w:vAlign w:val="center"/>
          </w:tcPr>
          <w:p w14:paraId="17F2C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伍学军猪养殖场</w:t>
            </w:r>
          </w:p>
        </w:tc>
        <w:tc>
          <w:tcPr>
            <w:tcW w:w="2417" w:type="dxa"/>
            <w:tcBorders>
              <w:tl2br w:val="nil"/>
              <w:tr2bl w:val="nil"/>
            </w:tcBorders>
            <w:shd w:val="clear" w:color="auto" w:fill="auto"/>
            <w:vAlign w:val="center"/>
          </w:tcPr>
          <w:p w14:paraId="77D5CC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石耶镇大溪村伍家院组</w:t>
            </w:r>
          </w:p>
        </w:tc>
        <w:tc>
          <w:tcPr>
            <w:tcW w:w="998" w:type="dxa"/>
            <w:tcBorders>
              <w:tl2br w:val="nil"/>
              <w:tr2bl w:val="nil"/>
            </w:tcBorders>
            <w:shd w:val="clear" w:color="auto" w:fill="auto"/>
            <w:vAlign w:val="center"/>
          </w:tcPr>
          <w:p w14:paraId="74A87F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79B688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150</w:t>
            </w:r>
          </w:p>
        </w:tc>
        <w:tc>
          <w:tcPr>
            <w:tcW w:w="974" w:type="dxa"/>
            <w:tcBorders>
              <w:tl2br w:val="nil"/>
              <w:tr2bl w:val="nil"/>
            </w:tcBorders>
            <w:shd w:val="clear" w:color="auto" w:fill="auto"/>
            <w:vAlign w:val="center"/>
          </w:tcPr>
          <w:p w14:paraId="2B7D2C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bl>
    <w:p w14:paraId="60B16211">
      <w:pPr>
        <w:pStyle w:val="56"/>
        <w:bidi w:val="0"/>
        <w:rPr>
          <w:rFonts w:hint="eastAsia"/>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2.1-4  石耶镇2018~2020年</w:t>
      </w:r>
      <w:r>
        <w:rPr>
          <w:rFonts w:hint="default"/>
          <w:color w:val="auto"/>
          <w:highlight w:val="none"/>
          <w:lang w:val="en-US" w:eastAsia="zh-CN"/>
        </w:rPr>
        <w:t>畜禽养殖禁养区关闭搬迁</w:t>
      </w:r>
      <w:r>
        <w:rPr>
          <w:rFonts w:hint="eastAsia"/>
          <w:color w:val="auto"/>
          <w:highlight w:val="none"/>
          <w:lang w:val="en-US" w:eastAsia="zh-CN"/>
        </w:rPr>
        <w:t>完成</w:t>
      </w:r>
      <w:r>
        <w:rPr>
          <w:rFonts w:hint="default"/>
          <w:color w:val="auto"/>
          <w:highlight w:val="none"/>
          <w:lang w:val="en-US" w:eastAsia="zh-CN"/>
        </w:rPr>
        <w:t>清单</w:t>
      </w:r>
    </w:p>
    <w:tbl>
      <w:tblPr>
        <w:tblStyle w:val="23"/>
        <w:tblW w:w="852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43"/>
        <w:gridCol w:w="2237"/>
        <w:gridCol w:w="2762"/>
        <w:gridCol w:w="1051"/>
        <w:gridCol w:w="856"/>
        <w:gridCol w:w="974"/>
      </w:tblGrid>
      <w:tr w14:paraId="5276C1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14:paraId="4419CF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序号</w:t>
            </w:r>
          </w:p>
        </w:tc>
        <w:tc>
          <w:tcPr>
            <w:tcW w:w="2237" w:type="dxa"/>
            <w:tcBorders>
              <w:tl2br w:val="nil"/>
              <w:tr2bl w:val="nil"/>
            </w:tcBorders>
            <w:shd w:val="clear" w:color="auto" w:fill="auto"/>
            <w:vAlign w:val="center"/>
          </w:tcPr>
          <w:p w14:paraId="7573C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养殖场户名称</w:t>
            </w:r>
          </w:p>
        </w:tc>
        <w:tc>
          <w:tcPr>
            <w:tcW w:w="2762" w:type="dxa"/>
            <w:tcBorders>
              <w:tl2br w:val="nil"/>
              <w:tr2bl w:val="nil"/>
            </w:tcBorders>
            <w:shd w:val="clear" w:color="auto" w:fill="auto"/>
            <w:vAlign w:val="center"/>
          </w:tcPr>
          <w:p w14:paraId="661639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详细地址</w:t>
            </w:r>
          </w:p>
        </w:tc>
        <w:tc>
          <w:tcPr>
            <w:tcW w:w="1051" w:type="dxa"/>
            <w:tcBorders>
              <w:tl2br w:val="nil"/>
              <w:tr2bl w:val="nil"/>
            </w:tcBorders>
            <w:shd w:val="clear" w:color="auto" w:fill="auto"/>
            <w:vAlign w:val="center"/>
          </w:tcPr>
          <w:p w14:paraId="44D191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养殖种类</w:t>
            </w:r>
          </w:p>
        </w:tc>
        <w:tc>
          <w:tcPr>
            <w:tcW w:w="856" w:type="dxa"/>
            <w:tcBorders>
              <w:tl2br w:val="nil"/>
              <w:tr2bl w:val="nil"/>
            </w:tcBorders>
            <w:shd w:val="clear" w:color="auto" w:fill="auto"/>
            <w:vAlign w:val="center"/>
          </w:tcPr>
          <w:p w14:paraId="67D8AF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养殖量</w:t>
            </w:r>
          </w:p>
        </w:tc>
        <w:tc>
          <w:tcPr>
            <w:tcW w:w="974" w:type="dxa"/>
            <w:tcBorders>
              <w:tl2br w:val="nil"/>
              <w:tr2bl w:val="nil"/>
            </w:tcBorders>
            <w:shd w:val="clear" w:color="auto" w:fill="auto"/>
            <w:vAlign w:val="center"/>
          </w:tcPr>
          <w:p w14:paraId="7BC557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Style w:val="81"/>
                <w:rFonts w:hint="default" w:ascii="Times New Roman" w:hAnsi="Times New Roman" w:eastAsia="宋体" w:cs="Times New Roman"/>
                <w:i w:val="0"/>
                <w:iCs w:val="0"/>
                <w:color w:val="auto"/>
                <w:sz w:val="18"/>
                <w:szCs w:val="18"/>
                <w:highlight w:val="none"/>
                <w:lang w:val="en-US" w:eastAsia="zh-CN" w:bidi="ar"/>
              </w:rPr>
            </w:pPr>
            <w:r>
              <w:rPr>
                <w:rStyle w:val="81"/>
                <w:rFonts w:hint="default" w:ascii="Times New Roman" w:hAnsi="Times New Roman" w:eastAsia="宋体" w:cs="Times New Roman"/>
                <w:i w:val="0"/>
                <w:iCs w:val="0"/>
                <w:color w:val="auto"/>
                <w:sz w:val="18"/>
                <w:szCs w:val="18"/>
                <w:highlight w:val="none"/>
                <w:lang w:val="en-US" w:eastAsia="zh-CN" w:bidi="ar"/>
              </w:rPr>
              <w:t>是否验收</w:t>
            </w:r>
          </w:p>
        </w:tc>
      </w:tr>
      <w:tr w14:paraId="4B16F1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14:paraId="49B81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18"/>
                <w:szCs w:val="18"/>
                <w:highlight w:val="none"/>
                <w:u w:val="none"/>
                <w:lang w:val="en-US" w:eastAsia="zh-CN" w:bidi="ar"/>
              </w:rPr>
            </w:pPr>
            <w:r>
              <w:rPr>
                <w:rStyle w:val="81"/>
                <w:rFonts w:hint="eastAsia" w:eastAsia="宋体" w:cs="Times New Roman"/>
                <w:i w:val="0"/>
                <w:iCs w:val="0"/>
                <w:color w:val="auto"/>
                <w:sz w:val="18"/>
                <w:szCs w:val="18"/>
                <w:highlight w:val="none"/>
                <w:lang w:val="en-US" w:eastAsia="zh-CN" w:bidi="ar"/>
              </w:rPr>
              <w:t>1</w:t>
            </w:r>
          </w:p>
        </w:tc>
        <w:tc>
          <w:tcPr>
            <w:tcW w:w="2237" w:type="dxa"/>
            <w:tcBorders>
              <w:tl2br w:val="nil"/>
              <w:tr2bl w:val="nil"/>
            </w:tcBorders>
            <w:shd w:val="clear" w:color="auto" w:fill="auto"/>
            <w:vAlign w:val="center"/>
          </w:tcPr>
          <w:p w14:paraId="00737B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冯万军生猪养殖场</w:t>
            </w:r>
          </w:p>
        </w:tc>
        <w:tc>
          <w:tcPr>
            <w:tcW w:w="2762" w:type="dxa"/>
            <w:tcBorders>
              <w:tl2br w:val="nil"/>
              <w:tr2bl w:val="nil"/>
            </w:tcBorders>
            <w:shd w:val="clear" w:color="auto" w:fill="auto"/>
            <w:vAlign w:val="center"/>
          </w:tcPr>
          <w:p w14:paraId="36850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石耶鱼梁村平东组</w:t>
            </w:r>
          </w:p>
        </w:tc>
        <w:tc>
          <w:tcPr>
            <w:tcW w:w="1051" w:type="dxa"/>
            <w:tcBorders>
              <w:tl2br w:val="nil"/>
              <w:tr2bl w:val="nil"/>
            </w:tcBorders>
            <w:shd w:val="clear" w:color="auto" w:fill="auto"/>
            <w:vAlign w:val="center"/>
          </w:tcPr>
          <w:p w14:paraId="667936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7D998A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160</w:t>
            </w:r>
          </w:p>
        </w:tc>
        <w:tc>
          <w:tcPr>
            <w:tcW w:w="974" w:type="dxa"/>
            <w:tcBorders>
              <w:tl2br w:val="nil"/>
              <w:tr2bl w:val="nil"/>
            </w:tcBorders>
            <w:shd w:val="clear" w:color="auto" w:fill="auto"/>
            <w:vAlign w:val="center"/>
          </w:tcPr>
          <w:p w14:paraId="7D06C2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r w14:paraId="5BB36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43" w:type="dxa"/>
            <w:tcBorders>
              <w:tl2br w:val="nil"/>
              <w:tr2bl w:val="nil"/>
            </w:tcBorders>
            <w:shd w:val="clear" w:color="auto" w:fill="auto"/>
            <w:vAlign w:val="center"/>
          </w:tcPr>
          <w:p w14:paraId="3F54C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Style w:val="81"/>
                <w:rFonts w:hint="default" w:eastAsia="宋体" w:cs="Times New Roman"/>
                <w:i w:val="0"/>
                <w:iCs w:val="0"/>
                <w:color w:val="auto"/>
                <w:sz w:val="18"/>
                <w:szCs w:val="18"/>
                <w:highlight w:val="none"/>
                <w:lang w:val="en-US" w:eastAsia="zh-CN" w:bidi="ar"/>
              </w:rPr>
            </w:pPr>
            <w:r>
              <w:rPr>
                <w:rStyle w:val="81"/>
                <w:rFonts w:hint="eastAsia" w:eastAsia="宋体" w:cs="Times New Roman"/>
                <w:i w:val="0"/>
                <w:iCs w:val="0"/>
                <w:color w:val="auto"/>
                <w:sz w:val="18"/>
                <w:szCs w:val="18"/>
                <w:highlight w:val="none"/>
                <w:lang w:val="en-US" w:eastAsia="zh-CN" w:bidi="ar"/>
              </w:rPr>
              <w:t>2</w:t>
            </w:r>
          </w:p>
        </w:tc>
        <w:tc>
          <w:tcPr>
            <w:tcW w:w="2237" w:type="dxa"/>
            <w:tcBorders>
              <w:tl2br w:val="nil"/>
              <w:tr2bl w:val="nil"/>
            </w:tcBorders>
            <w:shd w:val="clear" w:color="auto" w:fill="auto"/>
            <w:vAlign w:val="center"/>
          </w:tcPr>
          <w:p w14:paraId="6BE549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曹浪生猪养殖场</w:t>
            </w:r>
          </w:p>
        </w:tc>
        <w:tc>
          <w:tcPr>
            <w:tcW w:w="2762" w:type="dxa"/>
            <w:tcBorders>
              <w:tl2br w:val="nil"/>
              <w:tr2bl w:val="nil"/>
            </w:tcBorders>
            <w:shd w:val="clear" w:color="auto" w:fill="auto"/>
            <w:vAlign w:val="center"/>
          </w:tcPr>
          <w:p w14:paraId="7C632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石耶平邑村曹家院组</w:t>
            </w:r>
          </w:p>
        </w:tc>
        <w:tc>
          <w:tcPr>
            <w:tcW w:w="1051" w:type="dxa"/>
            <w:tcBorders>
              <w:tl2br w:val="nil"/>
              <w:tr2bl w:val="nil"/>
            </w:tcBorders>
            <w:shd w:val="clear" w:color="auto" w:fill="auto"/>
            <w:vAlign w:val="center"/>
          </w:tcPr>
          <w:p w14:paraId="5916A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猪</w:t>
            </w:r>
          </w:p>
        </w:tc>
        <w:tc>
          <w:tcPr>
            <w:tcW w:w="856" w:type="dxa"/>
            <w:tcBorders>
              <w:tl2br w:val="nil"/>
              <w:tr2bl w:val="nil"/>
            </w:tcBorders>
            <w:shd w:val="clear" w:color="auto" w:fill="auto"/>
            <w:vAlign w:val="center"/>
          </w:tcPr>
          <w:p w14:paraId="05D78C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000000"/>
                <w:kern w:val="2"/>
                <w:sz w:val="18"/>
                <w:szCs w:val="18"/>
                <w:u w:val="none"/>
                <w:lang w:val="en-US" w:eastAsia="zh-CN" w:bidi="ar"/>
              </w:rPr>
            </w:pPr>
            <w:r>
              <w:rPr>
                <w:rStyle w:val="81"/>
                <w:rFonts w:hint="eastAsia" w:ascii="Times New Roman" w:hAnsi="Times New Roman" w:eastAsia="宋体" w:cs="Times New Roman"/>
                <w:i w:val="0"/>
                <w:iCs w:val="0"/>
                <w:color w:val="000000"/>
                <w:sz w:val="18"/>
                <w:szCs w:val="18"/>
                <w:lang w:val="en-US" w:eastAsia="zh-CN" w:bidi="ar"/>
              </w:rPr>
              <w:t>200</w:t>
            </w:r>
          </w:p>
        </w:tc>
        <w:tc>
          <w:tcPr>
            <w:tcW w:w="974" w:type="dxa"/>
            <w:tcBorders>
              <w:tl2br w:val="nil"/>
              <w:tr2bl w:val="nil"/>
            </w:tcBorders>
            <w:shd w:val="clear" w:color="auto" w:fill="auto"/>
            <w:vAlign w:val="center"/>
          </w:tcPr>
          <w:p w14:paraId="3BE8F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
              </w:rPr>
            </w:pPr>
            <w:r>
              <w:rPr>
                <w:rStyle w:val="81"/>
                <w:rFonts w:hint="default" w:ascii="Times New Roman" w:hAnsi="Times New Roman" w:eastAsia="宋体" w:cs="Times New Roman"/>
                <w:i w:val="0"/>
                <w:iCs w:val="0"/>
                <w:color w:val="000000"/>
                <w:sz w:val="18"/>
                <w:szCs w:val="18"/>
                <w:lang w:val="en-US" w:eastAsia="zh-CN" w:bidi="ar"/>
              </w:rPr>
              <w:t>是</w:t>
            </w:r>
          </w:p>
        </w:tc>
      </w:tr>
    </w:tbl>
    <w:p w14:paraId="7F905AF7">
      <w:pPr>
        <w:pStyle w:val="8"/>
        <w:bidi w:val="0"/>
        <w:rPr>
          <w:rFonts w:hint="default"/>
          <w:color w:val="auto"/>
          <w:highlight w:val="none"/>
          <w:lang w:val="en-US" w:eastAsia="zh-CN"/>
        </w:rPr>
      </w:pPr>
      <w:r>
        <w:rPr>
          <w:rFonts w:hint="eastAsia"/>
          <w:color w:val="auto"/>
          <w:highlight w:val="none"/>
          <w:lang w:val="en-US" w:eastAsia="zh-CN"/>
        </w:rPr>
        <w:t>农业面源污染防治</w:t>
      </w:r>
    </w:p>
    <w:p w14:paraId="2CA3E1F8">
      <w:pPr>
        <w:pStyle w:val="5"/>
        <w:bidi w:val="0"/>
        <w:rPr>
          <w:rFonts w:hint="eastAsia"/>
          <w:lang w:val="en-US" w:eastAsia="zh-CN"/>
        </w:rPr>
      </w:pPr>
      <w:r>
        <w:rPr>
          <w:rFonts w:hint="eastAsia"/>
          <w:lang w:val="en-US" w:eastAsia="zh-CN"/>
        </w:rPr>
        <w:t>石耶镇为减少化肥和农药使用量，实施化肥、农药零增长行动，初步建成科学施肥管理和技术体系、病虫害可持续治理技术体系，测土配方施肥普及率达到95%以上，水稻、玉米、蔬菜、枇杷等主要农作物化肥农药利用率达到40%以上，主要农作物病虫害绿色防控覆盖率达到30%以上，病虫害专业化统防统治覆盖率达到40%以上。</w:t>
      </w:r>
    </w:p>
    <w:p w14:paraId="102A55E0">
      <w:pPr>
        <w:pStyle w:val="27"/>
        <w:bidi w:val="0"/>
        <w:rPr>
          <w:rFonts w:hint="default"/>
          <w:color w:val="auto"/>
          <w:highlight w:val="none"/>
          <w:lang w:val="en-US" w:eastAsia="zh-CN"/>
        </w:rPr>
      </w:pPr>
      <w:r>
        <w:rPr>
          <w:rFonts w:hint="eastAsia"/>
          <w:color w:val="auto"/>
          <w:highlight w:val="none"/>
          <w:lang w:val="en-US" w:eastAsia="zh-CN"/>
        </w:rPr>
        <w:t>（1）化肥减量化</w:t>
      </w:r>
    </w:p>
    <w:p w14:paraId="3C119194">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一是大力开展化肥减量化技术宣传与技术培训</w:t>
      </w:r>
      <w:r>
        <w:rPr>
          <w:rFonts w:hint="eastAsia"/>
          <w:lang w:val="en-US" w:eastAsia="zh-CN"/>
        </w:rPr>
        <w:t>；</w:t>
      </w:r>
      <w:r>
        <w:rPr>
          <w:rFonts w:hint="default"/>
          <w:lang w:val="en-US" w:eastAsia="zh-CN"/>
        </w:rPr>
        <w:t>二是培肥地力，提高化肥利用率</w:t>
      </w:r>
      <w:r>
        <w:rPr>
          <w:rFonts w:hint="eastAsia"/>
          <w:lang w:val="en-US" w:eastAsia="zh-CN"/>
        </w:rPr>
        <w:t>；</w:t>
      </w:r>
      <w:r>
        <w:rPr>
          <w:rFonts w:hint="default"/>
          <w:lang w:val="en-US" w:eastAsia="zh-CN"/>
        </w:rPr>
        <w:t>三是大力推广测土配方施肥</w:t>
      </w:r>
      <w:r>
        <w:rPr>
          <w:rFonts w:hint="eastAsia"/>
          <w:lang w:val="en-US" w:eastAsia="zh-CN"/>
        </w:rPr>
        <w:t>；</w:t>
      </w:r>
      <w:r>
        <w:rPr>
          <w:rFonts w:hint="default"/>
          <w:lang w:val="en-US" w:eastAsia="zh-CN"/>
        </w:rPr>
        <w:t>四是实施有机肥替代部分化肥</w:t>
      </w:r>
      <w:r>
        <w:rPr>
          <w:rFonts w:hint="eastAsia"/>
          <w:lang w:val="en-US" w:eastAsia="zh-CN"/>
        </w:rPr>
        <w:t>；</w:t>
      </w:r>
      <w:r>
        <w:rPr>
          <w:rFonts w:hint="default"/>
          <w:lang w:val="en-US" w:eastAsia="zh-CN"/>
        </w:rPr>
        <w:t>五是大力开展农作物秸秆还田和绿肥压青</w:t>
      </w:r>
      <w:r>
        <w:rPr>
          <w:rFonts w:hint="eastAsia"/>
          <w:lang w:val="en-US" w:eastAsia="zh-CN"/>
        </w:rPr>
        <w:t>；</w:t>
      </w:r>
      <w:r>
        <w:rPr>
          <w:rFonts w:hint="default"/>
          <w:lang w:val="en-US" w:eastAsia="zh-CN"/>
        </w:rPr>
        <w:t>六是推广水肥一体化技术</w:t>
      </w:r>
      <w:r>
        <w:rPr>
          <w:rFonts w:hint="eastAsia"/>
          <w:lang w:val="en-US" w:eastAsia="zh-CN"/>
        </w:rPr>
        <w:t>；</w:t>
      </w:r>
      <w:r>
        <w:rPr>
          <w:rFonts w:hint="default"/>
          <w:lang w:val="en-US" w:eastAsia="zh-CN"/>
        </w:rPr>
        <w:t>七是调整种植结构，种植需肥少作物</w:t>
      </w:r>
      <w:r>
        <w:rPr>
          <w:rFonts w:hint="eastAsia"/>
          <w:lang w:val="en-US" w:eastAsia="zh-CN"/>
        </w:rPr>
        <w:t>；</w:t>
      </w:r>
      <w:r>
        <w:rPr>
          <w:rFonts w:hint="default"/>
          <w:lang w:val="en-US" w:eastAsia="zh-CN"/>
        </w:rPr>
        <w:t>八是种养结合，大力发展生态循环农业。</w:t>
      </w:r>
    </w:p>
    <w:p w14:paraId="156BF686">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）农药减量化</w:t>
      </w:r>
    </w:p>
    <w:p w14:paraId="3F610E08">
      <w:pPr>
        <w:pStyle w:val="5"/>
        <w:bidi w:val="0"/>
        <w:rPr>
          <w:rFonts w:hint="default"/>
          <w:lang w:val="en-US" w:eastAsia="zh-CN"/>
        </w:rPr>
      </w:pPr>
      <w:r>
        <w:rPr>
          <w:rFonts w:hint="default"/>
          <w:lang w:val="en-US" w:eastAsia="zh-CN"/>
        </w:rPr>
        <w:t>采取的减量化技术措施</w:t>
      </w:r>
      <w:r>
        <w:rPr>
          <w:rFonts w:hint="eastAsia"/>
          <w:lang w:val="en-US" w:eastAsia="zh-CN"/>
        </w:rPr>
        <w:t>：</w:t>
      </w:r>
      <w:r>
        <w:rPr>
          <w:rFonts w:hint="default"/>
          <w:lang w:val="en-US" w:eastAsia="zh-CN"/>
        </w:rPr>
        <w:t>一是出台禁止销售使用高毒高残留农药文件</w:t>
      </w:r>
      <w:r>
        <w:rPr>
          <w:rFonts w:hint="eastAsia"/>
          <w:lang w:val="en-US" w:eastAsia="zh-CN"/>
        </w:rPr>
        <w:t>；</w:t>
      </w:r>
      <w:r>
        <w:rPr>
          <w:rFonts w:hint="default"/>
          <w:lang w:val="en-US" w:eastAsia="zh-CN"/>
        </w:rPr>
        <w:t>二是提高病虫害预测预报准确率</w:t>
      </w:r>
      <w:r>
        <w:rPr>
          <w:rFonts w:hint="eastAsia"/>
          <w:lang w:val="en-US" w:eastAsia="zh-CN"/>
        </w:rPr>
        <w:t>；</w:t>
      </w:r>
      <w:r>
        <w:rPr>
          <w:rFonts w:hint="default"/>
          <w:lang w:val="en-US" w:eastAsia="zh-CN"/>
        </w:rPr>
        <w:t>三是推进农药科学安全使用技术的普及</w:t>
      </w:r>
      <w:r>
        <w:rPr>
          <w:rFonts w:hint="eastAsia"/>
          <w:lang w:val="en-US" w:eastAsia="zh-CN"/>
        </w:rPr>
        <w:t>；</w:t>
      </w:r>
      <w:r>
        <w:rPr>
          <w:rFonts w:hint="default"/>
          <w:lang w:val="en-US" w:eastAsia="zh-CN"/>
        </w:rPr>
        <w:t>四是推进病虫害绿色防控技术示范推广</w:t>
      </w:r>
      <w:r>
        <w:rPr>
          <w:rFonts w:hint="eastAsia"/>
          <w:lang w:val="en-US" w:eastAsia="zh-CN"/>
        </w:rPr>
        <w:t>；</w:t>
      </w:r>
      <w:r>
        <w:rPr>
          <w:rFonts w:hint="default"/>
          <w:lang w:val="en-US" w:eastAsia="zh-CN"/>
        </w:rPr>
        <w:t>五是大力开展病虫害专业化统防统治，实行</w:t>
      </w:r>
      <w:r>
        <w:rPr>
          <w:rFonts w:hint="eastAsia"/>
          <w:lang w:val="en-US" w:eastAsia="zh-CN"/>
        </w:rPr>
        <w:t>“</w:t>
      </w:r>
      <w:r>
        <w:rPr>
          <w:rFonts w:hint="default"/>
          <w:lang w:val="en-US" w:eastAsia="zh-CN"/>
        </w:rPr>
        <w:t>一枪药</w:t>
      </w:r>
      <w:r>
        <w:rPr>
          <w:rFonts w:hint="eastAsia"/>
          <w:lang w:val="en-US" w:eastAsia="zh-CN"/>
        </w:rPr>
        <w:t>”技术</w:t>
      </w:r>
      <w:r>
        <w:rPr>
          <w:rFonts w:hint="default"/>
          <w:lang w:val="en-US" w:eastAsia="zh-CN"/>
        </w:rPr>
        <w:t>，减少施药次数</w:t>
      </w:r>
      <w:r>
        <w:rPr>
          <w:rFonts w:hint="eastAsia"/>
          <w:lang w:val="en-US" w:eastAsia="zh-CN"/>
        </w:rPr>
        <w:t>；</w:t>
      </w:r>
      <w:r>
        <w:rPr>
          <w:rFonts w:hint="default"/>
          <w:lang w:val="en-US" w:eastAsia="zh-CN"/>
        </w:rPr>
        <w:t>六是推广高效施药器械，提高农药利用率</w:t>
      </w:r>
      <w:r>
        <w:rPr>
          <w:rFonts w:hint="eastAsia"/>
          <w:lang w:val="en-US" w:eastAsia="zh-CN"/>
        </w:rPr>
        <w:t>；</w:t>
      </w:r>
      <w:r>
        <w:rPr>
          <w:rFonts w:hint="default"/>
          <w:lang w:val="en-US" w:eastAsia="zh-CN"/>
        </w:rPr>
        <w:t>七是大力推广高效安全低残留低用量农药，减少农药使用量。</w:t>
      </w:r>
    </w:p>
    <w:p w14:paraId="4616AD32">
      <w:pPr>
        <w:pStyle w:val="8"/>
        <w:bidi w:val="0"/>
        <w:rPr>
          <w:rFonts w:hint="eastAsia"/>
          <w:color w:val="auto"/>
          <w:highlight w:val="none"/>
          <w:lang w:val="en-US" w:eastAsia="zh-CN"/>
        </w:rPr>
      </w:pPr>
      <w:r>
        <w:rPr>
          <w:rFonts w:hint="eastAsia"/>
          <w:color w:val="auto"/>
          <w:highlight w:val="none"/>
          <w:lang w:val="en-US" w:eastAsia="zh-CN"/>
        </w:rPr>
        <w:t>水产养殖污染防治</w:t>
      </w:r>
    </w:p>
    <w:p w14:paraId="0F6A48F1">
      <w:pPr>
        <w:pStyle w:val="5"/>
        <w:bidi w:val="0"/>
        <w:rPr>
          <w:rFonts w:hint="default"/>
          <w:lang w:val="en-US" w:eastAsia="zh-CN"/>
        </w:rPr>
      </w:pPr>
      <w:r>
        <w:rPr>
          <w:rFonts w:hint="eastAsia"/>
          <w:lang w:val="en-US" w:eastAsia="zh-CN"/>
        </w:rPr>
        <w:t>石耶镇通过水产养殖专项治理行动，规范、治理全县水产养殖活动，实现渔业水域无公害、健康、生态养殖。水库水质达到GB11607-89国家标准，符合无公害食品淡水养殖用水水质（NY5051—2001）要求，养殖废水水质符合SCT9101-2007淡水池塘养殖水排放要求。</w:t>
      </w:r>
    </w:p>
    <w:p w14:paraId="7CEFB1B8">
      <w:pPr>
        <w:pStyle w:val="5"/>
        <w:bidi w:val="0"/>
        <w:rPr>
          <w:rFonts w:hint="eastAsia"/>
          <w:color w:val="auto"/>
          <w:highlight w:val="none"/>
          <w:lang w:val="en-US" w:eastAsia="zh-CN"/>
        </w:rPr>
      </w:pPr>
      <w:r>
        <w:rPr>
          <w:rFonts w:hint="eastAsia"/>
          <w:lang w:val="en-US" w:eastAsia="zh-CN"/>
        </w:rPr>
        <w:t>石耶镇全面取缔肥水养殖、网箱养殖，实施生态养殖，推广稻鱼同田、藕鱼混养、鱼菜共生等生态养殖技术，加强水产养殖的尾水治理，确保达标排放，有效防止了养殖污染。</w:t>
      </w:r>
    </w:p>
    <w:p w14:paraId="727E6564">
      <w:pPr>
        <w:pStyle w:val="8"/>
        <w:bidi w:val="0"/>
        <w:rPr>
          <w:rFonts w:hint="default"/>
          <w:color w:val="auto"/>
          <w:highlight w:val="none"/>
          <w:lang w:val="en-US" w:eastAsia="zh-CN"/>
        </w:rPr>
      </w:pPr>
      <w:r>
        <w:rPr>
          <w:rFonts w:hint="default"/>
          <w:color w:val="auto"/>
          <w:highlight w:val="none"/>
          <w:lang w:val="en-US" w:eastAsia="zh-CN"/>
        </w:rPr>
        <w:t>农村人居环境整治</w:t>
      </w:r>
    </w:p>
    <w:p w14:paraId="7A0841FC">
      <w:pPr>
        <w:pStyle w:val="5"/>
        <w:bidi w:val="0"/>
        <w:rPr>
          <w:rFonts w:hint="eastAsia"/>
          <w:color w:val="auto"/>
          <w:lang w:val="en-US" w:eastAsia="zh-CN"/>
        </w:rPr>
      </w:pPr>
      <w:r>
        <w:rPr>
          <w:rFonts w:hint="eastAsia"/>
          <w:lang w:val="en-US" w:eastAsia="zh-CN"/>
        </w:rPr>
        <w:t>石耶镇“一河一策”实施以来，</w:t>
      </w:r>
      <w:r>
        <w:rPr>
          <w:rFonts w:hint="default"/>
          <w:lang w:val="en-US" w:eastAsia="zh-CN"/>
        </w:rPr>
        <w:t>改造无害化卫生厕所</w:t>
      </w:r>
      <w:r>
        <w:rPr>
          <w:rFonts w:hint="eastAsia"/>
          <w:lang w:val="en-US" w:eastAsia="zh-CN"/>
        </w:rPr>
        <w:t>204</w:t>
      </w:r>
      <w:r>
        <w:rPr>
          <w:rFonts w:hint="default"/>
          <w:lang w:val="en-US" w:eastAsia="zh-CN"/>
        </w:rPr>
        <w:t>户</w:t>
      </w:r>
      <w:r>
        <w:rPr>
          <w:rFonts w:hint="eastAsia"/>
          <w:lang w:val="en-US" w:eastAsia="zh-CN"/>
        </w:rPr>
        <w:t>，农村农户改厕任务完成率为100%</w:t>
      </w:r>
      <w:r>
        <w:rPr>
          <w:rFonts w:hint="eastAsia"/>
          <w:color w:val="auto"/>
          <w:lang w:val="en-US" w:eastAsia="zh-CN"/>
        </w:rPr>
        <w:t>。</w:t>
      </w:r>
    </w:p>
    <w:p w14:paraId="087E54D5">
      <w:pPr>
        <w:pStyle w:val="27"/>
        <w:bidi w:val="0"/>
        <w:jc w:val="center"/>
        <w:rPr>
          <w:rFonts w:hint="default"/>
          <w:lang w:val="en-US" w:eastAsia="zh-CN"/>
        </w:rPr>
      </w:pPr>
      <w:r>
        <w:rPr>
          <w:rFonts w:hint="default"/>
          <w:lang w:val="en-US" w:eastAsia="zh-CN"/>
        </w:rPr>
        <w:t>表</w:t>
      </w:r>
      <w:r>
        <w:rPr>
          <w:rFonts w:hint="eastAsia"/>
          <w:lang w:val="en-US" w:eastAsia="zh-CN"/>
        </w:rPr>
        <w:t>2.1-5  石耶镇2018~2020年</w:t>
      </w:r>
      <w:r>
        <w:rPr>
          <w:rFonts w:hint="default"/>
          <w:lang w:val="en-US" w:eastAsia="zh-CN"/>
        </w:rPr>
        <w:t>农村农户改厕任务完成清单</w:t>
      </w:r>
    </w:p>
    <w:tbl>
      <w:tblPr>
        <w:tblStyle w:val="23"/>
        <w:tblW w:w="851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16"/>
        <w:gridCol w:w="1577"/>
        <w:gridCol w:w="1507"/>
        <w:gridCol w:w="1570"/>
        <w:gridCol w:w="1394"/>
        <w:gridCol w:w="1355"/>
      </w:tblGrid>
      <w:tr w14:paraId="7F34CF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116" w:type="dxa"/>
            <w:tcBorders>
              <w:tl2br w:val="nil"/>
              <w:tr2bl w:val="nil"/>
            </w:tcBorders>
            <w:shd w:val="clear" w:color="auto" w:fill="auto"/>
            <w:vAlign w:val="center"/>
          </w:tcPr>
          <w:p w14:paraId="62DDDC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乡镇</w:t>
            </w:r>
          </w:p>
        </w:tc>
        <w:tc>
          <w:tcPr>
            <w:tcW w:w="1577" w:type="dxa"/>
            <w:tcBorders>
              <w:tl2br w:val="nil"/>
              <w:tr2bl w:val="nil"/>
            </w:tcBorders>
            <w:shd w:val="clear" w:color="auto" w:fill="auto"/>
            <w:vAlign w:val="center"/>
          </w:tcPr>
          <w:p w14:paraId="0328DA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2018年完成数</w:t>
            </w:r>
          </w:p>
        </w:tc>
        <w:tc>
          <w:tcPr>
            <w:tcW w:w="1507" w:type="dxa"/>
            <w:tcBorders>
              <w:tl2br w:val="nil"/>
              <w:tr2bl w:val="nil"/>
            </w:tcBorders>
            <w:shd w:val="clear" w:color="auto" w:fill="auto"/>
            <w:vAlign w:val="center"/>
          </w:tcPr>
          <w:p w14:paraId="182B5A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2019年完成数</w:t>
            </w:r>
          </w:p>
        </w:tc>
        <w:tc>
          <w:tcPr>
            <w:tcW w:w="1570" w:type="dxa"/>
            <w:tcBorders>
              <w:tl2br w:val="nil"/>
              <w:tr2bl w:val="nil"/>
            </w:tcBorders>
            <w:shd w:val="clear" w:color="auto" w:fill="auto"/>
            <w:vAlign w:val="center"/>
          </w:tcPr>
          <w:p w14:paraId="493DEE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2020年完成数</w:t>
            </w:r>
          </w:p>
        </w:tc>
        <w:tc>
          <w:tcPr>
            <w:tcW w:w="1394" w:type="dxa"/>
            <w:tcBorders>
              <w:tl2br w:val="nil"/>
              <w:tr2bl w:val="nil"/>
            </w:tcBorders>
            <w:shd w:val="clear" w:color="auto" w:fill="auto"/>
            <w:vAlign w:val="center"/>
          </w:tcPr>
          <w:p w14:paraId="528EC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三年完成数</w:t>
            </w:r>
          </w:p>
        </w:tc>
        <w:tc>
          <w:tcPr>
            <w:tcW w:w="1355" w:type="dxa"/>
            <w:tcBorders>
              <w:tl2br w:val="nil"/>
              <w:tr2bl w:val="nil"/>
            </w:tcBorders>
            <w:shd w:val="clear" w:color="auto" w:fill="auto"/>
            <w:vAlign w:val="center"/>
          </w:tcPr>
          <w:p w14:paraId="1C08F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完成率</w:t>
            </w:r>
          </w:p>
        </w:tc>
      </w:tr>
      <w:tr w14:paraId="6E59E1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16" w:type="dxa"/>
            <w:tcBorders>
              <w:tl2br w:val="nil"/>
              <w:tr2bl w:val="nil"/>
            </w:tcBorders>
            <w:shd w:val="clear" w:color="auto" w:fill="auto"/>
            <w:vAlign w:val="center"/>
          </w:tcPr>
          <w:p w14:paraId="437B6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石耶镇</w:t>
            </w:r>
          </w:p>
        </w:tc>
        <w:tc>
          <w:tcPr>
            <w:tcW w:w="1577" w:type="dxa"/>
            <w:tcBorders>
              <w:tl2br w:val="nil"/>
              <w:tr2bl w:val="nil"/>
            </w:tcBorders>
            <w:shd w:val="clear" w:color="auto" w:fill="auto"/>
            <w:vAlign w:val="center"/>
          </w:tcPr>
          <w:p w14:paraId="255F8F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197</w:t>
            </w:r>
          </w:p>
        </w:tc>
        <w:tc>
          <w:tcPr>
            <w:tcW w:w="1507" w:type="dxa"/>
            <w:tcBorders>
              <w:tl2br w:val="nil"/>
              <w:tr2bl w:val="nil"/>
            </w:tcBorders>
            <w:shd w:val="clear" w:color="auto" w:fill="auto"/>
            <w:vAlign w:val="center"/>
          </w:tcPr>
          <w:p w14:paraId="5AA2CA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570" w:type="dxa"/>
            <w:tcBorders>
              <w:tl2br w:val="nil"/>
              <w:tr2bl w:val="nil"/>
            </w:tcBorders>
            <w:shd w:val="clear" w:color="auto" w:fill="auto"/>
            <w:vAlign w:val="center"/>
          </w:tcPr>
          <w:p w14:paraId="196FDB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394" w:type="dxa"/>
            <w:tcBorders>
              <w:tl2br w:val="nil"/>
              <w:tr2bl w:val="nil"/>
            </w:tcBorders>
            <w:shd w:val="clear" w:color="auto" w:fill="auto"/>
            <w:vAlign w:val="center"/>
          </w:tcPr>
          <w:p w14:paraId="1DE2D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204</w:t>
            </w:r>
          </w:p>
        </w:tc>
        <w:tc>
          <w:tcPr>
            <w:tcW w:w="1355" w:type="dxa"/>
            <w:tcBorders>
              <w:tl2br w:val="nil"/>
              <w:tr2bl w:val="nil"/>
            </w:tcBorders>
            <w:shd w:val="clear" w:color="auto" w:fill="auto"/>
            <w:vAlign w:val="center"/>
          </w:tcPr>
          <w:p w14:paraId="628BC8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bl>
    <w:p w14:paraId="7FF3BF2C">
      <w:pPr>
        <w:pStyle w:val="7"/>
        <w:bidi w:val="0"/>
        <w:rPr>
          <w:rFonts w:hint="default"/>
          <w:color w:val="auto"/>
          <w:highlight w:val="none"/>
          <w:lang w:val="en-US" w:eastAsia="zh-CN"/>
        </w:rPr>
      </w:pPr>
      <w:r>
        <w:rPr>
          <w:rFonts w:hint="default"/>
          <w:color w:val="auto"/>
          <w:highlight w:val="none"/>
          <w:lang w:val="en-US" w:eastAsia="zh-CN"/>
        </w:rPr>
        <w:t>水环境治理实施成效</w:t>
      </w:r>
    </w:p>
    <w:p w14:paraId="1A811B6D">
      <w:pPr>
        <w:pStyle w:val="5"/>
        <w:bidi w:val="0"/>
        <w:rPr>
          <w:rFonts w:hint="default"/>
          <w:lang w:val="en-US" w:eastAsia="zh-CN"/>
        </w:rPr>
      </w:pPr>
      <w:r>
        <w:rPr>
          <w:rFonts w:hint="default"/>
          <w:lang w:val="en-US" w:eastAsia="zh-CN"/>
        </w:rPr>
        <w:t>2018至2020年，</w:t>
      </w:r>
      <w:r>
        <w:rPr>
          <w:rFonts w:hint="eastAsia"/>
          <w:lang w:val="en-US" w:eastAsia="zh-CN"/>
        </w:rPr>
        <w:t>石耶镇</w:t>
      </w:r>
      <w:r>
        <w:rPr>
          <w:rFonts w:hint="default"/>
          <w:lang w:val="en-US" w:eastAsia="zh-CN"/>
        </w:rPr>
        <w:t>在水环境治理方面取得了较为显著的成效。水质保障方面，</w:t>
      </w:r>
      <w:r>
        <w:rPr>
          <w:rFonts w:hint="eastAsia"/>
          <w:lang w:val="en-US" w:eastAsia="zh-CN"/>
        </w:rPr>
        <w:t>梅江河2020年</w:t>
      </w:r>
      <w:r>
        <w:rPr>
          <w:rFonts w:hint="default"/>
          <w:lang w:val="en-US" w:eastAsia="zh-CN"/>
        </w:rPr>
        <w:t>水质状况定性为优</w:t>
      </w:r>
      <w:r>
        <w:rPr>
          <w:rFonts w:hint="eastAsia"/>
          <w:lang w:val="en-US" w:eastAsia="zh-CN"/>
        </w:rPr>
        <w:t>。</w:t>
      </w:r>
      <w:r>
        <w:rPr>
          <w:rFonts w:hint="default"/>
          <w:lang w:val="en-US" w:eastAsia="zh-CN"/>
        </w:rPr>
        <w:t>河岸清漂方面，</w:t>
      </w:r>
      <w:r>
        <w:rPr>
          <w:rFonts w:hint="eastAsia"/>
          <w:lang w:val="en-US" w:eastAsia="zh-CN"/>
        </w:rPr>
        <w:t>石耶镇各河流</w:t>
      </w:r>
      <w:r>
        <w:rPr>
          <w:rFonts w:hint="default"/>
          <w:lang w:val="en-US" w:eastAsia="zh-CN"/>
        </w:rPr>
        <w:t>沿岸实现了垃圾清理全流域覆盖。</w:t>
      </w:r>
    </w:p>
    <w:p w14:paraId="0B5F1F8D">
      <w:pPr>
        <w:pStyle w:val="5"/>
        <w:bidi w:val="0"/>
        <w:rPr>
          <w:rFonts w:hint="eastAsia"/>
          <w:lang w:val="en-US" w:eastAsia="zh-CN"/>
        </w:rPr>
      </w:pPr>
      <w:r>
        <w:rPr>
          <w:rFonts w:hint="eastAsia"/>
          <w:lang w:val="en-US" w:eastAsia="zh-CN"/>
        </w:rPr>
        <w:t>石耶镇城镇生活垃圾管控整体情况较良好，仅存在零星沿河垃圾。辖区内城镇生活垃圾由镇政府定期收集，后经简易中转站运送至秀山县垃圾填埋场进行卫生填埋。</w:t>
      </w:r>
    </w:p>
    <w:p w14:paraId="7F0DD31E">
      <w:pPr>
        <w:pStyle w:val="7"/>
        <w:bidi w:val="0"/>
        <w:rPr>
          <w:rFonts w:hint="default"/>
          <w:color w:val="auto"/>
          <w:highlight w:val="none"/>
          <w:lang w:val="en-US" w:eastAsia="zh-CN"/>
        </w:rPr>
      </w:pPr>
      <w:r>
        <w:rPr>
          <w:rFonts w:hint="default"/>
          <w:color w:val="auto"/>
          <w:highlight w:val="none"/>
          <w:lang w:val="en-US" w:eastAsia="zh-CN"/>
        </w:rPr>
        <w:t>水生态修复实施成效</w:t>
      </w:r>
    </w:p>
    <w:p w14:paraId="4FAEC448">
      <w:pPr>
        <w:pStyle w:val="5"/>
        <w:bidi w:val="0"/>
        <w:rPr>
          <w:rFonts w:hint="default"/>
          <w:lang w:val="en-US" w:eastAsia="zh-CN"/>
        </w:rPr>
      </w:pPr>
      <w:r>
        <w:rPr>
          <w:rFonts w:hint="eastAsia"/>
          <w:lang w:val="en-US" w:eastAsia="zh-CN"/>
        </w:rPr>
        <w:t>石耶镇“一河一策”实施以来</w:t>
      </w:r>
      <w:r>
        <w:rPr>
          <w:rFonts w:hint="default"/>
          <w:lang w:val="en-US" w:eastAsia="zh-CN"/>
        </w:rPr>
        <w:t>，</w:t>
      </w:r>
      <w:r>
        <w:rPr>
          <w:rFonts w:hint="eastAsia"/>
          <w:lang w:val="en-US" w:eastAsia="zh-CN"/>
        </w:rPr>
        <w:t>严格河道生态流量下放管理，目前镇域内</w:t>
      </w:r>
      <w:r>
        <w:rPr>
          <w:rFonts w:hint="default"/>
          <w:lang w:val="en-US" w:eastAsia="zh-CN"/>
        </w:rPr>
        <w:t>水体连通性较好</w:t>
      </w:r>
      <w:r>
        <w:rPr>
          <w:rFonts w:hint="eastAsia"/>
          <w:lang w:val="en-US" w:eastAsia="zh-CN"/>
        </w:rPr>
        <w:t>，</w:t>
      </w:r>
      <w:r>
        <w:rPr>
          <w:rFonts w:hint="default"/>
          <w:lang w:val="en-US" w:eastAsia="zh-CN"/>
        </w:rPr>
        <w:t>水生植物生长情况较好，生态系统较为丰富。</w:t>
      </w:r>
    </w:p>
    <w:p w14:paraId="018ECCA8">
      <w:pPr>
        <w:pStyle w:val="7"/>
        <w:bidi w:val="0"/>
        <w:rPr>
          <w:rFonts w:hint="default"/>
          <w:color w:val="auto"/>
          <w:highlight w:val="none"/>
          <w:lang w:val="en-US" w:eastAsia="zh-CN"/>
        </w:rPr>
      </w:pPr>
      <w:r>
        <w:rPr>
          <w:rFonts w:hint="default"/>
          <w:color w:val="auto"/>
          <w:highlight w:val="none"/>
          <w:lang w:val="en-US" w:eastAsia="zh-CN"/>
        </w:rPr>
        <w:t>执法监管实施成效</w:t>
      </w:r>
    </w:p>
    <w:p w14:paraId="197B6F54">
      <w:pPr>
        <w:pStyle w:val="5"/>
        <w:bidi w:val="0"/>
        <w:rPr>
          <w:color w:val="auto"/>
          <w:highlight w:val="none"/>
        </w:rPr>
      </w:pPr>
      <w:r>
        <w:rPr>
          <w:rFonts w:hint="eastAsia"/>
          <w:lang w:val="en-US" w:eastAsia="zh-CN"/>
        </w:rPr>
        <w:t>石耶镇</w:t>
      </w:r>
      <w:r>
        <w:rPr>
          <w:rFonts w:hint="default"/>
          <w:lang w:val="en-US" w:eastAsia="zh-CN"/>
        </w:rPr>
        <w:t>积极加强河道日常巡查，严格执法监管，开展河道</w:t>
      </w:r>
      <w:r>
        <w:rPr>
          <w:rFonts w:hint="eastAsia"/>
          <w:lang w:val="en-US" w:eastAsia="zh-CN"/>
        </w:rPr>
        <w:t>“</w:t>
      </w:r>
      <w:r>
        <w:rPr>
          <w:rFonts w:hint="default"/>
          <w:lang w:val="en-US" w:eastAsia="zh-CN"/>
        </w:rPr>
        <w:t>清四乱</w:t>
      </w:r>
      <w:r>
        <w:rPr>
          <w:rFonts w:hint="eastAsia"/>
          <w:lang w:val="en-US" w:eastAsia="zh-CN"/>
        </w:rPr>
        <w:t>”</w:t>
      </w:r>
      <w:r>
        <w:rPr>
          <w:rFonts w:hint="default"/>
          <w:lang w:val="en-US" w:eastAsia="zh-CN"/>
        </w:rPr>
        <w:t>（乱占、乱采、乱堆、乱建）工作，经排查复核</w:t>
      </w:r>
      <w:r>
        <w:rPr>
          <w:rFonts w:hint="eastAsia"/>
          <w:lang w:val="en-US" w:eastAsia="zh-CN"/>
        </w:rPr>
        <w:t>镇域</w:t>
      </w:r>
      <w:r>
        <w:rPr>
          <w:rFonts w:hint="default"/>
          <w:lang w:val="en-US" w:eastAsia="zh-CN"/>
        </w:rPr>
        <w:t>无四乱问题，也无新增四乱问题。未接到水事违法行为案件</w:t>
      </w:r>
      <w:r>
        <w:rPr>
          <w:rFonts w:hint="eastAsia"/>
          <w:lang w:val="en-US" w:eastAsia="zh-CN"/>
        </w:rPr>
        <w:t>。</w:t>
      </w:r>
    </w:p>
    <w:p w14:paraId="618EE598">
      <w:pPr>
        <w:pStyle w:val="6"/>
        <w:bidi w:val="0"/>
        <w:ind w:left="0" w:leftChars="0" w:firstLine="0" w:firstLineChars="0"/>
        <w:rPr>
          <w:rFonts w:hint="eastAsia"/>
          <w:color w:val="auto"/>
          <w:highlight w:val="none"/>
          <w:lang w:val="en-US" w:eastAsia="zh-CN"/>
        </w:rPr>
      </w:pPr>
      <w:bookmarkStart w:id="25" w:name="_Toc16445"/>
      <w:bookmarkStart w:id="26" w:name="_Toc27417"/>
      <w:r>
        <w:rPr>
          <w:rFonts w:hint="eastAsia"/>
          <w:color w:val="auto"/>
          <w:highlight w:val="none"/>
          <w:lang w:val="en-US" w:eastAsia="zh-CN"/>
        </w:rPr>
        <w:t>上一周期存在问题及建议</w:t>
      </w:r>
      <w:bookmarkEnd w:id="25"/>
      <w:bookmarkEnd w:id="26"/>
    </w:p>
    <w:p w14:paraId="035F9198">
      <w:pPr>
        <w:pStyle w:val="5"/>
        <w:bidi w:val="0"/>
        <w:rPr>
          <w:rFonts w:hint="default"/>
          <w:lang w:val="en-US" w:eastAsia="zh-CN"/>
        </w:rPr>
      </w:pPr>
      <w:r>
        <w:rPr>
          <w:rFonts w:hint="default"/>
          <w:lang w:val="en-US" w:eastAsia="zh-CN"/>
        </w:rPr>
        <w:t>（</w:t>
      </w:r>
      <w:r>
        <w:rPr>
          <w:rFonts w:hint="eastAsia"/>
          <w:lang w:val="en-US" w:eastAsia="zh-CN"/>
        </w:rPr>
        <w:t>1</w:t>
      </w:r>
      <w:r>
        <w:rPr>
          <w:rFonts w:hint="default"/>
          <w:lang w:val="en-US" w:eastAsia="zh-CN"/>
        </w:rPr>
        <w:t>）水污染防治任务依旧艰巨。全面推行河长制以来，</w:t>
      </w:r>
      <w:r>
        <w:rPr>
          <w:rFonts w:hint="eastAsia"/>
          <w:lang w:val="en-US" w:eastAsia="zh-CN"/>
        </w:rPr>
        <w:t>石耶镇</w:t>
      </w:r>
      <w:r>
        <w:rPr>
          <w:rFonts w:hint="default"/>
          <w:lang w:val="en-US" w:eastAsia="zh-CN"/>
        </w:rPr>
        <w:t>大力开展水污染防治工作并取得了很好的成绩</w:t>
      </w:r>
      <w:r>
        <w:rPr>
          <w:rFonts w:hint="eastAsia"/>
          <w:lang w:val="en-US" w:eastAsia="zh-CN"/>
        </w:rPr>
        <w:t>，</w:t>
      </w:r>
      <w:r>
        <w:rPr>
          <w:rFonts w:hint="default"/>
          <w:lang w:val="en-US" w:eastAsia="zh-CN"/>
        </w:rPr>
        <w:t>全</w:t>
      </w:r>
      <w:r>
        <w:rPr>
          <w:rFonts w:hint="eastAsia"/>
          <w:lang w:val="en-US" w:eastAsia="zh-CN"/>
        </w:rPr>
        <w:t>镇</w:t>
      </w:r>
      <w:r>
        <w:rPr>
          <w:rFonts w:hint="default"/>
          <w:lang w:val="en-US" w:eastAsia="zh-CN"/>
        </w:rPr>
        <w:t>水环境质量不断改善，但由于自然条件限制和历史原因，仍存在生态基流小、基础设施短板还需继续补齐等薄弱问题，水污染防治工作任重道远。</w:t>
      </w:r>
    </w:p>
    <w:p w14:paraId="0D89C7A2">
      <w:pPr>
        <w:pStyle w:val="5"/>
        <w:bidi w:val="0"/>
        <w:rPr>
          <w:rFonts w:hint="eastAsia"/>
          <w:lang w:val="en-US" w:eastAsia="zh-CN"/>
        </w:rPr>
      </w:pPr>
      <w:r>
        <w:rPr>
          <w:rFonts w:hint="default"/>
          <w:lang w:val="en-US" w:eastAsia="zh-CN"/>
        </w:rPr>
        <w:t>（</w:t>
      </w:r>
      <w:r>
        <w:rPr>
          <w:rFonts w:hint="eastAsia"/>
          <w:lang w:val="en-US" w:eastAsia="zh-CN"/>
        </w:rPr>
        <w:t>2</w:t>
      </w:r>
      <w:r>
        <w:rPr>
          <w:rFonts w:hint="default"/>
          <w:lang w:val="en-US" w:eastAsia="zh-CN"/>
        </w:rPr>
        <w:t>）跨界河流联防联控亟待加强</w:t>
      </w:r>
      <w:r>
        <w:rPr>
          <w:rFonts w:hint="default"/>
          <w:color w:val="auto"/>
          <w:lang w:val="en-US" w:eastAsia="zh-CN"/>
        </w:rPr>
        <w:t>。</w:t>
      </w:r>
      <w:r>
        <w:rPr>
          <w:rFonts w:hint="eastAsia"/>
          <w:color w:val="auto"/>
          <w:lang w:val="en-US" w:eastAsia="zh-CN"/>
        </w:rPr>
        <w:t>梅江河干流除石耶镇外还</w:t>
      </w:r>
      <w:r>
        <w:rPr>
          <w:rFonts w:hint="default"/>
          <w:color w:val="auto"/>
          <w:lang w:val="en-US" w:eastAsia="zh-CN"/>
        </w:rPr>
        <w:t>涉及岑溪乡</w:t>
      </w:r>
      <w:r>
        <w:rPr>
          <w:rFonts w:hint="eastAsia"/>
          <w:color w:val="auto"/>
          <w:lang w:val="en-US" w:eastAsia="zh-CN"/>
        </w:rPr>
        <w:t>、平凯街道</w:t>
      </w:r>
      <w:r>
        <w:rPr>
          <w:rFonts w:hint="default"/>
          <w:lang w:val="en-US" w:eastAsia="zh-CN"/>
        </w:rPr>
        <w:t>，仍需进一步加强</w:t>
      </w:r>
      <w:r>
        <w:rPr>
          <w:rFonts w:hint="eastAsia"/>
          <w:lang w:val="en-US" w:eastAsia="zh-CN"/>
        </w:rPr>
        <w:t>其他</w:t>
      </w:r>
      <w:r>
        <w:rPr>
          <w:rFonts w:hint="default"/>
          <w:lang w:val="en-US" w:eastAsia="zh-CN"/>
        </w:rPr>
        <w:t>跨乡镇界河流联防联控工作，破解跨界河流管治难题，实现上下游共治、水上岸上同治</w:t>
      </w:r>
      <w:r>
        <w:rPr>
          <w:rFonts w:hint="eastAsia"/>
          <w:lang w:val="en-US" w:eastAsia="zh-CN"/>
        </w:rPr>
        <w:t>。</w:t>
      </w:r>
    </w:p>
    <w:p w14:paraId="151E8C96">
      <w:pPr>
        <w:pStyle w:val="5"/>
        <w:bidi w:val="0"/>
        <w:rPr>
          <w:rFonts w:hint="eastAsia"/>
          <w:color w:val="auto"/>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AndChars" w:linePitch="312" w:charSpace="0"/>
        </w:sectPr>
      </w:pPr>
    </w:p>
    <w:p w14:paraId="15FC4204">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27" w:name="_Toc10371"/>
      <w:bookmarkStart w:id="28" w:name="_Toc16610"/>
      <w:r>
        <w:rPr>
          <w:rFonts w:hint="eastAsia"/>
          <w:color w:val="auto"/>
          <w:highlight w:val="none"/>
        </w:rPr>
        <w:t>管理保护现状与存在问题</w:t>
      </w:r>
      <w:bookmarkEnd w:id="27"/>
      <w:bookmarkEnd w:id="28"/>
    </w:p>
    <w:p w14:paraId="37096652">
      <w:pPr>
        <w:pStyle w:val="6"/>
        <w:bidi w:val="0"/>
        <w:ind w:left="0" w:leftChars="0" w:firstLine="0" w:firstLineChars="0"/>
        <w:rPr>
          <w:rFonts w:hint="eastAsia"/>
          <w:color w:val="auto"/>
          <w:highlight w:val="none"/>
        </w:rPr>
      </w:pPr>
      <w:bookmarkStart w:id="29" w:name="_Toc28816"/>
      <w:bookmarkStart w:id="30" w:name="_Toc14161"/>
      <w:r>
        <w:rPr>
          <w:rFonts w:hint="eastAsia"/>
          <w:color w:val="auto"/>
          <w:highlight w:val="none"/>
        </w:rPr>
        <w:t>概况</w:t>
      </w:r>
      <w:bookmarkEnd w:id="29"/>
      <w:bookmarkEnd w:id="30"/>
    </w:p>
    <w:p w14:paraId="6C59352C">
      <w:pPr>
        <w:pStyle w:val="7"/>
        <w:bidi w:val="0"/>
        <w:ind w:left="0" w:leftChars="0" w:firstLine="0" w:firstLineChars="0"/>
        <w:rPr>
          <w:rFonts w:hint="eastAsia"/>
          <w:color w:val="auto"/>
          <w:highlight w:val="none"/>
        </w:rPr>
      </w:pPr>
      <w:bookmarkStart w:id="31" w:name="_Toc26682"/>
      <w:r>
        <w:rPr>
          <w:rFonts w:hint="eastAsia"/>
          <w:color w:val="auto"/>
          <w:highlight w:val="none"/>
        </w:rPr>
        <w:t>地理位置</w:t>
      </w:r>
      <w:bookmarkEnd w:id="31"/>
    </w:p>
    <w:p w14:paraId="609E4640">
      <w:pPr>
        <w:pStyle w:val="5"/>
        <w:rPr>
          <w:rFonts w:hint="eastAsia"/>
          <w:color w:val="auto"/>
          <w:highlight w:val="none"/>
        </w:rPr>
      </w:pPr>
      <w:r>
        <w:rPr>
          <w:rFonts w:hint="default"/>
          <w:color w:val="auto"/>
          <w:highlight w:val="none"/>
          <w:lang w:val="en-US" w:eastAsia="zh-CN"/>
        </w:rPr>
        <w:t>秀山</w:t>
      </w:r>
      <w:r>
        <w:rPr>
          <w:rFonts w:hint="eastAsia"/>
          <w:color w:val="auto"/>
          <w:highlight w:val="none"/>
          <w:lang w:val="en-US" w:eastAsia="zh-CN"/>
        </w:rPr>
        <w:t>土家族苗族自治</w:t>
      </w:r>
      <w:r>
        <w:rPr>
          <w:rFonts w:hint="default"/>
          <w:color w:val="auto"/>
          <w:highlight w:val="none"/>
          <w:lang w:val="en-US" w:eastAsia="zh-CN"/>
        </w:rPr>
        <w:t>县位于重庆市东南部，介于东经108°43′6″</w:t>
      </w:r>
      <w:r>
        <w:rPr>
          <w:rFonts w:hint="eastAsia"/>
          <w:color w:val="auto"/>
          <w:highlight w:val="none"/>
          <w:lang w:val="en-US" w:eastAsia="zh-CN"/>
        </w:rPr>
        <w:t>~</w:t>
      </w:r>
      <w:r>
        <w:rPr>
          <w:rFonts w:hint="default"/>
          <w:color w:val="auto"/>
          <w:highlight w:val="none"/>
          <w:lang w:val="en-US" w:eastAsia="zh-CN"/>
        </w:rPr>
        <w:t>109°18′58″、北纬28°9′43″</w:t>
      </w:r>
      <w:r>
        <w:rPr>
          <w:rFonts w:hint="eastAsia"/>
          <w:color w:val="auto"/>
          <w:highlight w:val="none"/>
          <w:lang w:val="en-US" w:eastAsia="zh-CN"/>
        </w:rPr>
        <w:t>~</w:t>
      </w:r>
      <w:r>
        <w:rPr>
          <w:rFonts w:hint="default"/>
          <w:color w:val="auto"/>
          <w:highlight w:val="none"/>
          <w:lang w:val="en-US" w:eastAsia="zh-CN"/>
        </w:rPr>
        <w:t>28°53′5″之间。东和东北与湖南省花垣、龙山、保靖县毗邻，南和东南、西部与贵州省松桃苗族自治县相连，北和西北与重庆市酉阳土家族苗族自治县接壤。幅员面积2462</w:t>
      </w:r>
      <w:r>
        <w:rPr>
          <w:rFonts w:hint="eastAsia"/>
          <w:color w:val="auto"/>
          <w:highlight w:val="none"/>
          <w:lang w:val="en-US" w:eastAsia="zh-CN"/>
        </w:rPr>
        <w:t>km</w:t>
      </w:r>
      <w:r>
        <w:rPr>
          <w:rFonts w:hint="eastAsia"/>
          <w:color w:val="auto"/>
          <w:highlight w:val="none"/>
          <w:vertAlign w:val="superscript"/>
          <w:lang w:val="en-US" w:eastAsia="zh-CN"/>
        </w:rPr>
        <w:t>2</w:t>
      </w:r>
      <w:r>
        <w:rPr>
          <w:rFonts w:hint="default"/>
          <w:color w:val="auto"/>
          <w:highlight w:val="none"/>
          <w:lang w:val="en-US" w:eastAsia="zh-CN"/>
        </w:rPr>
        <w:t>，边境线长320</w:t>
      </w:r>
      <w:r>
        <w:rPr>
          <w:rFonts w:hint="eastAsia"/>
          <w:color w:val="auto"/>
          <w:highlight w:val="none"/>
          <w:lang w:val="en-US" w:eastAsia="zh-CN"/>
        </w:rPr>
        <w:t>km</w:t>
      </w:r>
      <w:r>
        <w:rPr>
          <w:rFonts w:hint="eastAsia"/>
          <w:color w:val="auto"/>
          <w:highlight w:val="none"/>
        </w:rPr>
        <w:t xml:space="preserve">。 </w:t>
      </w:r>
    </w:p>
    <w:p w14:paraId="1C7A90C4">
      <w:pPr>
        <w:pStyle w:val="5"/>
        <w:ind w:left="0" w:leftChars="0" w:firstLine="0" w:firstLineChars="0"/>
        <w:rPr>
          <w:color w:val="auto"/>
          <w:highlight w:val="none"/>
        </w:rPr>
      </w:pPr>
      <w:r>
        <w:rPr>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4109085</wp:posOffset>
                </wp:positionH>
                <wp:positionV relativeFrom="paragraph">
                  <wp:posOffset>3314700</wp:posOffset>
                </wp:positionV>
                <wp:extent cx="723900" cy="279400"/>
                <wp:effectExtent l="93345" t="4445" r="20955" b="135255"/>
                <wp:wrapNone/>
                <wp:docPr id="179" name="矩形标注 179"/>
                <wp:cNvGraphicFramePr/>
                <a:graphic xmlns:a="http://schemas.openxmlformats.org/drawingml/2006/main">
                  <a:graphicData uri="http://schemas.microsoft.com/office/word/2010/wordprocessingShape">
                    <wps:wsp>
                      <wps:cNvSpPr/>
                      <wps:spPr>
                        <a:xfrm>
                          <a:off x="0" y="0"/>
                          <a:ext cx="723900" cy="279400"/>
                        </a:xfrm>
                        <a:prstGeom prst="wedgeRectCallout">
                          <a:avLst>
                            <a:gd name="adj1" fmla="val -62280"/>
                            <a:gd name="adj2" fmla="val 94545"/>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168030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23.55pt;margin-top:261pt;height:22pt;width:57pt;z-index:251661312;v-text-anchor:middle;mso-width-relative:page;mso-height-relative:page;" fillcolor="#FFFFFF [3201]" filled="t" stroked="t" coordsize="21600,21600" o:gfxdata="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dk6E7aAAAACwEAAA8AAAAAAAAAAQAgAAAAIgAAAGRycy9kb3ducmV2Lnht&#10;bFBLAQIUABQAAAAIAIdO4kCbv6nIogIAAE4FAAAOAAAAAAAAAAEAIAAAACkBAABkcnMvZTJvRG9j&#10;LnhtbFBLBQYAAAAABgAGAFkBAAA9BgAAAAA=&#10;" adj="-2652,31222">
                <v:fill on="t" focussize="0,0"/>
                <v:stroke weight="0.25pt" color="#000000 [3213]" joinstyle="round"/>
                <v:imagedata o:title=""/>
                <o:lock v:ext="edit" aspectratio="f"/>
                <v:textbox>
                  <w:txbxContent>
                    <w:p w14:paraId="1680306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1"/>
                          <w:szCs w:val="21"/>
                          <w:lang w:val="en-US" w:eastAsia="zh-CN"/>
                        </w:rPr>
                      </w:pPr>
                      <w:r>
                        <w:rPr>
                          <w:rFonts w:hint="eastAsia" w:ascii="华文中宋" w:hAnsi="华文中宋" w:eastAsia="华文中宋" w:cs="华文中宋"/>
                          <w:sz w:val="21"/>
                          <w:szCs w:val="21"/>
                          <w:lang w:val="en-US" w:eastAsia="zh-CN"/>
                        </w:rPr>
                        <w:t>秀山县</w:t>
                      </w:r>
                    </w:p>
                  </w:txbxContent>
                </v:textbox>
              </v:shape>
            </w:pict>
          </mc:Fallback>
        </mc:AlternateContent>
      </w:r>
      <w:r>
        <w:rPr>
          <w:rFonts w:hint="eastAsia" w:eastAsia="宋体"/>
          <w:color w:val="auto"/>
          <w:highlight w:val="none"/>
          <w:lang w:val="en-US" w:eastAsia="zh-CN"/>
        </w:rPr>
        <w:drawing>
          <wp:inline distT="0" distB="0" distL="114300" distR="114300">
            <wp:extent cx="5265420" cy="4352925"/>
            <wp:effectExtent l="0" t="0" r="11430" b="9525"/>
            <wp:docPr id="5" name="图片 5" descr="秀山土家族苗族自治县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秀山土家族苗族自治县区位"/>
                    <pic:cNvPicPr>
                      <a:picLocks noChangeAspect="1"/>
                    </pic:cNvPicPr>
                  </pic:nvPicPr>
                  <pic:blipFill>
                    <a:blip r:embed="rId10"/>
                    <a:stretch>
                      <a:fillRect/>
                    </a:stretch>
                  </pic:blipFill>
                  <pic:spPr>
                    <a:xfrm>
                      <a:off x="0" y="0"/>
                      <a:ext cx="5265420" cy="4352925"/>
                    </a:xfrm>
                    <a:prstGeom prst="rect">
                      <a:avLst/>
                    </a:prstGeom>
                  </pic:spPr>
                </pic:pic>
              </a:graphicData>
            </a:graphic>
          </wp:inline>
        </w:drawing>
      </w:r>
    </w:p>
    <w:p w14:paraId="42D7998D">
      <w:pPr>
        <w:pStyle w:val="31"/>
        <w:bidi w:val="0"/>
        <w:rPr>
          <w:rFonts w:hint="eastAsia"/>
          <w:color w:val="auto"/>
          <w:highlight w:val="none"/>
          <w:lang w:eastAsia="zh-CN"/>
        </w:rPr>
      </w:pPr>
      <w:r>
        <w:rPr>
          <w:rFonts w:hint="eastAsia"/>
          <w:color w:val="auto"/>
          <w:highlight w:val="none"/>
          <w:lang w:eastAsia="zh-CN"/>
        </w:rPr>
        <w:t>图</w:t>
      </w:r>
      <w:r>
        <w:rPr>
          <w:rFonts w:hint="eastAsia"/>
          <w:color w:val="auto"/>
          <w:highlight w:val="none"/>
          <w:lang w:val="en-US" w:eastAsia="zh-CN"/>
        </w:rPr>
        <w:t>3.1-1  秀山县</w:t>
      </w:r>
      <w:r>
        <w:rPr>
          <w:rFonts w:hint="eastAsia"/>
          <w:color w:val="auto"/>
          <w:highlight w:val="none"/>
          <w:lang w:eastAsia="zh-CN"/>
        </w:rPr>
        <w:t>区位图</w:t>
      </w:r>
    </w:p>
    <w:p w14:paraId="02D538ED">
      <w:pPr>
        <w:pStyle w:val="5"/>
        <w:bidi w:val="0"/>
        <w:rPr>
          <w:rFonts w:hint="eastAsia" w:ascii="Times New Roman" w:hAnsi="Times New Roman" w:eastAsia="宋体" w:cs="Times New Roman"/>
          <w:color w:val="auto"/>
          <w:sz w:val="24"/>
          <w:szCs w:val="24"/>
          <w:highlight w:val="none"/>
          <w:lang w:val="en-US" w:eastAsia="zh-CN"/>
        </w:rPr>
      </w:pPr>
      <w:r>
        <w:rPr>
          <w:rFonts w:hint="eastAsia" w:ascii="宋体" w:hAnsi="宋体" w:eastAsia="宋体" w:cs="宋体"/>
          <w:b w:val="0"/>
          <w:bCs w:val="0"/>
          <w:i w:val="0"/>
          <w:iCs w:val="0"/>
          <w:caps w:val="0"/>
          <w:color w:val="auto"/>
          <w:spacing w:val="0"/>
          <w:sz w:val="24"/>
          <w:szCs w:val="24"/>
          <w:shd w:val="clear" w:fill="FFFFFF"/>
        </w:rPr>
        <w:t>石耶镇，隶属于重庆市秀山土家族苗族自治县，地处</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"https://baike.baidu.com/item/%E7%A7%80%E5%B1%B1%E5%9C%9F%E5%AE%B6%E6%97%8F%E8%8B%97%E6%97%8F%E8%87%AA%E6%B2%BB%E5%8E%BF/10536646"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6"/>
          <w:rFonts w:hint="eastAsia" w:ascii="宋体" w:hAnsi="宋体" w:eastAsia="宋体" w:cs="宋体"/>
          <w:b w:val="0"/>
          <w:bCs w:val="0"/>
          <w:i w:val="0"/>
          <w:iCs w:val="0"/>
          <w:caps w:val="0"/>
          <w:color w:val="auto"/>
          <w:spacing w:val="0"/>
          <w:sz w:val="24"/>
          <w:szCs w:val="24"/>
          <w:u w:val="none"/>
          <w:shd w:val="clear" w:fill="FFFFFF"/>
        </w:rPr>
        <w:t>秀山土家族苗族自治县</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东南部，东与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"https://baike.baidu.com/item/%E4%B8%AD%E5%B9%B3%E4%B9%A1/6832358"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6"/>
          <w:rFonts w:hint="eastAsia" w:ascii="宋体" w:hAnsi="宋体" w:eastAsia="宋体" w:cs="宋体"/>
          <w:b w:val="0"/>
          <w:bCs w:val="0"/>
          <w:i w:val="0"/>
          <w:iCs w:val="0"/>
          <w:caps w:val="0"/>
          <w:color w:val="auto"/>
          <w:spacing w:val="0"/>
          <w:sz w:val="24"/>
          <w:szCs w:val="24"/>
          <w:u w:val="none"/>
          <w:shd w:val="clear" w:fill="FFFFFF"/>
        </w:rPr>
        <w:t>中平乡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接壤，南与</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"https://baike.baidu.com/item/%E5%B2%91%E6%BA%AA%E4%B9%A1/749829"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6"/>
          <w:rFonts w:hint="eastAsia" w:ascii="宋体" w:hAnsi="宋体" w:eastAsia="宋体" w:cs="宋体"/>
          <w:b w:val="0"/>
          <w:bCs w:val="0"/>
          <w:i w:val="0"/>
          <w:iCs w:val="0"/>
          <w:caps w:val="0"/>
          <w:color w:val="auto"/>
          <w:spacing w:val="0"/>
          <w:sz w:val="24"/>
          <w:szCs w:val="24"/>
          <w:u w:val="none"/>
          <w:shd w:val="clear" w:fill="FFFFFF"/>
        </w:rPr>
        <w:t>岑溪乡</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相连，西与</w:t>
      </w:r>
      <w:r>
        <w:rPr>
          <w:rFonts w:hint="eastAsia" w:ascii="宋体" w:hAnsi="宋体" w:cs="宋体"/>
          <w:b w:val="0"/>
          <w:bCs w:val="0"/>
          <w:i w:val="0"/>
          <w:iCs w:val="0"/>
          <w:caps w:val="0"/>
          <w:color w:val="auto"/>
          <w:spacing w:val="0"/>
          <w:sz w:val="24"/>
          <w:szCs w:val="24"/>
          <w:shd w:val="clear" w:fill="FFFFFF"/>
          <w:lang w:eastAsia="zh-CN"/>
        </w:rPr>
        <w:t>梅江</w:t>
      </w:r>
      <w:r>
        <w:rPr>
          <w:rFonts w:hint="eastAsia" w:ascii="宋体" w:hAnsi="宋体" w:eastAsia="宋体" w:cs="宋体"/>
          <w:b w:val="0"/>
          <w:bCs w:val="0"/>
          <w:i w:val="0"/>
          <w:iCs w:val="0"/>
          <w:caps w:val="0"/>
          <w:color w:val="auto"/>
          <w:spacing w:val="0"/>
          <w:sz w:val="24"/>
          <w:szCs w:val="24"/>
          <w:u w:val="none"/>
          <w:shd w:val="clear" w:fill="FFFFFF"/>
        </w:rPr>
        <w:fldChar w:fldCharType="begin"/>
      </w:r>
      <w:r>
        <w:rPr>
          <w:rFonts w:hint="eastAsia" w:ascii="宋体" w:hAnsi="宋体" w:eastAsia="宋体" w:cs="宋体"/>
          <w:b w:val="0"/>
          <w:bCs w:val="0"/>
          <w:i w:val="0"/>
          <w:iCs w:val="0"/>
          <w:caps w:val="0"/>
          <w:color w:val="auto"/>
          <w:spacing w:val="0"/>
          <w:sz w:val="24"/>
          <w:szCs w:val="24"/>
          <w:u w:val="none"/>
          <w:shd w:val="clear" w:fill="FFFFFF"/>
        </w:rPr>
        <w:instrText xml:space="preserve"> HYPERLINK "https://baike.baidu.com/item/%E5%B9%B3%E5%87%AF%E9%95%87/748593" \t "https://baike.baidu.com/item/%E7%9F%B3%E8%80%B6%E9%95%87/_blank" </w:instrText>
      </w:r>
      <w:r>
        <w:rPr>
          <w:rFonts w:hint="eastAsia" w:ascii="宋体" w:hAnsi="宋体" w:eastAsia="宋体" w:cs="宋体"/>
          <w:b w:val="0"/>
          <w:bCs w:val="0"/>
          <w:i w:val="0"/>
          <w:iCs w:val="0"/>
          <w:caps w:val="0"/>
          <w:color w:val="auto"/>
          <w:spacing w:val="0"/>
          <w:sz w:val="24"/>
          <w:szCs w:val="24"/>
          <w:u w:val="none"/>
          <w:shd w:val="clear" w:fill="FFFFFF"/>
        </w:rPr>
        <w:fldChar w:fldCharType="separate"/>
      </w:r>
      <w:r>
        <w:rPr>
          <w:rStyle w:val="26"/>
          <w:rFonts w:hint="eastAsia" w:ascii="宋体" w:hAnsi="宋体" w:eastAsia="宋体" w:cs="宋体"/>
          <w:b w:val="0"/>
          <w:bCs w:val="0"/>
          <w:i w:val="0"/>
          <w:iCs w:val="0"/>
          <w:caps w:val="0"/>
          <w:color w:val="auto"/>
          <w:spacing w:val="0"/>
          <w:sz w:val="24"/>
          <w:szCs w:val="24"/>
          <w:u w:val="none"/>
          <w:shd w:val="clear" w:fill="FFFFFF"/>
        </w:rPr>
        <w:t>镇</w:t>
      </w:r>
      <w:r>
        <w:rPr>
          <w:rFonts w:hint="eastAsia" w:ascii="宋体" w:hAnsi="宋体" w:eastAsia="宋体" w:cs="宋体"/>
          <w:b w:val="0"/>
          <w:bCs w:val="0"/>
          <w:i w:val="0"/>
          <w:iCs w:val="0"/>
          <w:caps w:val="0"/>
          <w:color w:val="auto"/>
          <w:spacing w:val="0"/>
          <w:sz w:val="24"/>
          <w:szCs w:val="24"/>
          <w:u w:val="none"/>
          <w:shd w:val="clear" w:fill="FFFFFF"/>
        </w:rPr>
        <w:fldChar w:fldCharType="end"/>
      </w:r>
      <w:r>
        <w:rPr>
          <w:rFonts w:hint="eastAsia" w:ascii="宋体" w:hAnsi="宋体" w:eastAsia="宋体" w:cs="宋体"/>
          <w:b w:val="0"/>
          <w:bCs w:val="0"/>
          <w:i w:val="0"/>
          <w:iCs w:val="0"/>
          <w:caps w:val="0"/>
          <w:color w:val="auto"/>
          <w:spacing w:val="0"/>
          <w:sz w:val="24"/>
          <w:szCs w:val="24"/>
          <w:shd w:val="clear" w:fill="FFFFFF"/>
        </w:rPr>
        <w:t>为邻，北与</w:t>
      </w:r>
      <w:r>
        <w:rPr>
          <w:rStyle w:val="26"/>
          <w:rFonts w:hint="eastAsia" w:ascii="宋体" w:hAnsi="宋体" w:eastAsia="宋体" w:cs="宋体"/>
          <w:b w:val="0"/>
          <w:bCs w:val="0"/>
          <w:i w:val="0"/>
          <w:iCs w:val="0"/>
          <w:caps w:val="0"/>
          <w:color w:val="auto"/>
          <w:spacing w:val="0"/>
          <w:sz w:val="24"/>
          <w:szCs w:val="24"/>
          <w:u w:val="none"/>
          <w:shd w:val="clear" w:fill="FFFFFF"/>
        </w:rPr>
        <w:t>平凯</w:t>
      </w:r>
      <w:r>
        <w:rPr>
          <w:rStyle w:val="26"/>
          <w:rFonts w:hint="eastAsia" w:ascii="宋体" w:hAnsi="宋体" w:cs="宋体"/>
          <w:b w:val="0"/>
          <w:bCs w:val="0"/>
          <w:i w:val="0"/>
          <w:iCs w:val="0"/>
          <w:caps w:val="0"/>
          <w:color w:val="auto"/>
          <w:spacing w:val="0"/>
          <w:sz w:val="24"/>
          <w:szCs w:val="24"/>
          <w:u w:val="none"/>
          <w:shd w:val="clear" w:fill="FFFFFF"/>
          <w:lang w:eastAsia="zh-CN"/>
        </w:rPr>
        <w:t>街道</w:t>
      </w:r>
      <w:r>
        <w:rPr>
          <w:rFonts w:hint="eastAsia" w:ascii="宋体" w:hAnsi="宋体" w:eastAsia="宋体" w:cs="宋体"/>
          <w:b w:val="0"/>
          <w:bCs w:val="0"/>
          <w:i w:val="0"/>
          <w:iCs w:val="0"/>
          <w:caps w:val="0"/>
          <w:color w:val="auto"/>
          <w:spacing w:val="0"/>
          <w:sz w:val="24"/>
          <w:szCs w:val="24"/>
          <w:shd w:val="clear" w:fill="FFFFFF"/>
        </w:rPr>
        <w:t>眦邻，距秀山土家族苗族自治县政府驻地16</w:t>
      </w:r>
      <w:r>
        <w:rPr>
          <w:rFonts w:hint="eastAsia" w:ascii="宋体" w:hAnsi="宋体" w:eastAsia="宋体" w:cs="宋体"/>
          <w:b w:val="0"/>
          <w:bCs w:val="0"/>
          <w:i w:val="0"/>
          <w:iCs w:val="0"/>
          <w:caps w:val="0"/>
          <w:color w:val="auto"/>
          <w:spacing w:val="0"/>
          <w:sz w:val="24"/>
          <w:szCs w:val="24"/>
          <w:shd w:val="clear" w:fill="FFFFFF"/>
          <w:lang w:val="en-US" w:eastAsia="zh-CN"/>
        </w:rPr>
        <w:t>km</w:t>
      </w:r>
      <w:r>
        <w:rPr>
          <w:rFonts w:hint="eastAsia" w:ascii="宋体" w:hAnsi="宋体" w:eastAsia="宋体" w:cs="宋体"/>
          <w:b w:val="0"/>
          <w:bCs w:val="0"/>
          <w:i w:val="0"/>
          <w:iCs w:val="0"/>
          <w:caps w:val="0"/>
          <w:color w:val="auto"/>
          <w:spacing w:val="0"/>
          <w:sz w:val="24"/>
          <w:szCs w:val="24"/>
          <w:shd w:val="clear" w:fill="FFFFFF"/>
          <w:lang w:eastAsia="zh-CN"/>
        </w:rPr>
        <w:t>，</w:t>
      </w:r>
      <w:r>
        <w:rPr>
          <w:rFonts w:hint="eastAsia" w:ascii="宋体" w:hAnsi="宋体" w:eastAsia="宋体" w:cs="宋体"/>
          <w:b w:val="0"/>
          <w:bCs w:val="0"/>
          <w:i w:val="0"/>
          <w:iCs w:val="0"/>
          <w:caps w:val="0"/>
          <w:color w:val="333333"/>
          <w:spacing w:val="0"/>
          <w:sz w:val="24"/>
          <w:szCs w:val="24"/>
          <w:shd w:val="clear" w:fill="FFFFFF"/>
        </w:rPr>
        <w:t>区域总面积38.4</w:t>
      </w:r>
      <w:r>
        <w:rPr>
          <w:rFonts w:hint="eastAsia" w:ascii="宋体" w:hAnsi="宋体" w:eastAsia="宋体" w:cs="宋体"/>
          <w:b w:val="0"/>
          <w:bCs w:val="0"/>
          <w:i w:val="0"/>
          <w:iCs w:val="0"/>
          <w:caps w:val="0"/>
          <w:color w:val="333333"/>
          <w:spacing w:val="0"/>
          <w:sz w:val="24"/>
          <w:szCs w:val="24"/>
          <w:shd w:val="clear" w:fill="FFFFFF"/>
          <w:lang w:val="en-US" w:eastAsia="zh-CN"/>
        </w:rPr>
        <w:t>km</w:t>
      </w:r>
      <w:r>
        <w:rPr>
          <w:rFonts w:hint="eastAsia" w:ascii="宋体" w:hAnsi="宋体" w:eastAsia="宋体" w:cs="宋体"/>
          <w:b w:val="0"/>
          <w:bCs w:val="0"/>
          <w:i w:val="0"/>
          <w:iCs w:val="0"/>
          <w:caps w:val="0"/>
          <w:color w:val="333333"/>
          <w:spacing w:val="0"/>
          <w:sz w:val="24"/>
          <w:szCs w:val="24"/>
          <w:shd w:val="clear" w:fill="FFFFFF"/>
          <w:vertAlign w:val="superscript"/>
          <w:lang w:val="en-US" w:eastAsia="zh-CN"/>
        </w:rPr>
        <w:t>2</w:t>
      </w:r>
      <w:r>
        <w:rPr>
          <w:rFonts w:hint="eastAsia" w:ascii="宋体" w:hAnsi="宋体" w:eastAsia="宋体" w:cs="宋体"/>
          <w:color w:val="auto"/>
          <w:sz w:val="24"/>
          <w:szCs w:val="24"/>
          <w:highlight w:val="none"/>
          <w:lang w:val="en-US" w:eastAsia="zh-CN"/>
        </w:rPr>
        <w:t>。</w:t>
      </w:r>
      <w:r>
        <w:rPr>
          <w:rFonts w:hint="default"/>
          <w:color w:val="auto"/>
          <w:highlight w:val="none"/>
          <w:lang w:val="en-US" w:eastAsia="zh-CN"/>
        </w:rPr>
        <w:t> </w:t>
      </w:r>
      <w:r>
        <w:rPr>
          <w:rFonts w:hint="eastAsia"/>
          <w:color w:val="auto"/>
          <w:highlight w:val="none"/>
          <w:lang w:val="en-US" w:eastAsia="zh-CN"/>
        </w:rPr>
        <w:t>石耶</w:t>
      </w:r>
      <w:r>
        <w:rPr>
          <w:rFonts w:hint="default"/>
          <w:color w:val="auto"/>
          <w:highlight w:val="none"/>
          <w:lang w:val="en-US" w:eastAsia="zh-CN"/>
        </w:rPr>
        <w:t>镇下辖</w:t>
      </w:r>
      <w:r>
        <w:rPr>
          <w:rFonts w:hint="eastAsia"/>
          <w:color w:val="auto"/>
          <w:highlight w:val="none"/>
          <w:lang w:val="en-US" w:eastAsia="zh-CN"/>
        </w:rPr>
        <w:t>2个社区，4</w:t>
      </w:r>
      <w:r>
        <w:rPr>
          <w:rFonts w:hint="default"/>
          <w:color w:val="auto"/>
          <w:highlight w:val="none"/>
          <w:lang w:val="en-US" w:eastAsia="zh-CN"/>
        </w:rPr>
        <w:t>个行政村：</w:t>
      </w:r>
      <w:r>
        <w:rPr>
          <w:rFonts w:ascii="Helvetica" w:hAnsi="Helvetica" w:eastAsia="Helvetica" w:cs="Helvetica"/>
          <w:b w:val="0"/>
          <w:bCs w:val="0"/>
          <w:i w:val="0"/>
          <w:iCs w:val="0"/>
          <w:caps w:val="0"/>
          <w:color w:val="333333"/>
          <w:spacing w:val="0"/>
          <w:sz w:val="24"/>
          <w:szCs w:val="24"/>
          <w:shd w:val="clear" w:fill="FFFFFF"/>
        </w:rPr>
        <w:t>西大社区、余庆社区、平邑村、青龙村、大溪村、鱼梁村</w:t>
      </w:r>
      <w:r>
        <w:rPr>
          <w:rFonts w:hint="default"/>
          <w:color w:val="auto"/>
          <w:sz w:val="24"/>
          <w:szCs w:val="24"/>
          <w:highlight w:val="none"/>
          <w:lang w:val="en-US" w:eastAsia="zh-CN"/>
        </w:rPr>
        <w:t>。</w:t>
      </w:r>
    </w:p>
    <w:p w14:paraId="0611449D">
      <w:pPr>
        <w:pStyle w:val="31"/>
        <w:bidi w:val="0"/>
        <w:rPr>
          <w:rFonts w:hint="eastAsia" w:eastAsia="华文中宋"/>
          <w:color w:val="auto"/>
          <w:highlight w:val="none"/>
          <w:lang w:eastAsia="zh-CN"/>
        </w:rPr>
      </w:pPr>
      <w:r>
        <w:rPr>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2118360</wp:posOffset>
                </wp:positionH>
                <wp:positionV relativeFrom="paragraph">
                  <wp:posOffset>4171950</wp:posOffset>
                </wp:positionV>
                <wp:extent cx="666750" cy="279400"/>
                <wp:effectExtent l="4445" t="4445" r="33655" b="154305"/>
                <wp:wrapNone/>
                <wp:docPr id="180" name="矩形标注 180"/>
                <wp:cNvGraphicFramePr/>
                <a:graphic xmlns:a="http://schemas.openxmlformats.org/drawingml/2006/main">
                  <a:graphicData uri="http://schemas.microsoft.com/office/word/2010/wordprocessingShape">
                    <wps:wsp>
                      <wps:cNvSpPr/>
                      <wps:spPr>
                        <a:xfrm>
                          <a:off x="0" y="0"/>
                          <a:ext cx="666750" cy="279400"/>
                        </a:xfrm>
                        <a:prstGeom prst="wedgeRectCallout">
                          <a:avLst>
                            <a:gd name="adj1" fmla="val 51714"/>
                            <a:gd name="adj2" fmla="val 97954"/>
                          </a:avLst>
                        </a:prstGeom>
                        <a:ln w="3175">
                          <a:solidFill>
                            <a:schemeClr val="tx1"/>
                          </a:solidFill>
                        </a:ln>
                      </wps:spPr>
                      <wps:style>
                        <a:lnRef idx="2">
                          <a:schemeClr val="accent1"/>
                        </a:lnRef>
                        <a:fillRef idx="1">
                          <a:schemeClr val="lt1"/>
                        </a:fillRef>
                        <a:effectRef idx="0">
                          <a:schemeClr val="accent1"/>
                        </a:effectRef>
                        <a:fontRef idx="minor">
                          <a:schemeClr val="dk1"/>
                        </a:fontRef>
                      </wps:style>
                      <wps:txbx>
                        <w:txbxContent>
                          <w:p w14:paraId="4BB931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66.8pt;margin-top:328.5pt;height:22pt;width:52.5pt;z-index:251660288;v-text-anchor:middle;mso-width-relative:page;mso-height-relative:page;" fillcolor="#FFFFFF [3201]" filled="t" stroked="t" coordsize="21600,21600" o:gfxdata="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NIC7r/bAAAACwEAAA8AAAAAAAAAAQAgAAAAIgAAAGRycy9kb3ducmV2Lnht&#10;bFBLAQIUABQAAAAIAIdO4kBv3U9zoQIAAE0FAAAOAAAAAAAAAAEAIAAAACoBAABkcnMvZTJvRG9j&#10;LnhtbFBLBQYAAAAABgAGAFkBAAA9BgAAAAA=&#10;" adj="21970,31958">
                <v:fill on="t" focussize="0,0"/>
                <v:stroke weight="0.25pt" color="#000000 [3213]" joinstyle="round"/>
                <v:imagedata o:title=""/>
                <o:lock v:ext="edit" aspectratio="f"/>
                <v:textbox>
                  <w:txbxContent>
                    <w:p w14:paraId="4BB931D9">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中宋" w:hAnsi="华文中宋" w:eastAsia="华文中宋" w:cs="华文中宋"/>
                          <w:sz w:val="24"/>
                          <w:szCs w:val="24"/>
                          <w:lang w:val="en-US" w:eastAsia="zh-CN"/>
                        </w:rPr>
                      </w:pPr>
                      <w:r>
                        <w:rPr>
                          <w:rFonts w:hint="eastAsia" w:ascii="华文中宋" w:hAnsi="华文中宋" w:eastAsia="华文中宋" w:cs="华文中宋"/>
                          <w:sz w:val="21"/>
                          <w:szCs w:val="21"/>
                          <w:lang w:val="en-US" w:eastAsia="zh-CN"/>
                        </w:rPr>
                        <w:t>石耶镇</w:t>
                      </w:r>
                    </w:p>
                  </w:txbxContent>
                </v:textbox>
              </v:shape>
            </w:pict>
          </mc:Fallback>
        </mc:AlternateContent>
      </w:r>
      <w:r>
        <w:rPr>
          <w:rFonts w:hint="eastAsia" w:eastAsia="华文中宋"/>
          <w:color w:val="auto"/>
          <w:highlight w:val="none"/>
          <w:lang w:eastAsia="zh-CN"/>
        </w:rPr>
        <w:drawing>
          <wp:inline distT="0" distB="0" distL="114300" distR="114300">
            <wp:extent cx="5267960" cy="6648450"/>
            <wp:effectExtent l="0" t="0" r="8890" b="0"/>
            <wp:docPr id="7" name="图片 7" descr="秀山土家族苗族自治县行政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秀山土家族苗族自治县行政区划"/>
                    <pic:cNvPicPr>
                      <a:picLocks noChangeAspect="1"/>
                    </pic:cNvPicPr>
                  </pic:nvPicPr>
                  <pic:blipFill>
                    <a:blip r:embed="rId11"/>
                    <a:stretch>
                      <a:fillRect/>
                    </a:stretch>
                  </pic:blipFill>
                  <pic:spPr>
                    <a:xfrm>
                      <a:off x="0" y="0"/>
                      <a:ext cx="5267960" cy="6648450"/>
                    </a:xfrm>
                    <a:prstGeom prst="rect">
                      <a:avLst/>
                    </a:prstGeom>
                  </pic:spPr>
                </pic:pic>
              </a:graphicData>
            </a:graphic>
          </wp:inline>
        </w:drawing>
      </w:r>
    </w:p>
    <w:p w14:paraId="4EF2ACEC">
      <w:pPr>
        <w:pStyle w:val="31"/>
        <w:bidi w:val="0"/>
        <w:rPr>
          <w:color w:val="auto"/>
          <w:highlight w:val="none"/>
        </w:rPr>
      </w:pPr>
      <w:r>
        <w:rPr>
          <w:rFonts w:hint="eastAsia"/>
          <w:color w:val="auto"/>
          <w:highlight w:val="none"/>
          <w:lang w:eastAsia="zh-CN"/>
        </w:rPr>
        <w:t>图</w:t>
      </w:r>
      <w:r>
        <w:rPr>
          <w:rFonts w:hint="eastAsia"/>
          <w:color w:val="auto"/>
          <w:highlight w:val="none"/>
          <w:lang w:val="en-US" w:eastAsia="zh-CN"/>
        </w:rPr>
        <w:t>3.1-2  秀山县</w:t>
      </w:r>
      <w:r>
        <w:rPr>
          <w:rFonts w:hint="eastAsia"/>
          <w:color w:val="auto"/>
          <w:highlight w:val="none"/>
          <w:lang w:eastAsia="zh-CN"/>
        </w:rPr>
        <w:t>行政区划图</w:t>
      </w:r>
    </w:p>
    <w:p w14:paraId="719344E2">
      <w:pPr>
        <w:pStyle w:val="7"/>
        <w:bidi w:val="0"/>
        <w:ind w:left="0" w:leftChars="0" w:firstLine="0" w:firstLineChars="0"/>
        <w:rPr>
          <w:rFonts w:hint="eastAsia"/>
          <w:color w:val="auto"/>
          <w:highlight w:val="none"/>
        </w:rPr>
      </w:pPr>
      <w:bookmarkStart w:id="32" w:name="_Toc24823"/>
      <w:r>
        <w:rPr>
          <w:rFonts w:hint="eastAsia"/>
          <w:color w:val="auto"/>
          <w:highlight w:val="none"/>
        </w:rPr>
        <w:t>河流水系</w:t>
      </w:r>
      <w:bookmarkEnd w:id="32"/>
    </w:p>
    <w:p w14:paraId="02009153">
      <w:pPr>
        <w:pStyle w:val="5"/>
        <w:ind w:left="0" w:leftChars="0" w:firstLine="484" w:firstLineChars="200"/>
        <w:rPr>
          <w:rFonts w:hint="eastAsia" w:cs="Times New Roman"/>
          <w:color w:val="auto"/>
          <w:sz w:val="24"/>
          <w:szCs w:val="24"/>
          <w:highlight w:val="none"/>
          <w:lang w:val="en-US" w:eastAsia="zh-CN"/>
        </w:rPr>
      </w:pPr>
      <w:r>
        <w:rPr>
          <w:rFonts w:ascii="Helvetica" w:hAnsi="Helvetica" w:eastAsia="Helvetica" w:cs="Helvetica"/>
          <w:b w:val="0"/>
          <w:bCs w:val="0"/>
          <w:i w:val="0"/>
          <w:iCs w:val="0"/>
          <w:caps w:val="0"/>
          <w:color w:val="auto"/>
          <w:spacing w:val="0"/>
          <w:sz w:val="24"/>
          <w:szCs w:val="24"/>
          <w:shd w:val="clear" w:fill="FFFFFF"/>
        </w:rPr>
        <w:t>石耶镇境内</w:t>
      </w:r>
      <w:r>
        <w:rPr>
          <w:rFonts w:hint="eastAsia" w:ascii="Helvetica" w:hAnsi="Helvetica" w:eastAsia="宋体" w:cs="Helvetica"/>
          <w:b w:val="0"/>
          <w:bCs w:val="0"/>
          <w:i w:val="0"/>
          <w:iCs w:val="0"/>
          <w:caps w:val="0"/>
          <w:color w:val="auto"/>
          <w:spacing w:val="0"/>
          <w:sz w:val="24"/>
          <w:szCs w:val="24"/>
          <w:shd w:val="clear" w:fill="FFFFFF"/>
          <w:lang w:val="en-US" w:eastAsia="zh-CN"/>
        </w:rPr>
        <w:t>河道属</w:t>
      </w:r>
      <w:r>
        <w:rPr>
          <w:rFonts w:ascii="Helvetica" w:hAnsi="Helvetica" w:eastAsia="Helvetica" w:cs="Helvetica"/>
          <w:b w:val="0"/>
          <w:bCs w:val="0"/>
          <w:i w:val="0"/>
          <w:iCs w:val="0"/>
          <w:caps w:val="0"/>
          <w:color w:val="auto"/>
          <w:spacing w:val="0"/>
          <w:sz w:val="24"/>
          <w:szCs w:val="24"/>
          <w:shd w:val="clear" w:fill="FFFFFF"/>
        </w:rPr>
        <w:t>梅江河</w:t>
      </w:r>
      <w:r>
        <w:rPr>
          <w:rFonts w:hint="eastAsia" w:ascii="Helvetica" w:hAnsi="Helvetica" w:eastAsia="宋体" w:cs="Helvetica"/>
          <w:b w:val="0"/>
          <w:bCs w:val="0"/>
          <w:i w:val="0"/>
          <w:iCs w:val="0"/>
          <w:caps w:val="0"/>
          <w:color w:val="auto"/>
          <w:spacing w:val="0"/>
          <w:sz w:val="24"/>
          <w:szCs w:val="24"/>
          <w:shd w:val="clear" w:fill="FFFFFF"/>
          <w:lang w:eastAsia="zh-CN"/>
        </w:rPr>
        <w:t>流域</w:t>
      </w:r>
      <w:r>
        <w:rPr>
          <w:rFonts w:ascii="Helvetica" w:hAnsi="Helvetica" w:eastAsia="Helvetica" w:cs="Helvetica"/>
          <w:b w:val="0"/>
          <w:bCs w:val="0"/>
          <w:i w:val="0"/>
          <w:iCs w:val="0"/>
          <w:caps w:val="0"/>
          <w:color w:val="auto"/>
          <w:spacing w:val="0"/>
          <w:sz w:val="24"/>
          <w:szCs w:val="24"/>
          <w:shd w:val="clear" w:fill="FFFFFF"/>
        </w:rPr>
        <w:t>；</w:t>
      </w:r>
      <w:r>
        <w:rPr>
          <w:rFonts w:ascii="Helvetica" w:hAnsi="Helvetica" w:eastAsia="Helvetica" w:cs="Helvetica"/>
          <w:b w:val="0"/>
          <w:bCs w:val="0"/>
          <w:i w:val="0"/>
          <w:iCs w:val="0"/>
          <w:caps w:val="0"/>
          <w:color w:val="333333"/>
          <w:spacing w:val="0"/>
          <w:sz w:val="24"/>
          <w:szCs w:val="24"/>
          <w:shd w:val="clear" w:fill="FFFFFF"/>
        </w:rPr>
        <w:t>境内最大的河流为梅江河，境内河段上至燕子岩，下至芒磨蓝河坝，长15</w:t>
      </w:r>
      <w:r>
        <w:rPr>
          <w:rFonts w:hint="eastAsia" w:ascii="Helvetica" w:hAnsi="Helvetica" w:eastAsia="宋体" w:cs="Helvetica"/>
          <w:b w:val="0"/>
          <w:bCs w:val="0"/>
          <w:i w:val="0"/>
          <w:iCs w:val="0"/>
          <w:caps w:val="0"/>
          <w:color w:val="333333"/>
          <w:spacing w:val="0"/>
          <w:sz w:val="24"/>
          <w:szCs w:val="24"/>
          <w:shd w:val="clear" w:fill="FFFFFF"/>
          <w:lang w:val="en-US" w:eastAsia="zh-CN"/>
        </w:rPr>
        <w:t>km</w:t>
      </w:r>
      <w:r>
        <w:rPr>
          <w:color w:val="auto"/>
        </w:rPr>
        <w:t>。</w:t>
      </w:r>
      <w:r>
        <w:rPr>
          <w:rFonts w:hint="eastAsia" w:ascii="Times New Roman" w:hAnsi="Times New Roman" w:eastAsia="宋体" w:cs="Times New Roman"/>
          <w:color w:val="auto"/>
          <w:highlight w:val="none"/>
          <w:lang w:val="en-US" w:eastAsia="zh-CN"/>
        </w:rPr>
        <w:t>本次方案涉及</w:t>
      </w:r>
      <w:r>
        <w:rPr>
          <w:rFonts w:hint="eastAsia" w:cs="Times New Roman"/>
          <w:color w:val="auto"/>
          <w:highlight w:val="none"/>
          <w:lang w:val="en-US" w:eastAsia="zh-CN"/>
        </w:rPr>
        <w:t>石耶镇4</w:t>
      </w:r>
      <w:r>
        <w:rPr>
          <w:rFonts w:hint="eastAsia" w:ascii="Times New Roman" w:hAnsi="Times New Roman" w:eastAsia="宋体" w:cs="Times New Roman"/>
          <w:color w:val="auto"/>
          <w:highlight w:val="none"/>
          <w:lang w:val="en-US" w:eastAsia="zh-CN"/>
        </w:rPr>
        <w:t>条河流，均为梅江河流域干流、支流，</w:t>
      </w:r>
      <w:r>
        <w:rPr>
          <w:rFonts w:hint="eastAsia"/>
          <w:color w:val="auto"/>
          <w:highlight w:val="none"/>
          <w:lang w:val="en-US" w:eastAsia="zh-CN"/>
        </w:rPr>
        <w:t>分别为梅江河石耶镇段，中平河、</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Times New Roman" w:hAnsi="Times New Roman" w:eastAsia="宋体" w:cs="Times New Roman"/>
          <w:color w:val="auto"/>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Times New Roman" w:hAnsi="Times New Roman" w:eastAsia="宋体" w:cs="Times New Roman"/>
          <w:color w:val="auto"/>
          <w:highlight w:val="none"/>
          <w:lang w:val="en-US" w:eastAsia="zh-CN"/>
        </w:rPr>
        <w:t>均属梅江河流域干流、支流。</w:t>
      </w:r>
      <w:r>
        <w:rPr>
          <w:rFonts w:hint="eastAsia" w:cs="Times New Roman"/>
          <w:color w:val="auto"/>
          <w:sz w:val="24"/>
          <w:szCs w:val="24"/>
          <w:highlight w:val="none"/>
          <w:lang w:val="en-US" w:eastAsia="zh-CN"/>
        </w:rPr>
        <w:t>分别介绍如下：</w:t>
      </w:r>
    </w:p>
    <w:p w14:paraId="0D6D671A">
      <w:pPr>
        <w:pStyle w:val="5"/>
        <w:ind w:firstLine="480"/>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sz w:val="24"/>
          <w:szCs w:val="24"/>
          <w:highlight w:val="none"/>
          <w:lang w:val="en-US" w:eastAsia="zh-CN"/>
        </w:rPr>
        <w:t>①</w:t>
      </w:r>
      <w:r>
        <w:rPr>
          <w:rFonts w:hint="eastAsia" w:ascii="宋体" w:hAnsi="宋体" w:cs="宋体"/>
          <w:color w:val="auto"/>
          <w:kern w:val="2"/>
          <w:sz w:val="24"/>
          <w:szCs w:val="24"/>
          <w:highlight w:val="none"/>
          <w:lang w:val="en-US" w:eastAsia="zh-CN" w:bidi="ar-SA"/>
        </w:rPr>
        <w:t>梅江</w:t>
      </w:r>
      <w:r>
        <w:rPr>
          <w:rFonts w:hint="eastAsia" w:ascii="宋体" w:hAnsi="宋体" w:eastAsia="宋体" w:cs="宋体"/>
          <w:color w:val="auto"/>
          <w:kern w:val="2"/>
          <w:sz w:val="24"/>
          <w:szCs w:val="24"/>
          <w:highlight w:val="none"/>
          <w:lang w:val="en-US" w:eastAsia="zh-CN" w:bidi="ar-SA"/>
        </w:rPr>
        <w:t>河：</w:t>
      </w:r>
      <w:r>
        <w:rPr>
          <w:rFonts w:hint="default"/>
          <w:color w:val="auto"/>
          <w:highlight w:val="none"/>
          <w:lang w:val="en-US" w:eastAsia="zh-CN"/>
        </w:rPr>
        <w:t>梅江河为酉水的一级支流，沅江的二级支流，发源于秀山县钟灵镇杨柳山， 由南向北流经钟灵、梅江、石耶、平凯、中和、龙池等乡镇（街道）后，于妙泉镇纳入较大支流龙潭河，折向至东北，至石堤镇注入酉水河。河道长51.98km，多为峡谷。河流全长137.8km，总落差697m，流域面积2910km</w:t>
      </w:r>
      <w:r>
        <w:rPr>
          <w:rFonts w:hint="default"/>
          <w:color w:val="auto"/>
          <w:highlight w:val="none"/>
          <w:vertAlign w:val="superscript"/>
          <w:lang w:val="en-US" w:eastAsia="zh-CN"/>
        </w:rPr>
        <w:t>2</w:t>
      </w:r>
      <w:r>
        <w:rPr>
          <w:rFonts w:hint="default"/>
          <w:color w:val="auto"/>
          <w:highlight w:val="none"/>
          <w:lang w:val="en-US" w:eastAsia="zh-CN"/>
        </w:rPr>
        <w:t>，河口多年平均流量 79.0m</w:t>
      </w:r>
      <w:r>
        <w:rPr>
          <w:rFonts w:hint="default"/>
          <w:color w:val="auto"/>
          <w:highlight w:val="none"/>
          <w:vertAlign w:val="superscript"/>
          <w:lang w:val="en-US" w:eastAsia="zh-CN"/>
        </w:rPr>
        <w:t>3</w:t>
      </w:r>
      <w:r>
        <w:rPr>
          <w:rFonts w:hint="default"/>
          <w:color w:val="auto"/>
          <w:highlight w:val="none"/>
          <w:lang w:val="en-US" w:eastAsia="zh-CN"/>
        </w:rPr>
        <w:t>/s</w:t>
      </w:r>
      <w:r>
        <w:rPr>
          <w:rFonts w:hint="eastAsia"/>
          <w:color w:val="auto"/>
          <w:highlight w:val="none"/>
          <w:lang w:val="en-US" w:eastAsia="zh-CN"/>
        </w:rPr>
        <w:t>。</w:t>
      </w:r>
    </w:p>
    <w:p w14:paraId="1828CFAF">
      <w:pPr>
        <w:pStyle w:val="5"/>
        <w:ind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②</w:t>
      </w:r>
      <w:r>
        <w:rPr>
          <w:rFonts w:hint="eastAsia"/>
          <w:color w:val="auto"/>
          <w:highlight w:val="none"/>
          <w:lang w:val="en-US" w:eastAsia="zh-CN"/>
        </w:rPr>
        <w:t>中平河</w:t>
      </w:r>
      <w:r>
        <w:rPr>
          <w:rFonts w:hint="eastAsia" w:ascii="宋体" w:hAnsi="宋体" w:eastAsia="宋体" w:cs="宋体"/>
          <w:color w:val="auto"/>
          <w:sz w:val="24"/>
          <w:szCs w:val="24"/>
          <w:highlight w:val="none"/>
          <w:lang w:val="en-US" w:eastAsia="zh-CN"/>
        </w:rPr>
        <w:t>：</w:t>
      </w:r>
      <w:r>
        <w:rPr>
          <w:rFonts w:hint="eastAsia"/>
          <w:lang w:val="en-US" w:eastAsia="zh-CN"/>
        </w:rPr>
        <w:t>中平河又名青龙河，为梅江河</w:t>
      </w:r>
      <w:r>
        <w:rPr>
          <w:rFonts w:hint="eastAsia" w:ascii="宋体" w:hAnsi="宋体" w:cs="宋体"/>
          <w:color w:val="auto"/>
          <w:sz w:val="24"/>
          <w:szCs w:val="24"/>
          <w:highlight w:val="none"/>
          <w:lang w:val="en-US" w:eastAsia="zh-CN"/>
        </w:rPr>
        <w:t>右</w:t>
      </w:r>
      <w:r>
        <w:rPr>
          <w:rFonts w:hint="eastAsia"/>
          <w:lang w:val="en-US" w:eastAsia="zh-CN"/>
        </w:rPr>
        <w:t>岸一级支流，</w:t>
      </w:r>
      <w:r>
        <w:rPr>
          <w:rFonts w:hint="eastAsia"/>
          <w:color w:val="auto"/>
          <w:highlight w:val="none"/>
          <w:lang w:val="en-US" w:eastAsia="zh-CN"/>
        </w:rPr>
        <w:t>酉水二级支流。</w:t>
      </w:r>
      <w:r>
        <w:rPr>
          <w:rFonts w:hint="eastAsia"/>
          <w:lang w:val="en-US" w:eastAsia="zh-CN"/>
        </w:rPr>
        <w:t>发源于中平乡中平村陶树湾，流经中平乡的贵落村、八排村、中平村，石耶镇的大溪村、青龙村，最后于石耶镇青龙村大水门处汇入梅江河，河流全长为19km，流域面为62.5km</w:t>
      </w:r>
      <w:r>
        <w:rPr>
          <w:rFonts w:hint="eastAsia"/>
          <w:vertAlign w:val="superscript"/>
          <w:lang w:val="en-US" w:eastAsia="zh-CN"/>
        </w:rPr>
        <w:t>2</w:t>
      </w:r>
      <w:r>
        <w:rPr>
          <w:rFonts w:hint="eastAsia" w:ascii="宋体" w:hAnsi="宋体" w:eastAsia="宋体" w:cs="宋体"/>
          <w:color w:val="auto"/>
          <w:sz w:val="24"/>
          <w:szCs w:val="24"/>
          <w:highlight w:val="none"/>
          <w:lang w:val="en-US" w:eastAsia="zh-CN"/>
        </w:rPr>
        <w:t>。</w:t>
      </w:r>
    </w:p>
    <w:p w14:paraId="184585F5">
      <w:pPr>
        <w:pStyle w:val="5"/>
        <w:ind w:left="0" w:leftChars="0" w:firstLine="484"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③</w:t>
      </w:r>
      <w:r>
        <w:rPr>
          <w:rFonts w:hint="eastAsia" w:ascii="宋体" w:hAnsi="宋体" w:cs="宋体"/>
          <w:i w:val="0"/>
          <w:iCs w:val="0"/>
          <w:color w:val="000000"/>
          <w:kern w:val="0"/>
          <w:sz w:val="24"/>
          <w:szCs w:val="24"/>
          <w:u w:val="none"/>
          <w:lang w:val="en-US" w:eastAsia="zh-CN" w:bidi="ar"/>
        </w:rPr>
        <w:t>同心</w:t>
      </w:r>
      <w:r>
        <w:rPr>
          <w:rFonts w:hint="eastAsia" w:ascii="宋体" w:hAnsi="宋体" w:eastAsia="宋体" w:cs="宋体"/>
          <w:i w:val="0"/>
          <w:iCs w:val="0"/>
          <w:color w:val="000000"/>
          <w:kern w:val="0"/>
          <w:sz w:val="24"/>
          <w:szCs w:val="24"/>
          <w:u w:val="none"/>
          <w:lang w:val="en-US" w:eastAsia="zh-CN" w:bidi="ar"/>
        </w:rPr>
        <w:t>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同心河</w:t>
      </w:r>
      <w:r>
        <w:rPr>
          <w:rFonts w:hint="eastAsia" w:ascii="宋体" w:hAnsi="宋体" w:cs="宋体"/>
          <w:color w:val="auto"/>
          <w:sz w:val="24"/>
          <w:szCs w:val="24"/>
          <w:highlight w:val="none"/>
          <w:lang w:val="en-US" w:eastAsia="zh-CN"/>
        </w:rPr>
        <w:t>为梅江河右岸一级支流，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石耶镇余庆居委会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km。</w:t>
      </w:r>
    </w:p>
    <w:p w14:paraId="42E669BA">
      <w:pPr>
        <w:pStyle w:val="5"/>
        <w:ind w:firstLine="48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eastAsia="宋体" w:cs="宋体"/>
          <w:color w:val="auto"/>
          <w:sz w:val="24"/>
          <w:szCs w:val="24"/>
          <w:highlight w:val="none"/>
          <w:lang w:val="en-US" w:eastAsia="zh-CN"/>
        </w:rPr>
        <w:t>：</w:t>
      </w:r>
      <w:r>
        <w:rPr>
          <w:rFonts w:hint="eastAsia" w:ascii="宋体" w:hAnsi="宋体" w:eastAsia="宋体" w:cs="宋体"/>
          <w:i w:val="0"/>
          <w:iCs w:val="0"/>
          <w:color w:val="000000"/>
          <w:kern w:val="0"/>
          <w:sz w:val="24"/>
          <w:szCs w:val="24"/>
          <w:u w:val="none"/>
          <w:lang w:val="en-US" w:eastAsia="zh-CN" w:bidi="ar"/>
        </w:rPr>
        <w:t>甘溪沟河</w:t>
      </w:r>
      <w:r>
        <w:rPr>
          <w:rFonts w:hint="eastAsia" w:ascii="宋体" w:hAnsi="宋体" w:cs="宋体"/>
          <w:color w:val="auto"/>
          <w:sz w:val="24"/>
          <w:szCs w:val="24"/>
          <w:highlight w:val="none"/>
          <w:lang w:val="en-US" w:eastAsia="zh-CN"/>
        </w:rPr>
        <w:t>为梅江河左岸一级支流，</w:t>
      </w:r>
      <w:r>
        <w:rPr>
          <w:rFonts w:hint="eastAsia" w:ascii="宋体" w:hAnsi="宋体" w:eastAsia="宋体" w:cs="宋体"/>
          <w:color w:val="auto"/>
          <w:sz w:val="24"/>
          <w:szCs w:val="24"/>
          <w:lang w:val="en-US" w:eastAsia="zh-CN"/>
        </w:rPr>
        <w:t>发源于</w:t>
      </w:r>
      <w:r>
        <w:rPr>
          <w:rFonts w:hint="eastAsia"/>
          <w:color w:val="auto"/>
          <w:sz w:val="24"/>
          <w:szCs w:val="24"/>
        </w:rPr>
        <w:t>石耶镇西大居委会</w:t>
      </w:r>
      <w:r>
        <w:rPr>
          <w:rFonts w:hint="eastAsia" w:ascii="宋体" w:hAnsi="宋体" w:eastAsia="宋体" w:cs="宋体"/>
          <w:color w:val="auto"/>
          <w:sz w:val="24"/>
          <w:szCs w:val="24"/>
          <w:highlight w:val="none"/>
          <w:lang w:val="en-US" w:eastAsia="zh-CN"/>
        </w:rPr>
        <w:t>，河道全长</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km</w:t>
      </w:r>
      <w:r>
        <w:rPr>
          <w:rFonts w:hint="eastAsia" w:ascii="宋体" w:hAnsi="宋体" w:eastAsia="宋体" w:cs="宋体"/>
          <w:color w:val="auto"/>
          <w:sz w:val="24"/>
          <w:szCs w:val="24"/>
          <w:lang w:val="en-US" w:eastAsia="zh-CN"/>
        </w:rPr>
        <w:t>。</w:t>
      </w:r>
    </w:p>
    <w:p w14:paraId="0F67CA88">
      <w:pPr>
        <w:pStyle w:val="3"/>
        <w:rPr>
          <w:rFonts w:hint="eastAsia"/>
          <w:sz w:val="24"/>
          <w:szCs w:val="24"/>
          <w:vertAlign w:val="superscript"/>
          <w:lang w:val="en-US" w:eastAsia="zh-CN"/>
        </w:rPr>
      </w:pPr>
    </w:p>
    <w:p w14:paraId="762CA264">
      <w:pPr>
        <w:pStyle w:val="3"/>
        <w:rPr>
          <w:rFonts w:hint="eastAsia"/>
          <w:sz w:val="24"/>
          <w:szCs w:val="24"/>
          <w:vertAlign w:val="superscript"/>
          <w:lang w:val="en-US" w:eastAsia="zh-CN"/>
        </w:rPr>
      </w:pPr>
    </w:p>
    <w:p w14:paraId="016A0C90">
      <w:pPr>
        <w:pStyle w:val="5"/>
        <w:rPr>
          <w:rFonts w:hint="default"/>
          <w:color w:val="auto"/>
          <w:lang w:val="en-US" w:eastAsia="zh-CN"/>
        </w:rPr>
      </w:pPr>
    </w:p>
    <w:p w14:paraId="2AD386F2">
      <w:pPr>
        <w:pStyle w:val="33"/>
        <w:rPr>
          <w:rFonts w:hint="default" w:ascii="Times New Roman" w:hAnsi="Times New Roman" w:cs="Times New Roman"/>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14:paraId="50EA5D87">
      <w:pPr>
        <w:pStyle w:val="33"/>
        <w:rPr>
          <w:rFonts w:hint="eastAsia"/>
          <w:color w:val="auto"/>
          <w:highlight w:val="none"/>
          <w:lang w:val="en-US" w:eastAsia="zh-CN"/>
        </w:rPr>
      </w:pPr>
      <w:r>
        <w:rPr>
          <w:rFonts w:hint="eastAsia" w:ascii="Times New Roman" w:hAnsi="Times New Roman" w:cs="Times New Roman"/>
          <w:color w:val="auto"/>
          <w:highlight w:val="none"/>
          <w:lang w:val="en-US" w:eastAsia="zh-CN"/>
        </w:rPr>
        <w:t>表3.</w:t>
      </w:r>
      <w:r>
        <w:rPr>
          <w:rFonts w:hint="eastAsia" w:cs="Times New Roman"/>
          <w:color w:val="auto"/>
          <w:highlight w:val="none"/>
          <w:lang w:val="en-US" w:eastAsia="zh-CN"/>
        </w:rPr>
        <w:t>1</w:t>
      </w:r>
      <w:r>
        <w:rPr>
          <w:rFonts w:hint="eastAsia" w:ascii="Times New Roman" w:hAnsi="Times New Roman" w:cs="Times New Roman"/>
          <w:color w:val="auto"/>
          <w:highlight w:val="none"/>
          <w:lang w:val="en-US" w:eastAsia="zh-CN"/>
        </w:rPr>
        <w:t xml:space="preserve">-1  </w:t>
      </w:r>
      <w:r>
        <w:rPr>
          <w:rFonts w:hint="eastAsia" w:cs="Times New Roman"/>
          <w:color w:val="auto"/>
          <w:highlight w:val="none"/>
          <w:lang w:val="en-US" w:eastAsia="zh-CN"/>
        </w:rPr>
        <w:t>本方案河流</w:t>
      </w:r>
      <w:r>
        <w:rPr>
          <w:rFonts w:hint="eastAsia"/>
          <w:color w:val="auto"/>
          <w:highlight w:val="none"/>
          <w:lang w:val="en-US" w:eastAsia="zh-CN"/>
        </w:rPr>
        <w:t>基本情况调查统计表</w:t>
      </w:r>
    </w:p>
    <w:tbl>
      <w:tblPr>
        <w:tblStyle w:val="23"/>
        <w:tblW w:w="1416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4"/>
        <w:gridCol w:w="1899"/>
        <w:gridCol w:w="1515"/>
        <w:gridCol w:w="1724"/>
        <w:gridCol w:w="1380"/>
        <w:gridCol w:w="2085"/>
        <w:gridCol w:w="3269"/>
        <w:gridCol w:w="1654"/>
      </w:tblGrid>
      <w:tr w14:paraId="1A7284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14:paraId="5C33FD85">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序号</w:t>
            </w:r>
          </w:p>
        </w:tc>
        <w:tc>
          <w:tcPr>
            <w:tcW w:w="1899" w:type="dxa"/>
            <w:tcBorders>
              <w:tl2br w:val="nil"/>
              <w:tr2bl w:val="nil"/>
            </w:tcBorders>
            <w:shd w:val="clear" w:color="auto" w:fill="auto"/>
            <w:vAlign w:val="center"/>
          </w:tcPr>
          <w:p w14:paraId="485BE99F">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河流名称</w:t>
            </w:r>
          </w:p>
        </w:tc>
        <w:tc>
          <w:tcPr>
            <w:tcW w:w="1515" w:type="dxa"/>
            <w:tcBorders>
              <w:tl2br w:val="nil"/>
              <w:tr2bl w:val="nil"/>
            </w:tcBorders>
            <w:shd w:val="clear" w:color="auto" w:fill="auto"/>
            <w:vAlign w:val="center"/>
          </w:tcPr>
          <w:p w14:paraId="0C18FA00">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境内河流长度</w:t>
            </w:r>
            <w:r>
              <w:rPr>
                <w:rFonts w:hint="eastAsia" w:ascii="宋体" w:hAnsi="宋体" w:eastAsia="宋体" w:cs="宋体"/>
                <w:b w:val="0"/>
                <w:bCs/>
                <w:i w:val="0"/>
                <w:iCs w:val="0"/>
                <w:color w:val="auto"/>
                <w:sz w:val="21"/>
                <w:szCs w:val="21"/>
                <w:highlight w:val="none"/>
                <w:lang w:val="en-US" w:eastAsia="zh-CN"/>
              </w:rPr>
              <w:t>（km）</w:t>
            </w:r>
          </w:p>
        </w:tc>
        <w:tc>
          <w:tcPr>
            <w:tcW w:w="1724" w:type="dxa"/>
            <w:tcBorders>
              <w:tl2br w:val="nil"/>
              <w:tr2bl w:val="nil"/>
            </w:tcBorders>
            <w:shd w:val="clear" w:color="auto" w:fill="auto"/>
            <w:vAlign w:val="center"/>
          </w:tcPr>
          <w:p w14:paraId="43C5F839">
            <w:pPr>
              <w:pStyle w:val="29"/>
              <w:keepNext w:val="0"/>
              <w:keepLines w:val="0"/>
              <w:suppressLineNumbers w:val="0"/>
              <w:bidi w:val="0"/>
              <w:spacing w:before="0" w:beforeAutospacing="0" w:after="0" w:afterAutospacing="0"/>
              <w:ind w:left="0" w:leftChars="0" w:right="0" w:rightChars="0" w:firstLine="0" w:firstLineChars="0"/>
              <w:rPr>
                <w:rFonts w:hint="eastAsia" w:ascii="Times New Roman" w:hAnsi="Times New Roman" w:eastAsia="宋体" w:cstheme="minorBidi"/>
                <w:b w:val="0"/>
                <w:bCs/>
                <w:i w:val="0"/>
                <w:iCs w:val="0"/>
                <w:color w:val="auto"/>
                <w:kern w:val="2"/>
                <w:sz w:val="21"/>
                <w:szCs w:val="21"/>
                <w:highlight w:val="none"/>
                <w:lang w:val="en-US" w:eastAsia="zh-CN" w:bidi="ar-SA"/>
              </w:rPr>
            </w:pPr>
            <w:r>
              <w:rPr>
                <w:rFonts w:hint="eastAsia"/>
                <w:b w:val="0"/>
                <w:bCs/>
                <w:i w:val="0"/>
                <w:iCs w:val="0"/>
                <w:color w:val="auto"/>
                <w:sz w:val="21"/>
                <w:szCs w:val="21"/>
                <w:highlight w:val="none"/>
              </w:rPr>
              <w:t>河流流经</w:t>
            </w:r>
            <w:r>
              <w:rPr>
                <w:rFonts w:hint="eastAsia"/>
                <w:b w:val="0"/>
                <w:bCs/>
                <w:i w:val="0"/>
                <w:iCs w:val="0"/>
                <w:color w:val="auto"/>
                <w:sz w:val="21"/>
                <w:szCs w:val="21"/>
                <w:highlight w:val="none"/>
                <w:lang w:val="en-US" w:eastAsia="zh-CN"/>
              </w:rPr>
              <w:t>乡镇</w:t>
            </w:r>
          </w:p>
        </w:tc>
        <w:tc>
          <w:tcPr>
            <w:tcW w:w="1380" w:type="dxa"/>
            <w:tcBorders>
              <w:tl2br w:val="nil"/>
              <w:tr2bl w:val="nil"/>
            </w:tcBorders>
            <w:shd w:val="clear" w:color="auto" w:fill="auto"/>
            <w:vAlign w:val="center"/>
          </w:tcPr>
          <w:p w14:paraId="68B6B58B">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河流属性</w:t>
            </w:r>
          </w:p>
        </w:tc>
        <w:tc>
          <w:tcPr>
            <w:tcW w:w="2085" w:type="dxa"/>
            <w:tcBorders>
              <w:tl2br w:val="nil"/>
              <w:tr2bl w:val="nil"/>
            </w:tcBorders>
            <w:shd w:val="clear" w:color="auto" w:fill="auto"/>
            <w:vAlign w:val="center"/>
          </w:tcPr>
          <w:p w14:paraId="791EB1D2">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河道起点</w:t>
            </w:r>
          </w:p>
        </w:tc>
        <w:tc>
          <w:tcPr>
            <w:tcW w:w="3269" w:type="dxa"/>
            <w:tcBorders>
              <w:tl2br w:val="nil"/>
              <w:tr2bl w:val="nil"/>
            </w:tcBorders>
            <w:shd w:val="clear" w:color="auto" w:fill="auto"/>
            <w:vAlign w:val="center"/>
          </w:tcPr>
          <w:p w14:paraId="23CEA685">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河道终点</w:t>
            </w:r>
          </w:p>
        </w:tc>
        <w:tc>
          <w:tcPr>
            <w:tcW w:w="1654" w:type="dxa"/>
            <w:tcBorders>
              <w:tl2br w:val="nil"/>
              <w:tr2bl w:val="nil"/>
            </w:tcBorders>
            <w:shd w:val="clear" w:color="auto" w:fill="auto"/>
            <w:vAlign w:val="center"/>
          </w:tcPr>
          <w:p w14:paraId="14526E98">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河流水库</w:t>
            </w:r>
          </w:p>
        </w:tc>
      </w:tr>
      <w:tr w14:paraId="7A9D76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14:paraId="37E4BD05">
            <w:pPr>
              <w:pStyle w:val="29"/>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rPr>
            </w:pPr>
            <w:r>
              <w:rPr>
                <w:rFonts w:hint="default" w:ascii="Times New Roman" w:hAnsi="Times New Roman" w:cs="Times New Roman"/>
                <w:b w:val="0"/>
                <w:bCs/>
                <w:i w:val="0"/>
                <w:iCs w:val="0"/>
                <w:color w:val="auto"/>
                <w:sz w:val="21"/>
                <w:szCs w:val="21"/>
                <w:highlight w:val="none"/>
                <w:lang w:val="en-US" w:eastAsia="zh-CN"/>
              </w:rPr>
              <w:t>1</w:t>
            </w:r>
          </w:p>
        </w:tc>
        <w:tc>
          <w:tcPr>
            <w:tcW w:w="1899" w:type="dxa"/>
            <w:tcBorders>
              <w:tl2br w:val="nil"/>
              <w:tr2bl w:val="nil"/>
            </w:tcBorders>
            <w:shd w:val="clear" w:color="auto" w:fill="auto"/>
            <w:vAlign w:val="center"/>
          </w:tcPr>
          <w:p w14:paraId="6EBC75D9">
            <w:pPr>
              <w:pStyle w:val="29"/>
              <w:keepNext w:val="0"/>
              <w:keepLines w:val="0"/>
              <w:suppressLineNumbers w:val="0"/>
              <w:bidi w:val="0"/>
              <w:spacing w:before="0" w:beforeAutospacing="0" w:after="0" w:afterAutospacing="0"/>
              <w:ind w:left="0" w:right="0"/>
              <w:rPr>
                <w:rFonts w:hint="eastAsia"/>
                <w:b w:val="0"/>
                <w:bCs/>
                <w:i w:val="0"/>
                <w:iCs w:val="0"/>
                <w:color w:val="auto"/>
                <w:sz w:val="21"/>
                <w:szCs w:val="21"/>
                <w:highlight w:val="none"/>
              </w:rPr>
            </w:pPr>
            <w:r>
              <w:rPr>
                <w:rFonts w:hint="eastAsia"/>
                <w:b w:val="0"/>
                <w:bCs/>
                <w:i w:val="0"/>
                <w:iCs w:val="0"/>
                <w:color w:val="auto"/>
                <w:sz w:val="21"/>
                <w:szCs w:val="21"/>
                <w:highlight w:val="none"/>
                <w:lang w:val="en-US" w:eastAsia="zh-CN"/>
              </w:rPr>
              <w:t>梅江河</w:t>
            </w:r>
          </w:p>
        </w:tc>
        <w:tc>
          <w:tcPr>
            <w:tcW w:w="1515" w:type="dxa"/>
            <w:tcBorders>
              <w:tl2br w:val="nil"/>
              <w:tr2bl w:val="nil"/>
            </w:tcBorders>
            <w:shd w:val="clear" w:color="auto" w:fill="auto"/>
            <w:vAlign w:val="center"/>
          </w:tcPr>
          <w:p w14:paraId="6D7D0A51">
            <w:pPr>
              <w:pStyle w:val="29"/>
              <w:keepNext w:val="0"/>
              <w:keepLines w:val="0"/>
              <w:suppressLineNumbers w:val="0"/>
              <w:bidi w:val="0"/>
              <w:spacing w:before="0" w:beforeAutospacing="0" w:after="0" w:afterAutospacing="0"/>
              <w:ind w:left="0" w:right="0"/>
              <w:rPr>
                <w:rFonts w:hint="default" w:ascii="Times New Roman" w:hAnsi="Times New Roman" w:cs="Times New Roman"/>
                <w:b w:val="0"/>
                <w:bCs/>
                <w:i w:val="0"/>
                <w:iCs w:val="0"/>
                <w:color w:val="auto"/>
                <w:sz w:val="21"/>
                <w:szCs w:val="21"/>
                <w:highlight w:val="none"/>
                <w:lang w:val="en-US"/>
              </w:rPr>
            </w:pPr>
            <w:r>
              <w:rPr>
                <w:rFonts w:hint="eastAsia" w:ascii="Times New Roman" w:cs="Times New Roman"/>
                <w:b w:val="0"/>
                <w:bCs/>
                <w:i w:val="0"/>
                <w:iCs w:val="0"/>
                <w:color w:val="auto"/>
                <w:sz w:val="21"/>
                <w:szCs w:val="21"/>
                <w:highlight w:val="none"/>
                <w:lang w:val="en-US" w:eastAsia="zh-CN"/>
              </w:rPr>
              <w:t>137.8</w:t>
            </w:r>
          </w:p>
        </w:tc>
        <w:tc>
          <w:tcPr>
            <w:tcW w:w="1724" w:type="dxa"/>
            <w:tcBorders>
              <w:tl2br w:val="nil"/>
              <w:tr2bl w:val="nil"/>
            </w:tcBorders>
            <w:shd w:val="clear" w:color="auto" w:fill="auto"/>
            <w:vAlign w:val="center"/>
          </w:tcPr>
          <w:p w14:paraId="49254282">
            <w:pPr>
              <w:pStyle w:val="29"/>
              <w:keepNext w:val="0"/>
              <w:keepLines w:val="0"/>
              <w:suppressLineNumbers w:val="0"/>
              <w:bidi w:val="0"/>
              <w:spacing w:before="0" w:beforeAutospacing="0" w:after="0" w:afterAutospacing="0"/>
              <w:ind w:left="0" w:right="0"/>
              <w:rPr>
                <w:rFonts w:hint="default" w:eastAsia="宋体"/>
                <w:b w:val="0"/>
                <w:bCs w:val="0"/>
                <w:i w:val="0"/>
                <w:iCs w:val="0"/>
                <w:color w:val="auto"/>
                <w:sz w:val="21"/>
                <w:szCs w:val="21"/>
                <w:highlight w:val="none"/>
                <w:lang w:val="en-US" w:eastAsia="zh-CN"/>
              </w:rPr>
            </w:pPr>
            <w:r>
              <w:rPr>
                <w:rFonts w:hint="eastAsia"/>
                <w:b w:val="0"/>
                <w:bCs w:val="0"/>
                <w:color w:val="auto"/>
                <w:sz w:val="18"/>
                <w:szCs w:val="18"/>
                <w:lang w:val="en-US" w:eastAsia="zh-CN"/>
              </w:rPr>
              <w:t>钟灵镇、梅江镇、岑溪乡、石耶镇、平凯街道、中和街道、乌杨街道、官庄街道、龙池镇、妙泉镇、宋农镇、石堤镇</w:t>
            </w:r>
          </w:p>
        </w:tc>
        <w:tc>
          <w:tcPr>
            <w:tcW w:w="1380" w:type="dxa"/>
            <w:tcBorders>
              <w:tl2br w:val="nil"/>
              <w:tr2bl w:val="nil"/>
            </w:tcBorders>
            <w:shd w:val="clear" w:color="auto" w:fill="auto"/>
            <w:vAlign w:val="center"/>
          </w:tcPr>
          <w:p w14:paraId="605B0120">
            <w:pPr>
              <w:pStyle w:val="29"/>
              <w:keepNext w:val="0"/>
              <w:keepLines w:val="0"/>
              <w:suppressLineNumbers w:val="0"/>
              <w:bidi w:val="0"/>
              <w:spacing w:before="0" w:beforeAutospacing="0" w:after="0" w:afterAutospacing="0"/>
              <w:ind w:left="0" w:right="0"/>
              <w:rPr>
                <w:rFonts w:hint="default"/>
                <w:b w:val="0"/>
                <w:bCs/>
                <w:i w:val="0"/>
                <w:iCs w:val="0"/>
                <w:color w:val="auto"/>
                <w:sz w:val="21"/>
                <w:szCs w:val="21"/>
                <w:highlight w:val="none"/>
                <w:lang w:val="en-US"/>
              </w:rPr>
            </w:pPr>
            <w:r>
              <w:rPr>
                <w:rFonts w:hint="eastAsia"/>
                <w:b w:val="0"/>
                <w:bCs/>
                <w:i w:val="0"/>
                <w:iCs w:val="0"/>
                <w:color w:val="auto"/>
                <w:sz w:val="21"/>
                <w:szCs w:val="21"/>
                <w:highlight w:val="none"/>
                <w:lang w:val="en-US" w:eastAsia="zh-CN"/>
              </w:rPr>
              <w:t>县级河流</w:t>
            </w:r>
          </w:p>
        </w:tc>
        <w:tc>
          <w:tcPr>
            <w:tcW w:w="2085" w:type="dxa"/>
            <w:tcBorders>
              <w:tl2br w:val="nil"/>
              <w:tr2bl w:val="nil"/>
            </w:tcBorders>
            <w:shd w:val="clear" w:color="auto" w:fill="auto"/>
            <w:vAlign w:val="center"/>
          </w:tcPr>
          <w:p w14:paraId="63CEAB01">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秀山县钟灵镇</w:t>
            </w:r>
          </w:p>
        </w:tc>
        <w:tc>
          <w:tcPr>
            <w:tcW w:w="3269" w:type="dxa"/>
            <w:tcBorders>
              <w:tl2br w:val="nil"/>
              <w:tr2bl w:val="nil"/>
            </w:tcBorders>
            <w:shd w:val="clear" w:color="auto" w:fill="auto"/>
            <w:vAlign w:val="center"/>
          </w:tcPr>
          <w:p w14:paraId="7C69DC26">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b w:val="0"/>
                <w:bCs w:val="0"/>
                <w:i w:val="0"/>
                <w:iCs w:val="0"/>
                <w:color w:val="auto"/>
                <w:sz w:val="21"/>
                <w:szCs w:val="21"/>
                <w:highlight w:val="none"/>
              </w:rPr>
            </w:pPr>
            <w:r>
              <w:rPr>
                <w:rFonts w:hint="eastAsia"/>
                <w:b w:val="0"/>
                <w:bCs w:val="0"/>
                <w:color w:val="auto"/>
                <w:sz w:val="21"/>
                <w:szCs w:val="21"/>
              </w:rPr>
              <w:t>秀山县石堤镇</w:t>
            </w:r>
          </w:p>
        </w:tc>
        <w:tc>
          <w:tcPr>
            <w:tcW w:w="1654" w:type="dxa"/>
            <w:tcBorders>
              <w:tl2br w:val="nil"/>
              <w:tr2bl w:val="nil"/>
            </w:tcBorders>
            <w:shd w:val="clear" w:color="auto" w:fill="auto"/>
            <w:vAlign w:val="center"/>
          </w:tcPr>
          <w:p w14:paraId="074ACF48">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eastAsia="宋体"/>
                <w:b w:val="0"/>
                <w:bCs w:val="0"/>
                <w:i w:val="0"/>
                <w:iCs w:val="0"/>
                <w:color w:val="auto"/>
                <w:sz w:val="21"/>
                <w:szCs w:val="21"/>
                <w:highlight w:val="none"/>
                <w:lang w:val="en-US" w:eastAsia="zh-CN"/>
              </w:rPr>
            </w:pPr>
            <w:r>
              <w:rPr>
                <w:rFonts w:hint="eastAsia"/>
                <w:b w:val="0"/>
                <w:bCs w:val="0"/>
                <w:color w:val="auto"/>
                <w:sz w:val="18"/>
                <w:szCs w:val="18"/>
                <w:lang w:eastAsia="zh-CN"/>
              </w:rPr>
              <w:t>钟灵水库</w:t>
            </w:r>
          </w:p>
        </w:tc>
      </w:tr>
      <w:tr w14:paraId="7A045E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14:paraId="636A2A0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i w:val="0"/>
                <w:iCs w:val="0"/>
                <w:color w:val="auto"/>
                <w:sz w:val="21"/>
                <w:szCs w:val="21"/>
                <w:highlight w:val="none"/>
                <w:lang w:val="en-US" w:eastAsia="zh-CN"/>
              </w:rPr>
            </w:pPr>
            <w:r>
              <w:rPr>
                <w:rFonts w:hint="default" w:ascii="Times New Roman" w:hAnsi="Times New Roman" w:cs="Times New Roman"/>
                <w:b w:val="0"/>
                <w:bCs/>
                <w:i w:val="0"/>
                <w:iCs w:val="0"/>
                <w:color w:val="auto"/>
                <w:sz w:val="21"/>
                <w:szCs w:val="21"/>
                <w:highlight w:val="none"/>
                <w:lang w:val="en-US" w:eastAsia="zh-CN"/>
              </w:rPr>
              <w:t>2</w:t>
            </w:r>
          </w:p>
        </w:tc>
        <w:tc>
          <w:tcPr>
            <w:tcW w:w="1899" w:type="dxa"/>
            <w:tcBorders>
              <w:tl2br w:val="nil"/>
              <w:tr2bl w:val="nil"/>
            </w:tcBorders>
            <w:shd w:val="clear" w:color="auto" w:fill="auto"/>
            <w:vAlign w:val="center"/>
          </w:tcPr>
          <w:p w14:paraId="0A3546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eastAsia"/>
                <w:b w:val="0"/>
                <w:bCs/>
                <w:i w:val="0"/>
                <w:iCs w:val="0"/>
                <w:color w:val="auto"/>
                <w:sz w:val="21"/>
                <w:szCs w:val="21"/>
                <w:highlight w:val="none"/>
              </w:rPr>
            </w:pPr>
            <w:r>
              <w:rPr>
                <w:rFonts w:hint="eastAsia"/>
                <w:color w:val="auto"/>
                <w:highlight w:val="none"/>
                <w:lang w:val="en-US" w:eastAsia="zh-CN"/>
              </w:rPr>
              <w:t>中平河</w:t>
            </w:r>
          </w:p>
        </w:tc>
        <w:tc>
          <w:tcPr>
            <w:tcW w:w="1515" w:type="dxa"/>
            <w:tcBorders>
              <w:tl2br w:val="nil"/>
              <w:tr2bl w:val="nil"/>
            </w:tcBorders>
            <w:shd w:val="clear" w:color="auto" w:fill="auto"/>
            <w:vAlign w:val="center"/>
          </w:tcPr>
          <w:p w14:paraId="42891A4B">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default" w:ascii="Times New Roman" w:hAnsi="Times New Roman" w:cs="Times New Roman"/>
                <w:b w:val="0"/>
                <w:bCs w:val="0"/>
                <w:color w:val="auto"/>
                <w:sz w:val="21"/>
                <w:szCs w:val="21"/>
                <w:lang w:val="en-US" w:eastAsia="zh-CN"/>
              </w:rPr>
              <w:t>45.6</w:t>
            </w:r>
          </w:p>
        </w:tc>
        <w:tc>
          <w:tcPr>
            <w:tcW w:w="1724" w:type="dxa"/>
            <w:tcBorders>
              <w:tl2br w:val="nil"/>
              <w:tr2bl w:val="nil"/>
            </w:tcBorders>
            <w:shd w:val="clear" w:color="auto" w:fill="auto"/>
            <w:vAlign w:val="center"/>
          </w:tcPr>
          <w:p w14:paraId="3175FD61">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val="0"/>
                <w:snapToGrid w:val="0"/>
                <w:color w:val="auto"/>
                <w:kern w:val="0"/>
                <w:sz w:val="21"/>
                <w:szCs w:val="21"/>
                <w:lang w:val="en-US" w:eastAsia="zh-CN" w:bidi="ar-SA"/>
              </w:rPr>
            </w:pPr>
            <w:r>
              <w:rPr>
                <w:rFonts w:hint="eastAsia"/>
                <w:b w:val="0"/>
                <w:bCs/>
                <w:color w:val="auto"/>
                <w:sz w:val="21"/>
                <w:szCs w:val="21"/>
                <w:lang w:val="en-US" w:eastAsia="zh-CN"/>
              </w:rPr>
              <w:t>中平乡、</w:t>
            </w:r>
            <w:r>
              <w:rPr>
                <w:rFonts w:hint="eastAsia"/>
                <w:b w:val="0"/>
                <w:bCs/>
                <w:color w:val="auto"/>
                <w:sz w:val="21"/>
                <w:szCs w:val="21"/>
              </w:rPr>
              <w:t>石耶镇</w:t>
            </w:r>
          </w:p>
        </w:tc>
        <w:tc>
          <w:tcPr>
            <w:tcW w:w="1380" w:type="dxa"/>
            <w:tcBorders>
              <w:tl2br w:val="nil"/>
              <w:tr2bl w:val="nil"/>
            </w:tcBorders>
            <w:shd w:val="clear" w:color="auto" w:fill="auto"/>
            <w:vAlign w:val="center"/>
          </w:tcPr>
          <w:p w14:paraId="6A9EAA60">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lang w:eastAsia="zh-CN"/>
              </w:rPr>
              <w:t>县级河流</w:t>
            </w:r>
          </w:p>
        </w:tc>
        <w:tc>
          <w:tcPr>
            <w:tcW w:w="2085" w:type="dxa"/>
            <w:tcBorders>
              <w:tl2br w:val="nil"/>
              <w:tr2bl w:val="nil"/>
            </w:tcBorders>
            <w:shd w:val="clear" w:color="auto" w:fill="auto"/>
            <w:vAlign w:val="center"/>
          </w:tcPr>
          <w:p w14:paraId="458C6ED9">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lang w:val="en-US" w:eastAsia="zh-CN"/>
              </w:rPr>
              <w:t>中平乡</w:t>
            </w:r>
          </w:p>
        </w:tc>
        <w:tc>
          <w:tcPr>
            <w:tcW w:w="3269" w:type="dxa"/>
            <w:tcBorders>
              <w:tl2br w:val="nil"/>
              <w:tr2bl w:val="nil"/>
            </w:tcBorders>
            <w:shd w:val="clear" w:color="auto" w:fill="auto"/>
            <w:vAlign w:val="center"/>
          </w:tcPr>
          <w:p w14:paraId="790131B8">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val="0"/>
                <w:snapToGrid w:val="0"/>
                <w:color w:val="auto"/>
                <w:kern w:val="0"/>
                <w:sz w:val="21"/>
                <w:szCs w:val="21"/>
                <w:lang w:val="en-US" w:eastAsia="zh-CN" w:bidi="ar-SA"/>
              </w:rPr>
            </w:pPr>
            <w:r>
              <w:rPr>
                <w:rFonts w:hint="eastAsia"/>
                <w:b w:val="0"/>
                <w:bCs w:val="0"/>
                <w:color w:val="auto"/>
                <w:sz w:val="21"/>
                <w:szCs w:val="21"/>
              </w:rPr>
              <w:t>秀山县</w:t>
            </w:r>
            <w:r>
              <w:rPr>
                <w:rFonts w:hint="eastAsia"/>
                <w:b w:val="0"/>
                <w:bCs/>
                <w:color w:val="auto"/>
                <w:sz w:val="21"/>
                <w:szCs w:val="21"/>
              </w:rPr>
              <w:t>石耶镇</w:t>
            </w:r>
          </w:p>
        </w:tc>
        <w:tc>
          <w:tcPr>
            <w:tcW w:w="1654" w:type="dxa"/>
            <w:tcBorders>
              <w:tl2br w:val="nil"/>
              <w:tr2bl w:val="nil"/>
            </w:tcBorders>
            <w:shd w:val="clear" w:color="auto" w:fill="auto"/>
            <w:vAlign w:val="center"/>
          </w:tcPr>
          <w:p w14:paraId="45444330">
            <w:pPr>
              <w:pStyle w:val="29"/>
              <w:keepNext w:val="0"/>
              <w:keepLines w:val="0"/>
              <w:suppressLineNumbers w:val="0"/>
              <w:bidi w:val="0"/>
              <w:spacing w:before="0" w:beforeAutospacing="0" w:after="0" w:afterAutospacing="0"/>
              <w:ind w:left="0" w:right="0"/>
              <w:rPr>
                <w:rFonts w:hint="eastAsia" w:eastAsia="宋体"/>
                <w:b w:val="0"/>
                <w:bCs/>
                <w:i w:val="0"/>
                <w:iCs w:val="0"/>
                <w:color w:val="auto"/>
                <w:sz w:val="21"/>
                <w:szCs w:val="21"/>
                <w:highlight w:val="none"/>
                <w:lang w:val="en-US" w:eastAsia="zh-CN"/>
              </w:rPr>
            </w:pPr>
          </w:p>
        </w:tc>
      </w:tr>
      <w:tr w14:paraId="5E3003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14:paraId="7DAD0E4D">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b w:val="0"/>
                <w:bCs w:val="0"/>
                <w:color w:val="auto"/>
                <w:sz w:val="21"/>
                <w:szCs w:val="21"/>
                <w:highlight w:val="none"/>
                <w:lang w:val="en-US" w:eastAsia="zh-CN"/>
              </w:rPr>
              <w:t>3</w:t>
            </w:r>
          </w:p>
        </w:tc>
        <w:tc>
          <w:tcPr>
            <w:tcW w:w="1899" w:type="dxa"/>
            <w:tcBorders>
              <w:tl2br w:val="nil"/>
              <w:tr2bl w:val="nil"/>
            </w:tcBorders>
            <w:shd w:val="clear" w:color="auto" w:fill="auto"/>
            <w:vAlign w:val="center"/>
          </w:tcPr>
          <w:p w14:paraId="3B5929CA">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snapToGrid w:val="0"/>
                <w:color w:val="auto"/>
                <w:kern w:val="0"/>
                <w:sz w:val="18"/>
                <w:szCs w:val="18"/>
                <w:lang w:val="en-US" w:eastAsia="zh-CN" w:bidi="ar-SA"/>
              </w:rPr>
            </w:pPr>
            <w:r>
              <w:rPr>
                <w:rFonts w:hint="eastAsia"/>
                <w:b w:val="0"/>
                <w:bCs w:val="0"/>
                <w:color w:val="auto"/>
                <w:sz w:val="21"/>
                <w:szCs w:val="21"/>
                <w:highlight w:val="none"/>
                <w:lang w:eastAsia="zh-CN"/>
              </w:rPr>
              <w:t>同心河</w:t>
            </w:r>
          </w:p>
        </w:tc>
        <w:tc>
          <w:tcPr>
            <w:tcW w:w="1515" w:type="dxa"/>
            <w:tcBorders>
              <w:tl2br w:val="nil"/>
              <w:tr2bl w:val="nil"/>
            </w:tcBorders>
            <w:shd w:val="clear" w:color="auto" w:fill="auto"/>
            <w:vAlign w:val="center"/>
          </w:tcPr>
          <w:p w14:paraId="5BF5E8DE">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3</w:t>
            </w:r>
          </w:p>
        </w:tc>
        <w:tc>
          <w:tcPr>
            <w:tcW w:w="1724" w:type="dxa"/>
            <w:tcBorders>
              <w:tl2br w:val="nil"/>
              <w:tr2bl w:val="nil"/>
            </w:tcBorders>
            <w:shd w:val="clear" w:color="auto" w:fill="auto"/>
            <w:vAlign w:val="center"/>
          </w:tcPr>
          <w:p w14:paraId="1FBDD318">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14:paraId="3BE36D69">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Times New Roman" w:hAnsi="Times New Roman" w:eastAsia="宋体" w:cstheme="minorBidi"/>
                <w:b w:val="0"/>
                <w:bCs/>
                <w:snapToGrid w:val="0"/>
                <w:color w:val="auto"/>
                <w:kern w:val="2"/>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14:paraId="434D225F">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3269" w:type="dxa"/>
            <w:tcBorders>
              <w:tl2br w:val="nil"/>
              <w:tr2bl w:val="nil"/>
            </w:tcBorders>
            <w:shd w:val="clear" w:color="auto" w:fill="auto"/>
            <w:vAlign w:val="center"/>
          </w:tcPr>
          <w:p w14:paraId="0B6EA233">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石耶镇余庆居委会</w:t>
            </w:r>
          </w:p>
        </w:tc>
        <w:tc>
          <w:tcPr>
            <w:tcW w:w="1654" w:type="dxa"/>
            <w:tcBorders>
              <w:tl2br w:val="nil"/>
              <w:tr2bl w:val="nil"/>
            </w:tcBorders>
            <w:shd w:val="clear" w:color="auto" w:fill="auto"/>
            <w:vAlign w:val="center"/>
          </w:tcPr>
          <w:p w14:paraId="7EB8C700">
            <w:pPr>
              <w:pStyle w:val="29"/>
              <w:keepNext w:val="0"/>
              <w:keepLines w:val="0"/>
              <w:suppressLineNumbers w:val="0"/>
              <w:bidi w:val="0"/>
              <w:spacing w:before="0" w:beforeAutospacing="0" w:after="0" w:afterAutospacing="0"/>
              <w:ind w:left="0" w:right="0"/>
              <w:rPr>
                <w:rFonts w:hint="eastAsia"/>
                <w:color w:val="auto"/>
                <w:sz w:val="21"/>
                <w:szCs w:val="21"/>
                <w:highlight w:val="none"/>
              </w:rPr>
            </w:pPr>
          </w:p>
        </w:tc>
      </w:tr>
      <w:tr w14:paraId="6395AA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634" w:type="dxa"/>
            <w:tcBorders>
              <w:tl2br w:val="nil"/>
              <w:tr2bl w:val="nil"/>
            </w:tcBorders>
            <w:shd w:val="clear" w:color="auto" w:fill="auto"/>
            <w:vAlign w:val="center"/>
          </w:tcPr>
          <w:p w14:paraId="1041E310">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4</w:t>
            </w:r>
          </w:p>
        </w:tc>
        <w:tc>
          <w:tcPr>
            <w:tcW w:w="1899" w:type="dxa"/>
            <w:tcBorders>
              <w:tl2br w:val="nil"/>
              <w:tr2bl w:val="nil"/>
            </w:tcBorders>
            <w:shd w:val="clear" w:color="auto" w:fill="auto"/>
            <w:vAlign w:val="center"/>
          </w:tcPr>
          <w:p w14:paraId="425085F6">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val="en-US" w:eastAsia="zh-CN"/>
              </w:rPr>
              <w:t>甘溪沟河</w:t>
            </w:r>
          </w:p>
        </w:tc>
        <w:tc>
          <w:tcPr>
            <w:tcW w:w="1515" w:type="dxa"/>
            <w:tcBorders>
              <w:tl2br w:val="nil"/>
              <w:tr2bl w:val="nil"/>
            </w:tcBorders>
            <w:shd w:val="clear" w:color="auto" w:fill="auto"/>
            <w:vAlign w:val="center"/>
          </w:tcPr>
          <w:p w14:paraId="66DC4171">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5</w:t>
            </w:r>
          </w:p>
        </w:tc>
        <w:tc>
          <w:tcPr>
            <w:tcW w:w="1724" w:type="dxa"/>
            <w:tcBorders>
              <w:tl2br w:val="nil"/>
              <w:tr2bl w:val="nil"/>
            </w:tcBorders>
            <w:shd w:val="clear" w:color="auto" w:fill="auto"/>
            <w:vAlign w:val="center"/>
          </w:tcPr>
          <w:p w14:paraId="1DEACD7F">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w:t>
            </w:r>
          </w:p>
        </w:tc>
        <w:tc>
          <w:tcPr>
            <w:tcW w:w="1380" w:type="dxa"/>
            <w:tcBorders>
              <w:tl2br w:val="nil"/>
              <w:tr2bl w:val="nil"/>
            </w:tcBorders>
            <w:shd w:val="clear" w:color="auto" w:fill="auto"/>
            <w:vAlign w:val="center"/>
          </w:tcPr>
          <w:p w14:paraId="62CDD558">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0" w:leftChars="0" w:right="0" w:rightChars="0"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lang w:eastAsia="zh-CN"/>
              </w:rPr>
              <w:t>乡镇级河流</w:t>
            </w:r>
          </w:p>
        </w:tc>
        <w:tc>
          <w:tcPr>
            <w:tcW w:w="2085" w:type="dxa"/>
            <w:tcBorders>
              <w:tl2br w:val="nil"/>
              <w:tr2bl w:val="nil"/>
            </w:tcBorders>
            <w:shd w:val="clear" w:color="auto" w:fill="auto"/>
            <w:vAlign w:val="center"/>
          </w:tcPr>
          <w:p w14:paraId="62B0CC81">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default"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3269" w:type="dxa"/>
            <w:tcBorders>
              <w:tl2br w:val="nil"/>
              <w:tr2bl w:val="nil"/>
            </w:tcBorders>
            <w:shd w:val="clear" w:color="auto" w:fill="auto"/>
            <w:vAlign w:val="center"/>
          </w:tcPr>
          <w:p w14:paraId="318B43B0">
            <w:pPr>
              <w:pStyle w:val="29"/>
              <w:keepNext w:val="0"/>
              <w:keepLines w:val="0"/>
              <w:pageBreakBefore w:val="0"/>
              <w:widowControl w:val="0"/>
              <w:suppressLineNumbers w:val="0"/>
              <w:kinsoku/>
              <w:wordWrap/>
              <w:overflowPunct/>
              <w:topLinePunct w:val="0"/>
              <w:bidi w:val="0"/>
              <w:adjustRightInd w:val="0"/>
              <w:spacing w:before="0" w:beforeAutospacing="0" w:after="0" w:afterAutospacing="0"/>
              <w:ind w:left="-53" w:leftChars="-25" w:right="-53" w:rightChars="-25" w:firstLine="0" w:firstLineChars="0"/>
              <w:jc w:val="center"/>
              <w:rPr>
                <w:rFonts w:hint="eastAsia" w:ascii="仿宋_GB2312" w:hAnsi="Times New Roman" w:eastAsia="宋体" w:cs="Times New Roman"/>
                <w:b w:val="0"/>
                <w:bCs/>
                <w:snapToGrid w:val="0"/>
                <w:color w:val="auto"/>
                <w:kern w:val="0"/>
                <w:sz w:val="21"/>
                <w:szCs w:val="21"/>
                <w:lang w:val="en-US" w:eastAsia="zh-CN" w:bidi="ar-SA"/>
              </w:rPr>
            </w:pPr>
            <w:r>
              <w:rPr>
                <w:rFonts w:hint="eastAsia"/>
                <w:b w:val="0"/>
                <w:bCs/>
                <w:color w:val="auto"/>
                <w:sz w:val="21"/>
                <w:szCs w:val="21"/>
              </w:rPr>
              <w:t>石耶镇西大居委会</w:t>
            </w:r>
          </w:p>
        </w:tc>
        <w:tc>
          <w:tcPr>
            <w:tcW w:w="1654" w:type="dxa"/>
            <w:tcBorders>
              <w:tl2br w:val="nil"/>
              <w:tr2bl w:val="nil"/>
            </w:tcBorders>
            <w:shd w:val="clear" w:color="auto" w:fill="auto"/>
            <w:vAlign w:val="center"/>
          </w:tcPr>
          <w:p w14:paraId="42AED5CF">
            <w:pPr>
              <w:pStyle w:val="29"/>
              <w:keepNext w:val="0"/>
              <w:keepLines w:val="0"/>
              <w:suppressLineNumbers w:val="0"/>
              <w:bidi w:val="0"/>
              <w:spacing w:before="0" w:beforeAutospacing="0" w:after="0" w:afterAutospacing="0"/>
              <w:ind w:left="0" w:right="0"/>
              <w:rPr>
                <w:rFonts w:hint="eastAsia" w:eastAsia="宋体"/>
                <w:color w:val="auto"/>
                <w:sz w:val="21"/>
                <w:szCs w:val="21"/>
                <w:highlight w:val="none"/>
                <w:lang w:val="en-US" w:eastAsia="zh-CN"/>
              </w:rPr>
            </w:pPr>
          </w:p>
        </w:tc>
      </w:tr>
    </w:tbl>
    <w:p w14:paraId="75E2D393">
      <w:pPr>
        <w:pStyle w:val="33"/>
        <w:jc w:val="both"/>
        <w:rPr>
          <w:rFonts w:hint="eastAsia"/>
          <w:color w:val="auto"/>
          <w:highlight w:val="none"/>
          <w:lang w:val="en-US" w:eastAsia="zh-CN"/>
        </w:rPr>
      </w:pPr>
    </w:p>
    <w:p w14:paraId="1341645D">
      <w:pPr>
        <w:pStyle w:val="7"/>
        <w:keepNext w:val="0"/>
        <w:keepLines/>
        <w:pageBreakBefore w:val="0"/>
        <w:widowControl w:val="0"/>
        <w:kinsoku/>
        <w:wordWrap/>
        <w:overflowPunct/>
        <w:topLinePunct w:val="0"/>
        <w:autoSpaceDE/>
        <w:autoSpaceDN/>
        <w:bidi w:val="0"/>
        <w:adjustRightInd/>
        <w:snapToGrid/>
        <w:spacing w:before="639" w:beforeLines="200"/>
        <w:ind w:left="0" w:leftChars="0" w:firstLine="0" w:firstLineChars="0"/>
        <w:textAlignment w:val="auto"/>
        <w:rPr>
          <w:rFonts w:hint="eastAsia"/>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33" w:name="_Toc10754"/>
    </w:p>
    <w:p w14:paraId="3C9E1DA5">
      <w:pPr>
        <w:pStyle w:val="7"/>
        <w:keepNext w:val="0"/>
        <w:keepLines/>
        <w:pageBreakBefore w:val="0"/>
        <w:widowControl w:val="0"/>
        <w:kinsoku/>
        <w:wordWrap/>
        <w:overflowPunct/>
        <w:topLinePunct w:val="0"/>
        <w:autoSpaceDE/>
        <w:autoSpaceDN/>
        <w:bidi w:val="0"/>
        <w:adjustRightInd/>
        <w:snapToGrid/>
        <w:ind w:left="0" w:leftChars="0" w:firstLine="0" w:firstLineChars="0"/>
        <w:textAlignment w:val="auto"/>
        <w:rPr>
          <w:rFonts w:hint="eastAsia"/>
          <w:color w:val="auto"/>
          <w:highlight w:val="none"/>
        </w:rPr>
      </w:pPr>
      <w:r>
        <w:rPr>
          <w:rFonts w:hint="eastAsia"/>
          <w:color w:val="auto"/>
          <w:highlight w:val="none"/>
        </w:rPr>
        <w:t>气象特征</w:t>
      </w:r>
      <w:bookmarkEnd w:id="33"/>
    </w:p>
    <w:p w14:paraId="2C9AB78D">
      <w:pPr>
        <w:pStyle w:val="5"/>
        <w:bidi w:val="0"/>
        <w:rPr>
          <w:rFonts w:hint="eastAsia" w:ascii="宋体" w:hAnsi="宋体" w:eastAsia="宋体" w:cs="宋体"/>
          <w:sz w:val="24"/>
          <w:szCs w:val="24"/>
          <w:lang w:val="en-US" w:eastAsia="zh-CN"/>
        </w:rPr>
      </w:pPr>
      <w:r>
        <w:rPr>
          <w:rFonts w:hint="eastAsia"/>
          <w:lang w:eastAsia="zh-CN"/>
        </w:rPr>
        <w:t>石耶</w:t>
      </w:r>
      <w:r>
        <w:rPr>
          <w:rFonts w:hint="eastAsia"/>
        </w:rPr>
        <w:t>镇属亚热带季风气候</w:t>
      </w:r>
      <w:r>
        <w:rPr>
          <w:rFonts w:ascii="Helvetica" w:hAnsi="Helvetica" w:eastAsia="Helvetica" w:cs="Helvetica"/>
          <w:b w:val="0"/>
          <w:bCs w:val="0"/>
          <w:i w:val="0"/>
          <w:iCs w:val="0"/>
          <w:caps w:val="0"/>
          <w:color w:val="333333"/>
          <w:spacing w:val="0"/>
          <w:sz w:val="21"/>
          <w:szCs w:val="21"/>
          <w:shd w:val="clear" w:fill="FFFFFF"/>
        </w:rPr>
        <w:t>；</w:t>
      </w:r>
      <w:r>
        <w:rPr>
          <w:rFonts w:hint="eastAsia" w:ascii="宋体" w:hAnsi="宋体" w:eastAsia="宋体" w:cs="宋体"/>
          <w:b w:val="0"/>
          <w:bCs w:val="0"/>
          <w:i w:val="0"/>
          <w:iCs w:val="0"/>
          <w:caps w:val="0"/>
          <w:color w:val="333333"/>
          <w:spacing w:val="0"/>
          <w:sz w:val="24"/>
          <w:szCs w:val="24"/>
          <w:shd w:val="clear" w:fill="FFFFFF"/>
        </w:rPr>
        <w:t>气候特征为夏热冬温，四季分明，雨热同期，季风发达</w:t>
      </w:r>
      <w:r>
        <w:rPr>
          <w:rFonts w:hint="eastAsia" w:ascii="宋体" w:hAnsi="宋体" w:eastAsia="宋体" w:cs="宋体"/>
          <w:sz w:val="24"/>
          <w:szCs w:val="24"/>
        </w:rPr>
        <w:t>的特点</w:t>
      </w:r>
      <w:r>
        <w:rPr>
          <w:rFonts w:hint="eastAsia" w:ascii="宋体" w:hAnsi="宋体" w:eastAsia="宋体" w:cs="宋体"/>
          <w:sz w:val="24"/>
          <w:szCs w:val="24"/>
          <w:lang w:val="en-US" w:eastAsia="zh-CN"/>
        </w:rPr>
        <w:t>。</w:t>
      </w:r>
    </w:p>
    <w:p w14:paraId="712AE297">
      <w:pPr>
        <w:pStyle w:val="5"/>
        <w:bidi w:val="0"/>
        <w:rPr>
          <w:rFonts w:hint="eastAsia" w:eastAsia="宋体"/>
          <w:color w:val="FF0000"/>
          <w:lang w:eastAsia="zh-CN"/>
        </w:rPr>
      </w:pPr>
      <w:r>
        <w:rPr>
          <w:rFonts w:hint="eastAsia"/>
        </w:rPr>
        <w:t>根据</w:t>
      </w:r>
      <w:r>
        <w:t>秀山气象站1958～201</w:t>
      </w:r>
      <w:r>
        <w:rPr>
          <w:rFonts w:hint="eastAsia"/>
          <w:lang w:val="en-US" w:eastAsia="zh-CN"/>
        </w:rPr>
        <w:t>1</w:t>
      </w:r>
      <w:r>
        <w:t>年</w:t>
      </w:r>
      <w:r>
        <w:rPr>
          <w:rFonts w:hint="eastAsia"/>
        </w:rPr>
        <w:t>共</w:t>
      </w:r>
      <w:r>
        <w:t>5</w:t>
      </w:r>
      <w:r>
        <w:rPr>
          <w:rFonts w:hint="eastAsia"/>
          <w:lang w:val="en-US" w:eastAsia="zh-CN"/>
        </w:rPr>
        <w:t>4</w:t>
      </w:r>
      <w:r>
        <w:t>年资料统计：</w:t>
      </w:r>
      <w:r>
        <w:rPr>
          <w:color w:val="auto"/>
        </w:rPr>
        <w:t>多年平均降水量</w:t>
      </w:r>
      <w:r>
        <w:rPr>
          <w:rFonts w:hint="eastAsia" w:ascii="Helvetica" w:hAnsi="Helvetica" w:cs="Helvetica"/>
          <w:b w:val="0"/>
          <w:bCs w:val="0"/>
          <w:i w:val="0"/>
          <w:iCs w:val="0"/>
          <w:caps w:val="0"/>
          <w:color w:val="auto"/>
          <w:spacing w:val="0"/>
          <w:sz w:val="21"/>
          <w:szCs w:val="21"/>
          <w:shd w:val="clear" w:fill="FFFFFF"/>
          <w:lang w:val="en-US" w:eastAsia="zh-CN"/>
        </w:rPr>
        <w:t>1314.1</w:t>
      </w:r>
      <w:r>
        <w:rPr>
          <w:rFonts w:hint="eastAsia" w:ascii="Helvetica" w:hAnsi="Helvetica" w:eastAsia="宋体" w:cs="Helvetica"/>
          <w:b w:val="0"/>
          <w:bCs w:val="0"/>
          <w:i w:val="0"/>
          <w:iCs w:val="0"/>
          <w:caps w:val="0"/>
          <w:color w:val="auto"/>
          <w:spacing w:val="0"/>
          <w:sz w:val="21"/>
          <w:szCs w:val="21"/>
          <w:shd w:val="clear" w:fill="FFFFFF"/>
          <w:lang w:val="en-US" w:eastAsia="zh-CN"/>
        </w:rPr>
        <w:t>mm</w:t>
      </w:r>
      <w:r>
        <w:rPr>
          <w:color w:val="auto"/>
        </w:rPr>
        <w:t>，最大年降水量</w:t>
      </w:r>
      <w:r>
        <w:rPr>
          <w:rFonts w:hint="eastAsia"/>
          <w:color w:val="auto"/>
          <w:lang w:val="en-US" w:eastAsia="zh-CN"/>
        </w:rPr>
        <w:t>1085</w:t>
      </w:r>
      <w:r>
        <w:rPr>
          <w:color w:val="auto"/>
        </w:rPr>
        <w:t>mm（</w:t>
      </w:r>
      <w:r>
        <w:rPr>
          <w:rFonts w:hint="eastAsia"/>
          <w:color w:val="auto"/>
          <w:lang w:val="en-US" w:eastAsia="zh-CN"/>
        </w:rPr>
        <w:t>1996</w:t>
      </w:r>
      <w:r>
        <w:rPr>
          <w:color w:val="auto"/>
        </w:rPr>
        <w:t>年），最小年降水量</w:t>
      </w:r>
      <w:r>
        <w:rPr>
          <w:rFonts w:hint="eastAsia"/>
          <w:color w:val="auto"/>
          <w:lang w:val="en-US" w:eastAsia="zh-CN"/>
        </w:rPr>
        <w:t>330</w:t>
      </w:r>
      <w:r>
        <w:rPr>
          <w:color w:val="auto"/>
        </w:rPr>
        <w:t>mm，相差达</w:t>
      </w:r>
      <w:r>
        <w:rPr>
          <w:rFonts w:hint="eastAsia"/>
          <w:color w:val="auto"/>
          <w:lang w:val="en-US" w:eastAsia="zh-CN"/>
        </w:rPr>
        <w:t>3.29</w:t>
      </w:r>
      <w:r>
        <w:rPr>
          <w:color w:val="auto"/>
        </w:rPr>
        <w:t>倍</w:t>
      </w:r>
      <w:r>
        <w:rPr>
          <w:rFonts w:hint="eastAsia"/>
          <w:color w:val="auto"/>
        </w:rPr>
        <w:t>；</w:t>
      </w:r>
      <w:r>
        <w:rPr>
          <w:color w:val="auto"/>
        </w:rPr>
        <w:t>多年平均气温</w:t>
      </w:r>
      <w:r>
        <w:rPr>
          <w:rFonts w:hint="eastAsia"/>
          <w:color w:val="auto"/>
          <w:lang w:val="en-US" w:eastAsia="zh-CN"/>
        </w:rPr>
        <w:t>17</w:t>
      </w:r>
      <w:r>
        <w:rPr>
          <w:rFonts w:hint="eastAsia"/>
          <w:color w:val="auto"/>
        </w:rPr>
        <w:t>℃，</w:t>
      </w:r>
      <w:r>
        <w:rPr>
          <w:color w:val="auto"/>
        </w:rPr>
        <w:t>一月份最低，平均气温5</w:t>
      </w:r>
      <w:r>
        <w:rPr>
          <w:rFonts w:hint="eastAsia"/>
          <w:color w:val="auto"/>
        </w:rPr>
        <w:t>℃</w:t>
      </w:r>
      <w:r>
        <w:rPr>
          <w:color w:val="auto"/>
        </w:rPr>
        <w:t>，七月份最高，平均</w:t>
      </w:r>
      <w:r>
        <w:rPr>
          <w:rFonts w:hint="eastAsia"/>
          <w:color w:val="auto"/>
        </w:rPr>
        <w:t>气温</w:t>
      </w:r>
      <w:r>
        <w:rPr>
          <w:rFonts w:hint="eastAsia"/>
          <w:color w:val="auto"/>
          <w:lang w:val="en-US" w:eastAsia="zh-CN"/>
        </w:rPr>
        <w:t>27.5</w:t>
      </w:r>
      <w:r>
        <w:rPr>
          <w:rFonts w:hint="eastAsia"/>
          <w:color w:val="auto"/>
        </w:rPr>
        <w:t>℃，</w:t>
      </w:r>
      <w:r>
        <w:rPr>
          <w:color w:val="auto"/>
        </w:rPr>
        <w:t>极端最高气温</w:t>
      </w:r>
      <w:r>
        <w:rPr>
          <w:rFonts w:hint="eastAsia"/>
          <w:color w:val="auto"/>
          <w:lang w:val="en-US" w:eastAsia="zh-CN"/>
        </w:rPr>
        <w:t>39.6</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7</w:t>
      </w:r>
      <w:r>
        <w:rPr>
          <w:color w:val="auto"/>
        </w:rPr>
        <w:t>月</w:t>
      </w:r>
      <w:r>
        <w:rPr>
          <w:rFonts w:hint="eastAsia"/>
          <w:color w:val="auto"/>
          <w:lang w:val="en-US" w:eastAsia="zh-CN"/>
        </w:rPr>
        <w:t>27日</w:t>
      </w:r>
      <w:r>
        <w:rPr>
          <w:color w:val="auto"/>
        </w:rPr>
        <w:t>），极端最低气温</w:t>
      </w:r>
      <w:r>
        <w:rPr>
          <w:rFonts w:hint="eastAsia"/>
          <w:color w:val="auto"/>
          <w:lang w:eastAsia="zh-CN"/>
        </w:rPr>
        <w:t>－</w:t>
      </w:r>
      <w:r>
        <w:rPr>
          <w:rFonts w:hint="eastAsia"/>
          <w:color w:val="auto"/>
          <w:lang w:val="en-US" w:eastAsia="zh-CN"/>
        </w:rPr>
        <w:t>8</w:t>
      </w:r>
      <w:r>
        <w:rPr>
          <w:color w:val="auto"/>
        </w:rPr>
        <w:t>.</w:t>
      </w:r>
      <w:r>
        <w:rPr>
          <w:rFonts w:hint="eastAsia"/>
          <w:color w:val="auto"/>
          <w:lang w:val="en-US" w:eastAsia="zh-CN"/>
        </w:rPr>
        <w:t>5</w:t>
      </w:r>
      <w:r>
        <w:rPr>
          <w:rFonts w:hint="eastAsia"/>
          <w:color w:val="auto"/>
        </w:rPr>
        <w:t>℃</w:t>
      </w:r>
      <w:r>
        <w:rPr>
          <w:color w:val="auto"/>
        </w:rPr>
        <w:t>（</w:t>
      </w:r>
      <w:r>
        <w:rPr>
          <w:rFonts w:hint="eastAsia"/>
          <w:color w:val="auto"/>
          <w:lang w:val="en-US" w:eastAsia="zh-CN"/>
        </w:rPr>
        <w:t>1997</w:t>
      </w:r>
      <w:r>
        <w:rPr>
          <w:color w:val="auto"/>
        </w:rPr>
        <w:t>年</w:t>
      </w:r>
      <w:r>
        <w:rPr>
          <w:rFonts w:hint="eastAsia"/>
          <w:color w:val="auto"/>
          <w:lang w:val="en-US" w:eastAsia="zh-CN"/>
        </w:rPr>
        <w:t>1</w:t>
      </w:r>
      <w:r>
        <w:rPr>
          <w:color w:val="auto"/>
        </w:rPr>
        <w:t>月</w:t>
      </w:r>
      <w:r>
        <w:rPr>
          <w:rFonts w:hint="eastAsia"/>
          <w:color w:val="auto"/>
          <w:lang w:val="en-US" w:eastAsia="zh-CN"/>
        </w:rPr>
        <w:t>30日</w:t>
      </w:r>
      <w:r>
        <w:rPr>
          <w:color w:val="auto"/>
        </w:rPr>
        <w:t>）</w:t>
      </w:r>
      <w:r>
        <w:rPr>
          <w:rFonts w:hint="eastAsia"/>
          <w:color w:val="auto"/>
        </w:rPr>
        <w:t>；</w:t>
      </w:r>
      <w:r>
        <w:rPr>
          <w:color w:val="auto"/>
        </w:rPr>
        <w:t>多年平均</w:t>
      </w:r>
      <w:r>
        <w:rPr>
          <w:rFonts w:hint="eastAsia"/>
          <w:color w:val="auto"/>
        </w:rPr>
        <w:t>水面</w:t>
      </w:r>
      <w:r>
        <w:rPr>
          <w:color w:val="auto"/>
        </w:rPr>
        <w:t>蒸发量为1191mm，多年平均</w:t>
      </w:r>
      <w:r>
        <w:rPr>
          <w:rFonts w:hint="eastAsia"/>
          <w:color w:val="auto"/>
        </w:rPr>
        <w:t>陆面</w:t>
      </w:r>
      <w:r>
        <w:rPr>
          <w:color w:val="auto"/>
        </w:rPr>
        <w:t>蒸发量为466mm</w:t>
      </w:r>
      <w:r>
        <w:rPr>
          <w:rFonts w:hint="eastAsia"/>
          <w:color w:val="auto"/>
        </w:rPr>
        <w:t>；</w:t>
      </w:r>
      <w:r>
        <w:rPr>
          <w:color w:val="auto"/>
        </w:rPr>
        <w:t>多年平均风速1.4m/s，多年平均最大风速14.0m/s</w:t>
      </w:r>
      <w:r>
        <w:rPr>
          <w:rFonts w:hint="eastAsia"/>
          <w:color w:val="auto"/>
          <w:lang w:eastAsia="zh-CN"/>
        </w:rPr>
        <w:t>。</w:t>
      </w:r>
    </w:p>
    <w:p w14:paraId="5FB2FCC5">
      <w:pPr>
        <w:pStyle w:val="7"/>
        <w:bidi w:val="0"/>
        <w:ind w:left="0" w:leftChars="0" w:firstLine="0" w:firstLineChars="0"/>
        <w:rPr>
          <w:rFonts w:hint="eastAsia"/>
          <w:color w:val="auto"/>
          <w:highlight w:val="none"/>
        </w:rPr>
      </w:pPr>
      <w:bookmarkStart w:id="34" w:name="_Toc29706"/>
      <w:r>
        <w:rPr>
          <w:rFonts w:hint="eastAsia"/>
          <w:color w:val="auto"/>
          <w:highlight w:val="none"/>
          <w:lang w:val="en-US" w:eastAsia="zh-CN"/>
        </w:rPr>
        <w:t>地形地貌</w:t>
      </w:r>
      <w:bookmarkEnd w:id="34"/>
    </w:p>
    <w:p w14:paraId="6260C748">
      <w:pPr>
        <w:pStyle w:val="5"/>
        <w:bidi w:val="0"/>
        <w:rPr>
          <w:rFonts w:hint="eastAsia" w:ascii="宋体" w:hAnsi="宋体" w:eastAsia="宋体" w:cs="宋体"/>
          <w:sz w:val="24"/>
          <w:szCs w:val="24"/>
          <w:lang w:eastAsia="zh-CN"/>
        </w:rPr>
      </w:pPr>
      <w:r>
        <w:rPr>
          <w:rFonts w:hint="eastAsia" w:ascii="Times New Roman" w:hAnsi="Times New Roman" w:eastAsia="宋体" w:cs="Times New Roman"/>
        </w:rPr>
        <w:t>石耶镇地处渝东南褶皱带，系武陵山二级隆起带南段，为低山丘陵区，地形起伏大；境内平均海拔387米，最高峰猫鼻嘴位于余庆，海拔883.9米；最低点鱼梁位于鱼梁邓家院，海拔289.7米</w:t>
      </w:r>
      <w:r>
        <w:rPr>
          <w:rFonts w:hint="eastAsia" w:ascii="宋体" w:hAnsi="宋体" w:eastAsia="宋体" w:cs="宋体"/>
          <w:sz w:val="24"/>
          <w:szCs w:val="24"/>
          <w:lang w:val="en-US" w:eastAsia="zh-CN"/>
        </w:rPr>
        <w:t>。</w:t>
      </w:r>
    </w:p>
    <w:p w14:paraId="5CAE30A0">
      <w:pPr>
        <w:pStyle w:val="7"/>
        <w:bidi w:val="0"/>
        <w:ind w:left="0" w:leftChars="0" w:firstLine="0" w:firstLineChars="0"/>
        <w:rPr>
          <w:rFonts w:hint="eastAsia"/>
          <w:color w:val="auto"/>
          <w:highlight w:val="none"/>
        </w:rPr>
      </w:pPr>
      <w:bookmarkStart w:id="35" w:name="_Toc10667"/>
      <w:r>
        <w:rPr>
          <w:rFonts w:hint="eastAsia"/>
          <w:color w:val="auto"/>
          <w:highlight w:val="none"/>
          <w:lang w:val="en-US" w:eastAsia="zh-CN"/>
        </w:rPr>
        <w:t>社会经济</w:t>
      </w:r>
      <w:bookmarkEnd w:id="35"/>
    </w:p>
    <w:p w14:paraId="5CC23FEC">
      <w:pPr>
        <w:pStyle w:val="5"/>
        <w:rPr>
          <w:rFonts w:hint="eastAsia"/>
          <w:color w:val="auto"/>
          <w:highlight w:val="none"/>
        </w:rPr>
      </w:pPr>
      <w:r>
        <w:rPr>
          <w:rFonts w:hint="eastAsia"/>
          <w:color w:val="auto"/>
          <w:highlight w:val="none"/>
        </w:rPr>
        <w:t>根据《</w:t>
      </w:r>
      <w:r>
        <w:rPr>
          <w:rFonts w:hint="eastAsia"/>
          <w:color w:val="auto"/>
          <w:highlight w:val="none"/>
          <w:lang w:val="en-US" w:eastAsia="zh-CN"/>
        </w:rPr>
        <w:t>2020年秀山</w:t>
      </w:r>
      <w:r>
        <w:rPr>
          <w:rFonts w:hint="eastAsia"/>
          <w:color w:val="auto"/>
          <w:highlight w:val="none"/>
          <w:lang w:eastAsia="zh-CN"/>
        </w:rPr>
        <w:t>统计年鉴</w:t>
      </w:r>
      <w:r>
        <w:rPr>
          <w:rFonts w:hint="eastAsia"/>
          <w:color w:val="auto"/>
          <w:highlight w:val="none"/>
        </w:rPr>
        <w:t>》，</w:t>
      </w:r>
      <w:r>
        <w:rPr>
          <w:rFonts w:hint="eastAsia"/>
          <w:color w:val="auto"/>
          <w:highlight w:val="none"/>
          <w:lang w:val="en-US" w:eastAsia="zh-CN"/>
        </w:rPr>
        <w:t>2019年年末，石耶镇下辖2个社区4个行政村，辖区总面积为37.27km</w:t>
      </w:r>
      <w:r>
        <w:rPr>
          <w:rFonts w:hint="eastAsia"/>
          <w:color w:val="auto"/>
          <w:highlight w:val="none"/>
          <w:vertAlign w:val="superscript"/>
          <w:lang w:val="en-US" w:eastAsia="zh-CN"/>
        </w:rPr>
        <w:t>2</w:t>
      </w:r>
      <w:r>
        <w:rPr>
          <w:rFonts w:hint="eastAsia"/>
          <w:color w:val="auto"/>
          <w:highlight w:val="none"/>
          <w:lang w:val="en-US" w:eastAsia="zh-CN"/>
        </w:rPr>
        <w:t>。</w:t>
      </w:r>
      <w:r>
        <w:rPr>
          <w:rFonts w:hint="eastAsia"/>
          <w:color w:val="auto"/>
          <w:highlight w:val="none"/>
          <w:lang w:eastAsia="zh-CN"/>
        </w:rPr>
        <w:t>全</w:t>
      </w:r>
      <w:r>
        <w:rPr>
          <w:rFonts w:hint="eastAsia"/>
          <w:color w:val="auto"/>
          <w:highlight w:val="none"/>
          <w:lang w:val="en-US" w:eastAsia="zh-CN"/>
        </w:rPr>
        <w:t>镇年末户籍总人口12014人，耕地面积11392亩，粮食产量5174吨</w:t>
      </w:r>
      <w:r>
        <w:rPr>
          <w:rFonts w:hint="eastAsia"/>
          <w:color w:val="auto"/>
          <w:highlight w:val="none"/>
        </w:rPr>
        <w:t>。</w:t>
      </w:r>
    </w:p>
    <w:p w14:paraId="28607342">
      <w:pPr>
        <w:pStyle w:val="6"/>
        <w:bidi w:val="0"/>
        <w:ind w:left="0" w:leftChars="0" w:firstLine="0" w:firstLineChars="0"/>
        <w:rPr>
          <w:rFonts w:hint="eastAsia"/>
          <w:color w:val="auto"/>
          <w:highlight w:val="none"/>
        </w:rPr>
      </w:pPr>
      <w:bookmarkStart w:id="36" w:name="_Toc3547"/>
      <w:bookmarkStart w:id="37" w:name="_Toc1032"/>
      <w:r>
        <w:rPr>
          <w:rFonts w:hint="eastAsia"/>
          <w:color w:val="auto"/>
          <w:highlight w:val="none"/>
        </w:rPr>
        <w:t>管理保护现状</w:t>
      </w:r>
      <w:bookmarkEnd w:id="36"/>
      <w:bookmarkEnd w:id="37"/>
    </w:p>
    <w:p w14:paraId="77D80009">
      <w:pPr>
        <w:pStyle w:val="7"/>
        <w:bidi w:val="0"/>
        <w:ind w:left="0" w:leftChars="0" w:firstLine="0" w:firstLineChars="0"/>
        <w:rPr>
          <w:color w:val="auto"/>
          <w:highlight w:val="none"/>
        </w:rPr>
      </w:pPr>
      <w:bookmarkStart w:id="38" w:name="_Toc8165"/>
      <w:r>
        <w:rPr>
          <w:rFonts w:hint="eastAsia"/>
          <w:color w:val="auto"/>
          <w:highlight w:val="none"/>
        </w:rPr>
        <w:t>水资源保护利用现状</w:t>
      </w:r>
      <w:bookmarkEnd w:id="38"/>
    </w:p>
    <w:p w14:paraId="6CC60777">
      <w:pPr>
        <w:pStyle w:val="8"/>
        <w:bidi w:val="0"/>
        <w:rPr>
          <w:rFonts w:hint="eastAsia"/>
          <w:lang w:val="en-US" w:eastAsia="zh-CN"/>
        </w:rPr>
      </w:pPr>
      <w:r>
        <w:rPr>
          <w:rFonts w:hint="eastAsia"/>
          <w:lang w:val="en-US" w:eastAsia="zh-CN"/>
        </w:rPr>
        <w:t>用水总量</w:t>
      </w:r>
      <w:r>
        <w:rPr>
          <w:rFonts w:hint="eastAsia"/>
        </w:rPr>
        <w:t>现状</w:t>
      </w:r>
    </w:p>
    <w:p w14:paraId="2D32F712">
      <w:pPr>
        <w:pStyle w:val="5"/>
        <w:bidi w:val="0"/>
        <w:rPr>
          <w:rFonts w:hint="default"/>
          <w:color w:val="auto"/>
          <w:highlight w:val="none"/>
        </w:rPr>
      </w:pPr>
      <w:r>
        <w:rPr>
          <w:rFonts w:hint="eastAsia"/>
          <w:color w:val="auto"/>
          <w:highlight w:val="none"/>
          <w:lang w:val="en-US" w:eastAsia="zh-CN"/>
        </w:rPr>
        <w:t>根据《重庆市人民政府办公厅关于印发重庆市实行最严格水资源管理制度考核办法的通知》（渝府办发〔2013〕95号）、《重庆市人民政府办公厅关于调整九龙坡区等八个区2030年用水控制总量目标的通知》（渝府办发〔2018〕14号），秀山县2020年用水总量控制指标为23000万m</w:t>
      </w:r>
      <w:r>
        <w:rPr>
          <w:rFonts w:hint="eastAsia"/>
          <w:color w:val="auto"/>
          <w:highlight w:val="none"/>
          <w:vertAlign w:val="superscript"/>
          <w:lang w:val="en-US" w:eastAsia="zh-CN"/>
        </w:rPr>
        <w:t>3</w:t>
      </w:r>
      <w:r>
        <w:rPr>
          <w:rFonts w:hint="eastAsia"/>
          <w:color w:val="auto"/>
          <w:highlight w:val="none"/>
          <w:lang w:val="en-US" w:eastAsia="zh-CN"/>
        </w:rPr>
        <w:t>。根据现状调查，秀山县</w:t>
      </w:r>
      <w:r>
        <w:rPr>
          <w:rFonts w:hint="default"/>
          <w:color w:val="auto"/>
          <w:highlight w:val="none"/>
          <w:lang w:val="en-US" w:eastAsia="zh-CN"/>
        </w:rPr>
        <w:t>2020年全年用水量为</w:t>
      </w:r>
      <w:r>
        <w:rPr>
          <w:rFonts w:hint="eastAsia"/>
          <w:color w:val="auto"/>
          <w:highlight w:val="none"/>
          <w:lang w:val="en-US" w:eastAsia="zh-CN"/>
        </w:rPr>
        <w:t>12526万m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rFonts w:hint="eastAsia"/>
          <w:color w:val="auto"/>
          <w:highlight w:val="none"/>
          <w:lang w:val="en-US" w:eastAsia="zh-CN"/>
        </w:rPr>
        <w:t>低于23000万m</w:t>
      </w:r>
      <w:r>
        <w:rPr>
          <w:rFonts w:hint="eastAsia"/>
          <w:color w:val="auto"/>
          <w:highlight w:val="none"/>
          <w:vertAlign w:val="superscript"/>
          <w:lang w:val="en-US" w:eastAsia="zh-CN"/>
        </w:rPr>
        <w:t>3</w:t>
      </w:r>
      <w:r>
        <w:rPr>
          <w:rFonts w:hint="default"/>
          <w:color w:val="auto"/>
          <w:highlight w:val="none"/>
          <w:lang w:val="en-US" w:eastAsia="zh-CN"/>
        </w:rPr>
        <w:t>，现状用水总量控制较好</w:t>
      </w:r>
      <w:r>
        <w:rPr>
          <w:rFonts w:hint="default"/>
          <w:color w:val="auto"/>
          <w:highlight w:val="none"/>
        </w:rPr>
        <w:t>。</w:t>
      </w:r>
    </w:p>
    <w:p w14:paraId="314896B2">
      <w:pPr>
        <w:pStyle w:val="8"/>
        <w:bidi w:val="0"/>
        <w:rPr>
          <w:rFonts w:hint="default"/>
          <w:color w:val="auto"/>
          <w:highlight w:val="none"/>
        </w:rPr>
      </w:pPr>
      <w:r>
        <w:rPr>
          <w:rFonts w:hint="eastAsia"/>
          <w:lang w:val="en-US" w:eastAsia="zh-CN"/>
        </w:rPr>
        <w:t>取水</w:t>
      </w:r>
      <w:r>
        <w:rPr>
          <w:rFonts w:hint="eastAsia"/>
        </w:rPr>
        <w:t>现状</w:t>
      </w:r>
    </w:p>
    <w:p w14:paraId="43F30D8A">
      <w:pPr>
        <w:pStyle w:val="5"/>
        <w:bidi w:val="0"/>
        <w:rPr>
          <w:rFonts w:hint="default"/>
          <w:color w:val="auto"/>
          <w:highlight w:val="none"/>
        </w:rPr>
      </w:pPr>
      <w:r>
        <w:rPr>
          <w:rFonts w:hint="eastAsia"/>
          <w:color w:val="auto"/>
          <w:highlight w:val="none"/>
          <w:lang w:val="en-US" w:eastAsia="zh-CN"/>
        </w:rPr>
        <w:t>石耶镇辖区内</w:t>
      </w:r>
      <w:r>
        <w:rPr>
          <w:rFonts w:hint="default"/>
          <w:color w:val="auto"/>
          <w:highlight w:val="none"/>
          <w:lang w:val="en-US" w:eastAsia="zh-CN"/>
        </w:rPr>
        <w:t>取水口较多，本次统计取水点主要为</w:t>
      </w:r>
      <w:r>
        <w:rPr>
          <w:rFonts w:hint="eastAsia"/>
          <w:color w:val="auto"/>
          <w:highlight w:val="none"/>
          <w:lang w:val="en-US" w:eastAsia="zh-CN"/>
        </w:rPr>
        <w:t>流域内</w:t>
      </w:r>
      <w:r>
        <w:rPr>
          <w:rFonts w:hint="default"/>
          <w:color w:val="auto"/>
          <w:highlight w:val="none"/>
          <w:lang w:val="en-US" w:eastAsia="zh-CN"/>
        </w:rPr>
        <w:t>取水口、供水站</w:t>
      </w:r>
      <w:r>
        <w:rPr>
          <w:rFonts w:hint="eastAsia"/>
          <w:color w:val="auto"/>
          <w:highlight w:val="none"/>
          <w:lang w:val="en-US" w:eastAsia="zh-CN"/>
        </w:rPr>
        <w:t>、电站、水库</w:t>
      </w:r>
      <w:r>
        <w:rPr>
          <w:rFonts w:hint="default"/>
          <w:color w:val="auto"/>
          <w:highlight w:val="none"/>
          <w:lang w:val="en-US" w:eastAsia="zh-CN"/>
        </w:rPr>
        <w:t>，沿河还存在少许当地居民从河道取水，介于取水点无法精确调查，取水量很小，且取水时段并不连续，因此并未统计。据</w:t>
      </w:r>
      <w:r>
        <w:rPr>
          <w:rFonts w:hint="eastAsia"/>
          <w:color w:val="auto"/>
          <w:highlight w:val="none"/>
          <w:lang w:val="en-US" w:eastAsia="zh-CN"/>
        </w:rPr>
        <w:t>县水利局提供资料</w:t>
      </w:r>
      <w:r>
        <w:rPr>
          <w:rFonts w:hint="default"/>
          <w:color w:val="auto"/>
          <w:highlight w:val="none"/>
          <w:lang w:val="en-US" w:eastAsia="zh-CN"/>
        </w:rPr>
        <w:t>统计，</w:t>
      </w:r>
      <w:r>
        <w:rPr>
          <w:rFonts w:hint="eastAsia"/>
          <w:color w:val="auto"/>
          <w:highlight w:val="none"/>
          <w:lang w:val="en-US" w:eastAsia="zh-CN"/>
        </w:rPr>
        <w:t>石耶镇辖区内</w:t>
      </w:r>
      <w:r>
        <w:rPr>
          <w:rFonts w:hint="default"/>
          <w:color w:val="auto"/>
          <w:highlight w:val="none"/>
          <w:lang w:val="en-US" w:eastAsia="zh-CN"/>
        </w:rPr>
        <w:t>取水点合计</w:t>
      </w:r>
      <w:r>
        <w:rPr>
          <w:rFonts w:hint="eastAsia"/>
          <w:color w:val="auto"/>
          <w:highlight w:val="none"/>
          <w:lang w:val="en-US" w:eastAsia="zh-CN"/>
        </w:rPr>
        <w:t>3</w:t>
      </w:r>
      <w:r>
        <w:rPr>
          <w:rFonts w:hint="default"/>
          <w:color w:val="auto"/>
          <w:highlight w:val="none"/>
          <w:lang w:val="en-US" w:eastAsia="zh-CN"/>
        </w:rPr>
        <w:t>处，</w:t>
      </w:r>
      <w:r>
        <w:rPr>
          <w:rFonts w:hint="eastAsia"/>
          <w:color w:val="auto"/>
          <w:highlight w:val="none"/>
          <w:lang w:val="en-US" w:eastAsia="zh-CN"/>
        </w:rPr>
        <w:t>年批准总取水量113.18万m</w:t>
      </w:r>
      <w:r>
        <w:rPr>
          <w:rFonts w:hint="eastAsia"/>
          <w:color w:val="auto"/>
          <w:highlight w:val="none"/>
          <w:vertAlign w:val="superscript"/>
          <w:lang w:val="en-US" w:eastAsia="zh-CN"/>
        </w:rPr>
        <w:t>3</w:t>
      </w:r>
      <w:r>
        <w:rPr>
          <w:rFonts w:hint="default"/>
          <w:color w:val="auto"/>
          <w:highlight w:val="none"/>
          <w:lang w:val="en-US" w:eastAsia="zh-CN"/>
        </w:rPr>
        <w:t>。主要取水点情况见下表</w:t>
      </w:r>
      <w:r>
        <w:rPr>
          <w:rFonts w:hint="eastAsia"/>
          <w:color w:val="auto"/>
          <w:highlight w:val="none"/>
          <w:lang w:val="en-US" w:eastAsia="zh-CN"/>
        </w:rPr>
        <w:t>。</w:t>
      </w:r>
    </w:p>
    <w:p w14:paraId="184C9672">
      <w:pPr>
        <w:pStyle w:val="56"/>
        <w:bidi w:val="0"/>
        <w:rPr>
          <w:rFonts w:hint="default"/>
          <w:color w:val="auto"/>
          <w:highlight w:val="none"/>
          <w:lang w:val="en-US" w:eastAsia="zh-CN"/>
        </w:rPr>
      </w:pPr>
      <w:r>
        <w:rPr>
          <w:rFonts w:hint="default"/>
          <w:color w:val="auto"/>
          <w:highlight w:val="none"/>
          <w:lang w:val="en-US" w:eastAsia="zh-CN"/>
        </w:rPr>
        <w:t>表3.2</w:t>
      </w:r>
      <w:r>
        <w:rPr>
          <w:rFonts w:hint="eastAsia"/>
          <w:color w:val="auto"/>
          <w:highlight w:val="none"/>
          <w:lang w:val="en-US" w:eastAsia="zh-CN"/>
        </w:rPr>
        <w:t>-1</w:t>
      </w:r>
      <w:r>
        <w:rPr>
          <w:rFonts w:hint="default"/>
          <w:color w:val="auto"/>
          <w:highlight w:val="none"/>
          <w:lang w:val="en-US" w:eastAsia="zh-CN"/>
        </w:rPr>
        <w:t xml:space="preserve">  </w:t>
      </w:r>
      <w:r>
        <w:rPr>
          <w:rFonts w:hint="eastAsia"/>
          <w:color w:val="auto"/>
          <w:highlight w:val="none"/>
          <w:lang w:val="en-US" w:eastAsia="zh-CN"/>
        </w:rPr>
        <w:t>石耶镇辖区内</w:t>
      </w:r>
      <w:r>
        <w:rPr>
          <w:rFonts w:hint="default"/>
          <w:color w:val="auto"/>
          <w:highlight w:val="none"/>
          <w:lang w:val="en-US" w:eastAsia="zh-CN"/>
        </w:rPr>
        <w:t>取水点统计表</w:t>
      </w:r>
    </w:p>
    <w:tbl>
      <w:tblPr>
        <w:tblStyle w:val="23"/>
        <w:tblW w:w="850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88"/>
        <w:gridCol w:w="2491"/>
        <w:gridCol w:w="2258"/>
        <w:gridCol w:w="783"/>
        <w:gridCol w:w="584"/>
        <w:gridCol w:w="1053"/>
        <w:gridCol w:w="849"/>
      </w:tblGrid>
      <w:tr w14:paraId="7EB46A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blHeader/>
        </w:trPr>
        <w:tc>
          <w:tcPr>
            <w:tcW w:w="488" w:type="dxa"/>
            <w:tcBorders>
              <w:tl2br w:val="nil"/>
              <w:tr2bl w:val="nil"/>
            </w:tcBorders>
            <w:shd w:val="clear" w:color="auto" w:fill="auto"/>
            <w:vAlign w:val="center"/>
          </w:tcPr>
          <w:p w14:paraId="70FD57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2491" w:type="dxa"/>
            <w:tcBorders>
              <w:tl2br w:val="nil"/>
              <w:tr2bl w:val="nil"/>
            </w:tcBorders>
            <w:shd w:val="clear" w:color="auto" w:fill="auto"/>
            <w:vAlign w:val="center"/>
          </w:tcPr>
          <w:p w14:paraId="550C826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取水单位</w:t>
            </w:r>
          </w:p>
        </w:tc>
        <w:tc>
          <w:tcPr>
            <w:tcW w:w="2258" w:type="dxa"/>
            <w:tcBorders>
              <w:tl2br w:val="nil"/>
              <w:tr2bl w:val="nil"/>
            </w:tcBorders>
            <w:shd w:val="clear" w:color="auto" w:fill="auto"/>
            <w:vAlign w:val="center"/>
          </w:tcPr>
          <w:p w14:paraId="65B8524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取水地点</w:t>
            </w:r>
          </w:p>
        </w:tc>
        <w:tc>
          <w:tcPr>
            <w:tcW w:w="783" w:type="dxa"/>
            <w:tcBorders>
              <w:tl2br w:val="nil"/>
              <w:tr2bl w:val="nil"/>
            </w:tcBorders>
            <w:shd w:val="clear" w:color="auto" w:fill="auto"/>
            <w:vAlign w:val="center"/>
          </w:tcPr>
          <w:p w14:paraId="4D23B7F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水源类型</w:t>
            </w:r>
          </w:p>
        </w:tc>
        <w:tc>
          <w:tcPr>
            <w:tcW w:w="584" w:type="dxa"/>
            <w:tcBorders>
              <w:tl2br w:val="nil"/>
              <w:tr2bl w:val="nil"/>
            </w:tcBorders>
            <w:shd w:val="clear" w:color="auto" w:fill="auto"/>
            <w:vAlign w:val="center"/>
          </w:tcPr>
          <w:p w14:paraId="092BD04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取水方式</w:t>
            </w:r>
          </w:p>
        </w:tc>
        <w:tc>
          <w:tcPr>
            <w:tcW w:w="1053" w:type="dxa"/>
            <w:tcBorders>
              <w:tl2br w:val="nil"/>
              <w:tr2bl w:val="nil"/>
            </w:tcBorders>
            <w:shd w:val="clear" w:color="auto" w:fill="auto"/>
            <w:vAlign w:val="center"/>
          </w:tcPr>
          <w:p w14:paraId="45E1D9A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取水用途</w:t>
            </w:r>
          </w:p>
        </w:tc>
        <w:tc>
          <w:tcPr>
            <w:tcW w:w="849" w:type="dxa"/>
            <w:tcBorders>
              <w:tl2br w:val="nil"/>
              <w:tr2bl w:val="nil"/>
            </w:tcBorders>
            <w:shd w:val="clear" w:color="auto" w:fill="auto"/>
            <w:vAlign w:val="center"/>
          </w:tcPr>
          <w:p w14:paraId="07D91E0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审批年取水总量（万m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w:t>
            </w:r>
          </w:p>
        </w:tc>
      </w:tr>
      <w:tr w14:paraId="6373D0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14:paraId="280806D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2491" w:type="dxa"/>
            <w:tcBorders>
              <w:tl2br w:val="nil"/>
              <w:tr2bl w:val="nil"/>
            </w:tcBorders>
            <w:shd w:val="clear" w:color="auto" w:fill="auto"/>
            <w:vAlign w:val="center"/>
          </w:tcPr>
          <w:p w14:paraId="73EAB0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甘溪沟河苗王堰取水渠道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14:paraId="14036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重庆市秀山县石耶镇西大居委会甘溪沟左岸河段</w:t>
            </w:r>
          </w:p>
        </w:tc>
        <w:tc>
          <w:tcPr>
            <w:tcW w:w="783" w:type="dxa"/>
            <w:tcBorders>
              <w:tl2br w:val="nil"/>
              <w:tr2bl w:val="nil"/>
            </w:tcBorders>
            <w:shd w:val="clear" w:color="auto" w:fill="auto"/>
            <w:vAlign w:val="center"/>
          </w:tcPr>
          <w:p w14:paraId="23051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14:paraId="20A75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14:paraId="25383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14:paraId="196BD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12.18</w:t>
            </w:r>
          </w:p>
        </w:tc>
      </w:tr>
      <w:tr w14:paraId="31B14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14:paraId="7B9B6BB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2491" w:type="dxa"/>
            <w:tcBorders>
              <w:tl2br w:val="nil"/>
              <w:tr2bl w:val="nil"/>
            </w:tcBorders>
            <w:shd w:val="clear" w:color="auto" w:fill="auto"/>
            <w:vAlign w:val="center"/>
          </w:tcPr>
          <w:p w14:paraId="117D8C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重庆市秀山县石耶镇西大居民委员会</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大面山溪大面山堰取水渠道</w:t>
            </w: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w:t>
            </w:r>
          </w:p>
        </w:tc>
        <w:tc>
          <w:tcPr>
            <w:tcW w:w="2258" w:type="dxa"/>
            <w:tcBorders>
              <w:tl2br w:val="nil"/>
              <w:tr2bl w:val="nil"/>
            </w:tcBorders>
            <w:shd w:val="clear" w:color="auto" w:fill="auto"/>
            <w:vAlign w:val="center"/>
          </w:tcPr>
          <w:p w14:paraId="26A46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重庆市秀山县石耶镇西大居委会大面山溪右岸河段</w:t>
            </w:r>
          </w:p>
        </w:tc>
        <w:tc>
          <w:tcPr>
            <w:tcW w:w="783" w:type="dxa"/>
            <w:tcBorders>
              <w:tl2br w:val="nil"/>
              <w:tr2bl w:val="nil"/>
            </w:tcBorders>
            <w:shd w:val="clear" w:color="auto" w:fill="auto"/>
            <w:vAlign w:val="center"/>
          </w:tcPr>
          <w:p w14:paraId="3F51E0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江河</w:t>
            </w:r>
          </w:p>
        </w:tc>
        <w:tc>
          <w:tcPr>
            <w:tcW w:w="584" w:type="dxa"/>
            <w:tcBorders>
              <w:tl2br w:val="nil"/>
              <w:tr2bl w:val="nil"/>
            </w:tcBorders>
            <w:shd w:val="clear" w:color="auto" w:fill="auto"/>
            <w:vAlign w:val="center"/>
          </w:tcPr>
          <w:p w14:paraId="08E436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引</w:t>
            </w:r>
          </w:p>
        </w:tc>
        <w:tc>
          <w:tcPr>
            <w:tcW w:w="1053" w:type="dxa"/>
            <w:tcBorders>
              <w:tl2br w:val="nil"/>
              <w:tr2bl w:val="nil"/>
            </w:tcBorders>
            <w:shd w:val="clear" w:color="auto" w:fill="auto"/>
            <w:vAlign w:val="center"/>
          </w:tcPr>
          <w:p w14:paraId="374D2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农业取水</w:t>
            </w:r>
          </w:p>
        </w:tc>
        <w:tc>
          <w:tcPr>
            <w:tcW w:w="849" w:type="dxa"/>
            <w:tcBorders>
              <w:tl2br w:val="nil"/>
              <w:tr2bl w:val="nil"/>
            </w:tcBorders>
            <w:shd w:val="clear" w:color="auto" w:fill="auto"/>
            <w:vAlign w:val="center"/>
          </w:tcPr>
          <w:p w14:paraId="48DD84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r>
      <w:tr w14:paraId="12D0E7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488" w:type="dxa"/>
            <w:tcBorders>
              <w:tl2br w:val="nil"/>
              <w:tr2bl w:val="nil"/>
            </w:tcBorders>
            <w:shd w:val="clear" w:color="auto" w:fill="auto"/>
            <w:vAlign w:val="center"/>
          </w:tcPr>
          <w:p w14:paraId="2ADC3C0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18"/>
                <w:szCs w:val="18"/>
                <w:highlight w:val="none"/>
                <w:lang w:val="en-US" w:eastAsia="zh-CN"/>
              </w:rPr>
              <w:t>3</w:t>
            </w:r>
          </w:p>
        </w:tc>
        <w:tc>
          <w:tcPr>
            <w:tcW w:w="2491" w:type="dxa"/>
            <w:tcBorders>
              <w:tl2br w:val="nil"/>
              <w:tr2bl w:val="nil"/>
            </w:tcBorders>
            <w:shd w:val="clear" w:color="auto" w:fill="auto"/>
            <w:vAlign w:val="center"/>
          </w:tcPr>
          <w:p w14:paraId="0D0B26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重庆秀山西南水泥有限公司</w:t>
            </w:r>
          </w:p>
        </w:tc>
        <w:tc>
          <w:tcPr>
            <w:tcW w:w="2258" w:type="dxa"/>
            <w:tcBorders>
              <w:tl2br w:val="nil"/>
              <w:tr2bl w:val="nil"/>
            </w:tcBorders>
            <w:shd w:val="clear" w:color="auto" w:fill="auto"/>
            <w:vAlign w:val="center"/>
          </w:tcPr>
          <w:p w14:paraId="3A8870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重庆市秀山县石耶镇余庆居委会梅江河左岸</w:t>
            </w:r>
          </w:p>
        </w:tc>
        <w:tc>
          <w:tcPr>
            <w:tcW w:w="783" w:type="dxa"/>
            <w:tcBorders>
              <w:tl2br w:val="nil"/>
              <w:tr2bl w:val="nil"/>
            </w:tcBorders>
            <w:shd w:val="clear" w:color="auto" w:fill="auto"/>
            <w:vAlign w:val="center"/>
          </w:tcPr>
          <w:p w14:paraId="14151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江河</w:t>
            </w:r>
          </w:p>
        </w:tc>
        <w:tc>
          <w:tcPr>
            <w:tcW w:w="584" w:type="dxa"/>
            <w:tcBorders>
              <w:tl2br w:val="nil"/>
              <w:tr2bl w:val="nil"/>
            </w:tcBorders>
            <w:shd w:val="clear" w:color="auto" w:fill="auto"/>
            <w:vAlign w:val="center"/>
          </w:tcPr>
          <w:p w14:paraId="27186E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提</w:t>
            </w:r>
          </w:p>
        </w:tc>
        <w:tc>
          <w:tcPr>
            <w:tcW w:w="1053" w:type="dxa"/>
            <w:tcBorders>
              <w:tl2br w:val="nil"/>
              <w:tr2bl w:val="nil"/>
            </w:tcBorders>
            <w:shd w:val="clear" w:color="auto" w:fill="auto"/>
            <w:vAlign w:val="center"/>
          </w:tcPr>
          <w:p w14:paraId="18693A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工业取水</w:t>
            </w:r>
            <w:r>
              <w:rPr>
                <w:rFonts w:hint="eastAsia" w:ascii="Times New Roman" w:hAnsi="Times New Roman" w:eastAsia="宋体" w:cs="Times New Roman"/>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自备</w:t>
            </w:r>
            <w:r>
              <w:rPr>
                <w:rFonts w:hint="eastAsia" w:ascii="Times New Roman" w:hAnsi="Times New Roman" w:eastAsia="宋体" w:cs="Times New Roman"/>
                <w:i w:val="0"/>
                <w:iCs w:val="0"/>
                <w:color w:val="auto"/>
                <w:kern w:val="0"/>
                <w:sz w:val="18"/>
                <w:szCs w:val="18"/>
                <w:u w:val="none"/>
                <w:lang w:val="en-US" w:eastAsia="zh-CN" w:bidi="ar"/>
              </w:rPr>
              <w:t>）</w:t>
            </w:r>
          </w:p>
        </w:tc>
        <w:tc>
          <w:tcPr>
            <w:tcW w:w="849" w:type="dxa"/>
            <w:tcBorders>
              <w:tl2br w:val="nil"/>
              <w:tr2bl w:val="nil"/>
            </w:tcBorders>
            <w:shd w:val="clear" w:color="auto" w:fill="auto"/>
            <w:vAlign w:val="center"/>
          </w:tcPr>
          <w:p w14:paraId="18D7F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ottom"/>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87</w:t>
            </w:r>
          </w:p>
        </w:tc>
      </w:tr>
      <w:tr w14:paraId="2BF552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7657" w:type="dxa"/>
            <w:gridSpan w:val="6"/>
            <w:tcBorders>
              <w:tl2br w:val="nil"/>
              <w:tr2bl w:val="nil"/>
            </w:tcBorders>
            <w:shd w:val="clear" w:color="auto" w:fill="auto"/>
            <w:vAlign w:val="center"/>
          </w:tcPr>
          <w:p w14:paraId="3C382B8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合计</w:t>
            </w:r>
          </w:p>
        </w:tc>
        <w:tc>
          <w:tcPr>
            <w:tcW w:w="849" w:type="dxa"/>
            <w:tcBorders>
              <w:tl2br w:val="nil"/>
              <w:tr2bl w:val="nil"/>
            </w:tcBorders>
            <w:shd w:val="clear" w:color="auto" w:fill="auto"/>
            <w:vAlign w:val="center"/>
          </w:tcPr>
          <w:p w14:paraId="29CC825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113.18</w:t>
            </w:r>
          </w:p>
        </w:tc>
      </w:tr>
    </w:tbl>
    <w:p w14:paraId="65EF2A80">
      <w:pPr>
        <w:pStyle w:val="8"/>
        <w:bidi w:val="0"/>
        <w:rPr>
          <w:rFonts w:hint="default"/>
          <w:color w:val="auto"/>
          <w:highlight w:val="none"/>
        </w:rPr>
      </w:pPr>
      <w:r>
        <w:rPr>
          <w:rFonts w:hint="eastAsia"/>
          <w:lang w:val="en-US" w:eastAsia="zh-CN"/>
        </w:rPr>
        <w:t>水功能区划</w:t>
      </w:r>
      <w:r>
        <w:rPr>
          <w:rFonts w:hint="eastAsia"/>
        </w:rPr>
        <w:t>现状</w:t>
      </w:r>
    </w:p>
    <w:p w14:paraId="1B0396D9">
      <w:pPr>
        <w:pStyle w:val="5"/>
        <w:bidi w:val="0"/>
        <w:rPr>
          <w:rFonts w:hint="default"/>
          <w:color w:val="auto"/>
          <w:highlight w:val="none"/>
          <w:lang w:val="en-US" w:eastAsia="zh-CN"/>
        </w:rPr>
      </w:pPr>
      <w:r>
        <w:rPr>
          <w:rFonts w:hint="default"/>
          <w:color w:val="auto"/>
          <w:highlight w:val="none"/>
        </w:rPr>
        <w:t>依据《秀山土家族苗族自治县水功能区划修编报告（201</w:t>
      </w:r>
      <w:r>
        <w:rPr>
          <w:rFonts w:hint="eastAsia"/>
          <w:color w:val="auto"/>
          <w:highlight w:val="none"/>
          <w:lang w:val="en-US" w:eastAsia="zh-CN"/>
        </w:rPr>
        <w:t>1</w:t>
      </w:r>
      <w:r>
        <w:rPr>
          <w:rFonts w:hint="default"/>
          <w:color w:val="auto"/>
          <w:highlight w:val="none"/>
        </w:rPr>
        <w:t>年</w:t>
      </w:r>
      <w:r>
        <w:rPr>
          <w:rFonts w:hint="eastAsia"/>
          <w:color w:val="auto"/>
          <w:highlight w:val="none"/>
          <w:lang w:val="en-US" w:eastAsia="zh-CN"/>
        </w:rPr>
        <w:t>版</w:t>
      </w:r>
      <w:r>
        <w:rPr>
          <w:rFonts w:hint="default"/>
          <w:color w:val="auto"/>
          <w:highlight w:val="none"/>
        </w:rPr>
        <w:t>）》，</w:t>
      </w:r>
      <w:r>
        <w:rPr>
          <w:rFonts w:hint="eastAsia"/>
          <w:color w:val="auto"/>
          <w:highlight w:val="none"/>
          <w:lang w:val="en-US" w:eastAsia="zh-CN"/>
        </w:rPr>
        <w:t>梅江河干流及中平河已划分水功能区，石耶镇辖区内涉及中平河干流1个一级水功能区</w:t>
      </w:r>
      <w:r>
        <w:rPr>
          <w:rFonts w:hint="default"/>
          <w:color w:val="auto"/>
          <w:highlight w:val="none"/>
        </w:rPr>
        <w:t>。</w:t>
      </w:r>
      <w:r>
        <w:rPr>
          <w:rFonts w:hint="default"/>
          <w:color w:val="auto"/>
          <w:highlight w:val="none"/>
          <w:lang w:val="en-US" w:eastAsia="zh-CN"/>
        </w:rPr>
        <w:t>根据20</w:t>
      </w:r>
      <w:r>
        <w:rPr>
          <w:rFonts w:hint="eastAsia"/>
          <w:color w:val="auto"/>
          <w:highlight w:val="none"/>
          <w:lang w:val="en-US" w:eastAsia="zh-CN"/>
        </w:rPr>
        <w:t>20</w:t>
      </w:r>
      <w:r>
        <w:rPr>
          <w:rFonts w:hint="default"/>
          <w:color w:val="auto"/>
          <w:highlight w:val="none"/>
          <w:lang w:val="en-US" w:eastAsia="zh-CN"/>
        </w:rPr>
        <w:t>年12月水质监测数据，</w:t>
      </w:r>
      <w:r>
        <w:rPr>
          <w:rFonts w:hint="eastAsia"/>
          <w:color w:val="auto"/>
          <w:highlight w:val="none"/>
          <w:lang w:val="en-US" w:eastAsia="zh-CN"/>
        </w:rPr>
        <w:t>中平河水功能区</w:t>
      </w:r>
      <w:r>
        <w:rPr>
          <w:rFonts w:hint="default"/>
          <w:color w:val="auto"/>
          <w:highlight w:val="none"/>
          <w:lang w:val="en-US" w:eastAsia="zh-CN"/>
        </w:rPr>
        <w:t>水质</w:t>
      </w:r>
      <w:r>
        <w:rPr>
          <w:rFonts w:hint="eastAsia"/>
          <w:color w:val="auto"/>
          <w:highlight w:val="none"/>
          <w:lang w:val="en-US" w:eastAsia="zh-CN"/>
        </w:rPr>
        <w:t>满足水质管理目标要求。其余各河流、水库未划分水功能区，水质标准参照平江河排污控制区</w:t>
      </w:r>
      <w:r>
        <w:rPr>
          <w:rFonts w:hint="default" w:ascii="Times New Roman" w:hAnsi="Times New Roman" w:eastAsia="宋体" w:cs="Times New Roman"/>
          <w:i w:val="0"/>
          <w:iCs w:val="0"/>
          <w:color w:val="000000"/>
          <w:kern w:val="0"/>
          <w:sz w:val="24"/>
          <w:szCs w:val="24"/>
          <w:u w:val="none"/>
          <w:lang w:val="en-US" w:eastAsia="zh-CN" w:bidi="ar"/>
        </w:rPr>
        <w:t>Ⅲ</w:t>
      </w:r>
      <w:r>
        <w:rPr>
          <w:rFonts w:hint="eastAsia"/>
          <w:color w:val="auto"/>
          <w:highlight w:val="none"/>
          <w:lang w:val="en-US" w:eastAsia="zh-CN"/>
        </w:rPr>
        <w:t>类标准执行。</w:t>
      </w:r>
    </w:p>
    <w:p w14:paraId="39E03D41">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  石耶镇辖区内</w:t>
      </w:r>
      <w:r>
        <w:rPr>
          <w:rFonts w:hint="default"/>
          <w:color w:val="auto"/>
          <w:highlight w:val="none"/>
          <w:lang w:val="en-US" w:eastAsia="zh-CN"/>
        </w:rPr>
        <w:t>水功能区划表</w:t>
      </w:r>
    </w:p>
    <w:tbl>
      <w:tblPr>
        <w:tblStyle w:val="23"/>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09"/>
        <w:gridCol w:w="1066"/>
        <w:gridCol w:w="785"/>
        <w:gridCol w:w="782"/>
        <w:gridCol w:w="618"/>
        <w:gridCol w:w="936"/>
        <w:gridCol w:w="975"/>
        <w:gridCol w:w="810"/>
        <w:gridCol w:w="510"/>
        <w:gridCol w:w="555"/>
        <w:gridCol w:w="1070"/>
      </w:tblGrid>
      <w:tr w14:paraId="28AC11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409" w:type="dxa"/>
            <w:vMerge w:val="restart"/>
            <w:tcBorders>
              <w:tl2br w:val="nil"/>
              <w:tr2bl w:val="nil"/>
            </w:tcBorders>
            <w:shd w:val="clear" w:color="auto" w:fill="auto"/>
            <w:vAlign w:val="center"/>
          </w:tcPr>
          <w:p w14:paraId="238E5C3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编号</w:t>
            </w:r>
          </w:p>
        </w:tc>
        <w:tc>
          <w:tcPr>
            <w:tcW w:w="1066" w:type="dxa"/>
            <w:vMerge w:val="restart"/>
            <w:tcBorders>
              <w:tl2br w:val="nil"/>
              <w:tr2bl w:val="nil"/>
            </w:tcBorders>
            <w:shd w:val="clear" w:color="auto" w:fill="auto"/>
            <w:vAlign w:val="center"/>
          </w:tcPr>
          <w:p w14:paraId="3B1BB25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一级水功能区名称</w:t>
            </w:r>
          </w:p>
        </w:tc>
        <w:tc>
          <w:tcPr>
            <w:tcW w:w="785" w:type="dxa"/>
            <w:vMerge w:val="restart"/>
            <w:tcBorders>
              <w:tl2br w:val="nil"/>
              <w:tr2bl w:val="nil"/>
            </w:tcBorders>
            <w:shd w:val="clear" w:color="auto" w:fill="auto"/>
            <w:vAlign w:val="center"/>
          </w:tcPr>
          <w:p w14:paraId="2D806DF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rPr>
            </w:pPr>
            <w:r>
              <w:rPr>
                <w:rFonts w:hint="default" w:ascii="Times New Roman" w:hAnsi="Times New Roman" w:eastAsia="宋体" w:cs="Times New Roman"/>
                <w:b w:val="0"/>
                <w:bCs/>
                <w:color w:val="auto"/>
                <w:sz w:val="18"/>
                <w:szCs w:val="18"/>
                <w:highlight w:val="none"/>
                <w:lang w:val="en-US" w:eastAsia="zh-CN"/>
              </w:rPr>
              <w:t>二级水功能区名称</w:t>
            </w:r>
          </w:p>
        </w:tc>
        <w:tc>
          <w:tcPr>
            <w:tcW w:w="782" w:type="dxa"/>
            <w:vMerge w:val="restart"/>
            <w:tcBorders>
              <w:tl2br w:val="nil"/>
              <w:tr2bl w:val="nil"/>
            </w:tcBorders>
            <w:shd w:val="clear" w:color="auto" w:fill="auto"/>
            <w:vAlign w:val="center"/>
          </w:tcPr>
          <w:p w14:paraId="4641D4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水系</w:t>
            </w:r>
          </w:p>
        </w:tc>
        <w:tc>
          <w:tcPr>
            <w:tcW w:w="618" w:type="dxa"/>
            <w:vMerge w:val="restart"/>
            <w:tcBorders>
              <w:tl2br w:val="nil"/>
              <w:tr2bl w:val="nil"/>
            </w:tcBorders>
            <w:shd w:val="clear" w:color="auto" w:fill="auto"/>
            <w:vAlign w:val="center"/>
          </w:tcPr>
          <w:p w14:paraId="3E422A6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河流</w:t>
            </w:r>
          </w:p>
        </w:tc>
        <w:tc>
          <w:tcPr>
            <w:tcW w:w="2721" w:type="dxa"/>
            <w:gridSpan w:val="3"/>
            <w:tcBorders>
              <w:tl2br w:val="nil"/>
              <w:tr2bl w:val="nil"/>
            </w:tcBorders>
            <w:shd w:val="clear" w:color="auto" w:fill="auto"/>
            <w:vAlign w:val="center"/>
          </w:tcPr>
          <w:p w14:paraId="4188ED7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范围</w:t>
            </w:r>
          </w:p>
        </w:tc>
        <w:tc>
          <w:tcPr>
            <w:tcW w:w="510" w:type="dxa"/>
            <w:vMerge w:val="restart"/>
            <w:tcBorders>
              <w:tl2br w:val="nil"/>
              <w:tr2bl w:val="nil"/>
            </w:tcBorders>
            <w:shd w:val="clear" w:color="auto" w:fill="auto"/>
            <w:vAlign w:val="center"/>
          </w:tcPr>
          <w:p w14:paraId="7DE1FA7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现状水质</w:t>
            </w:r>
          </w:p>
        </w:tc>
        <w:tc>
          <w:tcPr>
            <w:tcW w:w="555" w:type="dxa"/>
            <w:vMerge w:val="restart"/>
            <w:tcBorders>
              <w:tl2br w:val="nil"/>
              <w:tr2bl w:val="nil"/>
            </w:tcBorders>
            <w:shd w:val="clear" w:color="auto" w:fill="auto"/>
            <w:vAlign w:val="center"/>
          </w:tcPr>
          <w:p w14:paraId="6F06873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水质目标</w:t>
            </w:r>
          </w:p>
        </w:tc>
        <w:tc>
          <w:tcPr>
            <w:tcW w:w="1070" w:type="dxa"/>
            <w:vMerge w:val="restart"/>
            <w:tcBorders>
              <w:tl2br w:val="nil"/>
              <w:tr2bl w:val="nil"/>
            </w:tcBorders>
            <w:shd w:val="clear" w:color="auto" w:fill="auto"/>
            <w:vAlign w:val="center"/>
          </w:tcPr>
          <w:p w14:paraId="0C8C7A6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区划依据</w:t>
            </w:r>
          </w:p>
        </w:tc>
      </w:tr>
      <w:tr w14:paraId="643AE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409" w:type="dxa"/>
            <w:vMerge w:val="continue"/>
            <w:tcBorders>
              <w:tl2br w:val="nil"/>
              <w:tr2bl w:val="nil"/>
            </w:tcBorders>
            <w:shd w:val="clear" w:color="auto" w:fill="auto"/>
            <w:vAlign w:val="center"/>
          </w:tcPr>
          <w:p w14:paraId="5F03D57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p>
        </w:tc>
        <w:tc>
          <w:tcPr>
            <w:tcW w:w="1066" w:type="dxa"/>
            <w:vMerge w:val="continue"/>
            <w:tcBorders>
              <w:tl2br w:val="nil"/>
              <w:tr2bl w:val="nil"/>
            </w:tcBorders>
            <w:shd w:val="clear" w:color="auto" w:fill="auto"/>
            <w:vAlign w:val="center"/>
          </w:tcPr>
          <w:p w14:paraId="1FAB973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5" w:type="dxa"/>
            <w:vMerge w:val="continue"/>
            <w:tcBorders>
              <w:tl2br w:val="nil"/>
              <w:tr2bl w:val="nil"/>
            </w:tcBorders>
            <w:shd w:val="clear" w:color="auto" w:fill="auto"/>
            <w:vAlign w:val="center"/>
          </w:tcPr>
          <w:p w14:paraId="26FEB19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782" w:type="dxa"/>
            <w:vMerge w:val="continue"/>
            <w:tcBorders>
              <w:tl2br w:val="nil"/>
              <w:tr2bl w:val="nil"/>
            </w:tcBorders>
            <w:shd w:val="clear" w:color="auto" w:fill="auto"/>
            <w:vAlign w:val="center"/>
          </w:tcPr>
          <w:p w14:paraId="2780FDF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618" w:type="dxa"/>
            <w:vMerge w:val="continue"/>
            <w:tcBorders>
              <w:tl2br w:val="nil"/>
              <w:tr2bl w:val="nil"/>
            </w:tcBorders>
            <w:shd w:val="clear" w:color="auto" w:fill="auto"/>
            <w:vAlign w:val="center"/>
          </w:tcPr>
          <w:p w14:paraId="2E9CF88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936" w:type="dxa"/>
            <w:tcBorders>
              <w:tl2br w:val="nil"/>
              <w:tr2bl w:val="nil"/>
            </w:tcBorders>
            <w:shd w:val="clear" w:color="auto" w:fill="auto"/>
            <w:vAlign w:val="center"/>
          </w:tcPr>
          <w:p w14:paraId="70D758C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起始断面</w:t>
            </w:r>
          </w:p>
        </w:tc>
        <w:tc>
          <w:tcPr>
            <w:tcW w:w="975" w:type="dxa"/>
            <w:tcBorders>
              <w:tl2br w:val="nil"/>
              <w:tr2bl w:val="nil"/>
            </w:tcBorders>
            <w:shd w:val="clear" w:color="auto" w:fill="auto"/>
            <w:vAlign w:val="center"/>
          </w:tcPr>
          <w:p w14:paraId="0652E6DA">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终止断面</w:t>
            </w:r>
          </w:p>
        </w:tc>
        <w:tc>
          <w:tcPr>
            <w:tcW w:w="810" w:type="dxa"/>
            <w:tcBorders>
              <w:tl2br w:val="nil"/>
              <w:tr2bl w:val="nil"/>
            </w:tcBorders>
            <w:shd w:val="clear" w:color="auto" w:fill="auto"/>
            <w:vAlign w:val="center"/>
          </w:tcPr>
          <w:p w14:paraId="1C7B20F7">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sz w:val="18"/>
                <w:szCs w:val="18"/>
                <w:highlight w:val="none"/>
                <w:lang w:val="en-US" w:eastAsia="zh-CN"/>
              </w:rPr>
              <w:t>长度（km）</w:t>
            </w:r>
          </w:p>
        </w:tc>
        <w:tc>
          <w:tcPr>
            <w:tcW w:w="510" w:type="dxa"/>
            <w:vMerge w:val="continue"/>
            <w:tcBorders>
              <w:tl2br w:val="nil"/>
              <w:tr2bl w:val="nil"/>
            </w:tcBorders>
            <w:shd w:val="clear" w:color="auto" w:fill="auto"/>
            <w:vAlign w:val="center"/>
          </w:tcPr>
          <w:p w14:paraId="0A97C63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555" w:type="dxa"/>
            <w:vMerge w:val="continue"/>
            <w:tcBorders>
              <w:tl2br w:val="nil"/>
              <w:tr2bl w:val="nil"/>
            </w:tcBorders>
            <w:shd w:val="clear" w:color="auto" w:fill="auto"/>
            <w:vAlign w:val="center"/>
          </w:tcPr>
          <w:p w14:paraId="7302782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c>
          <w:tcPr>
            <w:tcW w:w="1070" w:type="dxa"/>
            <w:vMerge w:val="continue"/>
            <w:tcBorders>
              <w:tl2br w:val="nil"/>
              <w:tr2bl w:val="nil"/>
            </w:tcBorders>
            <w:shd w:val="clear" w:color="auto" w:fill="auto"/>
            <w:vAlign w:val="center"/>
          </w:tcPr>
          <w:p w14:paraId="787EC83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r w14:paraId="095D3A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409" w:type="dxa"/>
            <w:tcBorders>
              <w:tl2br w:val="nil"/>
              <w:tr2bl w:val="nil"/>
            </w:tcBorders>
            <w:shd w:val="clear" w:color="auto" w:fill="auto"/>
            <w:vAlign w:val="center"/>
          </w:tcPr>
          <w:p w14:paraId="78BA3326">
            <w:pPr>
              <w:pStyle w:val="29"/>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宋体" w:cs="Times New Roman"/>
                <w:b w:val="0"/>
                <w:bCs/>
                <w:color w:val="auto"/>
                <w:kern w:val="2"/>
                <w:sz w:val="18"/>
                <w:szCs w:val="18"/>
                <w:highlight w:val="none"/>
                <w:lang w:val="en-US" w:eastAsia="zh-CN" w:bidi="ar-SA"/>
              </w:rPr>
            </w:pPr>
            <w:r>
              <w:rPr>
                <w:rFonts w:hint="default" w:ascii="Times New Roman" w:hAnsi="Times New Roman" w:eastAsia="宋体" w:cs="Times New Roman"/>
                <w:b w:val="0"/>
                <w:bCs/>
                <w:color w:val="auto"/>
                <w:kern w:val="2"/>
                <w:sz w:val="18"/>
                <w:szCs w:val="18"/>
                <w:highlight w:val="none"/>
                <w:lang w:val="en-US" w:eastAsia="zh-CN" w:bidi="ar-SA"/>
              </w:rPr>
              <w:t>1</w:t>
            </w:r>
          </w:p>
        </w:tc>
        <w:tc>
          <w:tcPr>
            <w:tcW w:w="1066" w:type="dxa"/>
            <w:tcBorders>
              <w:tl2br w:val="nil"/>
              <w:tr2bl w:val="nil"/>
            </w:tcBorders>
            <w:shd w:val="clear" w:color="auto" w:fill="auto"/>
            <w:vAlign w:val="center"/>
          </w:tcPr>
          <w:p w14:paraId="79F121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中平河下贵青龙保留区</w:t>
            </w:r>
          </w:p>
        </w:tc>
        <w:tc>
          <w:tcPr>
            <w:tcW w:w="785" w:type="dxa"/>
            <w:tcBorders>
              <w:tl2br w:val="nil"/>
              <w:tr2bl w:val="nil"/>
            </w:tcBorders>
            <w:shd w:val="clear" w:color="auto" w:fill="auto"/>
            <w:vAlign w:val="center"/>
          </w:tcPr>
          <w:p w14:paraId="0AF334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000000"/>
                <w:kern w:val="2"/>
                <w:sz w:val="18"/>
                <w:szCs w:val="18"/>
                <w:u w:val="none"/>
                <w:lang w:val="en-US" w:eastAsia="zh-CN" w:bidi="ar-SA"/>
              </w:rPr>
            </w:pPr>
          </w:p>
        </w:tc>
        <w:tc>
          <w:tcPr>
            <w:tcW w:w="782" w:type="dxa"/>
            <w:tcBorders>
              <w:tl2br w:val="nil"/>
              <w:tr2bl w:val="nil"/>
            </w:tcBorders>
            <w:shd w:val="clear" w:color="auto" w:fill="auto"/>
            <w:vAlign w:val="center"/>
          </w:tcPr>
          <w:p w14:paraId="0078B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洞庭湖水系</w:t>
            </w:r>
          </w:p>
        </w:tc>
        <w:tc>
          <w:tcPr>
            <w:tcW w:w="618" w:type="dxa"/>
            <w:tcBorders>
              <w:tl2br w:val="nil"/>
              <w:tr2bl w:val="nil"/>
            </w:tcBorders>
            <w:shd w:val="clear" w:color="auto" w:fill="auto"/>
            <w:vAlign w:val="center"/>
          </w:tcPr>
          <w:p w14:paraId="0AD1B2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中平河</w:t>
            </w:r>
          </w:p>
        </w:tc>
        <w:tc>
          <w:tcPr>
            <w:tcW w:w="936" w:type="dxa"/>
            <w:tcBorders>
              <w:tl2br w:val="nil"/>
              <w:tr2bl w:val="nil"/>
            </w:tcBorders>
            <w:shd w:val="clear" w:color="auto" w:fill="auto"/>
            <w:vAlign w:val="center"/>
          </w:tcPr>
          <w:p w14:paraId="478E22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中平乡下贵村</w:t>
            </w:r>
          </w:p>
        </w:tc>
        <w:tc>
          <w:tcPr>
            <w:tcW w:w="975" w:type="dxa"/>
            <w:tcBorders>
              <w:tl2br w:val="nil"/>
              <w:tr2bl w:val="nil"/>
            </w:tcBorders>
            <w:shd w:val="clear" w:color="auto" w:fill="auto"/>
            <w:vAlign w:val="center"/>
          </w:tcPr>
          <w:p w14:paraId="144A5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石耶青龙村中平河入河处</w:t>
            </w:r>
          </w:p>
        </w:tc>
        <w:tc>
          <w:tcPr>
            <w:tcW w:w="810" w:type="dxa"/>
            <w:tcBorders>
              <w:tl2br w:val="nil"/>
              <w:tr2bl w:val="nil"/>
            </w:tcBorders>
            <w:shd w:val="clear" w:color="auto" w:fill="auto"/>
            <w:vAlign w:val="center"/>
          </w:tcPr>
          <w:p w14:paraId="63D805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510" w:type="dxa"/>
            <w:tcBorders>
              <w:tl2br w:val="nil"/>
              <w:tr2bl w:val="nil"/>
            </w:tcBorders>
            <w:shd w:val="clear" w:color="auto" w:fill="auto"/>
            <w:vAlign w:val="center"/>
          </w:tcPr>
          <w:p w14:paraId="75126C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555" w:type="dxa"/>
            <w:tcBorders>
              <w:tl2br w:val="nil"/>
              <w:tr2bl w:val="nil"/>
            </w:tcBorders>
            <w:shd w:val="clear" w:color="auto" w:fill="auto"/>
            <w:vAlign w:val="center"/>
          </w:tcPr>
          <w:p w14:paraId="11504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Ⅲ</w:t>
            </w:r>
          </w:p>
        </w:tc>
        <w:tc>
          <w:tcPr>
            <w:tcW w:w="1070" w:type="dxa"/>
            <w:tcBorders>
              <w:tl2br w:val="nil"/>
              <w:tr2bl w:val="nil"/>
            </w:tcBorders>
            <w:shd w:val="clear" w:color="auto" w:fill="auto"/>
            <w:vAlign w:val="center"/>
          </w:tcPr>
          <w:p w14:paraId="0D3308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default" w:ascii="Times New Roman" w:hAnsi="Times New Roman" w:eastAsia="宋体" w:cs="Times New Roman"/>
                <w:i w:val="0"/>
                <w:iCs w:val="0"/>
                <w:color w:val="000000"/>
                <w:kern w:val="0"/>
                <w:sz w:val="18"/>
                <w:szCs w:val="18"/>
                <w:u w:val="none"/>
                <w:lang w:val="en-US" w:eastAsia="zh-CN" w:bidi="ar"/>
              </w:rPr>
              <w:t>水资源开发利用程度不高</w:t>
            </w:r>
          </w:p>
        </w:tc>
      </w:tr>
    </w:tbl>
    <w:p w14:paraId="6450B7AC">
      <w:pPr>
        <w:pStyle w:val="5"/>
        <w:bidi w:val="0"/>
        <w:rPr>
          <w:rFonts w:hint="default"/>
          <w:color w:val="auto"/>
          <w:highlight w:val="none"/>
          <w:lang w:val="en-US" w:eastAsia="zh-CN"/>
        </w:rPr>
      </w:pPr>
    </w:p>
    <w:p w14:paraId="42FDF0CD">
      <w:pPr>
        <w:pStyle w:val="8"/>
        <w:bidi w:val="0"/>
        <w:rPr>
          <w:rFonts w:hint="default"/>
          <w:color w:val="auto"/>
          <w:highlight w:val="none"/>
        </w:rPr>
      </w:pPr>
      <w:r>
        <w:rPr>
          <w:rFonts w:hint="default"/>
          <w:color w:val="auto"/>
          <w:highlight w:val="none"/>
          <w:lang w:val="en-US" w:eastAsia="zh-CN"/>
        </w:rPr>
        <w:t>饮用水水源保护区划分</w:t>
      </w:r>
      <w:r>
        <w:rPr>
          <w:rFonts w:hint="eastAsia"/>
        </w:rPr>
        <w:t>现状</w:t>
      </w:r>
    </w:p>
    <w:p w14:paraId="0C71DE7D">
      <w:pPr>
        <w:pStyle w:val="5"/>
        <w:bidi w:val="0"/>
        <w:rPr>
          <w:rFonts w:hint="default"/>
          <w:color w:val="auto"/>
          <w:highlight w:val="none"/>
        </w:rPr>
      </w:pPr>
      <w:r>
        <w:rPr>
          <w:rFonts w:hint="eastAsia"/>
          <w:color w:val="auto"/>
          <w:highlight w:val="none"/>
          <w:lang w:val="en-US" w:eastAsia="zh-CN"/>
        </w:rPr>
        <w:t>石耶镇辖区内暂无</w:t>
      </w:r>
      <w:r>
        <w:rPr>
          <w:rFonts w:hint="default"/>
          <w:color w:val="auto"/>
          <w:highlight w:val="none"/>
          <w:lang w:val="en-US" w:eastAsia="zh-CN"/>
        </w:rPr>
        <w:t>集中式饮用水水源地</w:t>
      </w:r>
      <w:r>
        <w:rPr>
          <w:rFonts w:hint="default"/>
          <w:color w:val="auto"/>
          <w:highlight w:val="none"/>
        </w:rPr>
        <w:t>。</w:t>
      </w:r>
    </w:p>
    <w:p w14:paraId="67985366">
      <w:pPr>
        <w:pStyle w:val="7"/>
        <w:bidi w:val="0"/>
        <w:ind w:left="0" w:leftChars="0" w:firstLine="0" w:firstLineChars="0"/>
        <w:rPr>
          <w:color w:val="auto"/>
          <w:highlight w:val="none"/>
        </w:rPr>
      </w:pPr>
      <w:bookmarkStart w:id="39" w:name="_Toc13672"/>
      <w:r>
        <w:rPr>
          <w:rFonts w:hint="eastAsia"/>
          <w:color w:val="auto"/>
          <w:highlight w:val="none"/>
        </w:rPr>
        <w:t>水域岸线管理保护现状</w:t>
      </w:r>
      <w:bookmarkEnd w:id="39"/>
    </w:p>
    <w:p w14:paraId="06027743">
      <w:pPr>
        <w:pStyle w:val="8"/>
        <w:bidi w:val="0"/>
        <w:ind w:left="0" w:leftChars="0" w:firstLine="0" w:firstLineChars="0"/>
        <w:rPr>
          <w:rFonts w:hint="eastAsia"/>
          <w:color w:val="auto"/>
          <w:highlight w:val="none"/>
        </w:rPr>
      </w:pPr>
      <w:r>
        <w:rPr>
          <w:rFonts w:hint="eastAsia"/>
          <w:color w:val="auto"/>
          <w:highlight w:val="none"/>
          <w:lang w:val="en-US" w:eastAsia="zh-CN"/>
        </w:rPr>
        <w:t>河道管理保护范围及生态空间划定情况</w:t>
      </w:r>
    </w:p>
    <w:p w14:paraId="3AC4B004">
      <w:pPr>
        <w:pStyle w:val="27"/>
        <w:bidi w:val="0"/>
        <w:rPr>
          <w:rFonts w:hint="eastAsia"/>
          <w:color w:val="auto"/>
          <w:highlight w:val="none"/>
          <w:lang w:val="en-US" w:eastAsia="zh-CN"/>
        </w:rPr>
      </w:pPr>
      <w:r>
        <w:rPr>
          <w:rFonts w:hint="eastAsia"/>
          <w:color w:val="auto"/>
          <w:highlight w:val="none"/>
          <w:lang w:val="en-US" w:eastAsia="zh-CN"/>
        </w:rPr>
        <w:t>（1）河道管理保护范围划定</w:t>
      </w:r>
    </w:p>
    <w:p w14:paraId="04F07C6A">
      <w:pPr>
        <w:pStyle w:val="5"/>
        <w:bidi w:val="0"/>
        <w:rPr>
          <w:rFonts w:hint="eastAsia"/>
          <w:color w:val="auto"/>
          <w:sz w:val="15"/>
          <w:szCs w:val="15"/>
          <w:highlight w:val="none"/>
          <w:lang w:val="en-US" w:eastAsia="zh-CN"/>
        </w:rPr>
      </w:pPr>
      <w:r>
        <w:rPr>
          <w:rFonts w:hint="eastAsia"/>
          <w:color w:val="auto"/>
          <w:lang w:val="en-US" w:eastAsia="zh-CN"/>
        </w:rPr>
        <w:t>石耶镇辖区内梅江河干流已完成河道划界工作。其中：梅江河于2012年、2014年、2015年、2017年及2018年分5次进行了河道划界；中平河于2018年进行了河道划界</w:t>
      </w:r>
      <w:r>
        <w:rPr>
          <w:rFonts w:hint="eastAsia"/>
          <w:lang w:val="en-US" w:eastAsia="zh-CN"/>
        </w:rPr>
        <w:t>。秀山县水利局委托专业单位对2012～2018年划界工作进行成果复核、整合上图和补充完善工作，划界河道按国家要求全部更换为国家2000坐标系。</w:t>
      </w:r>
    </w:p>
    <w:p w14:paraId="46ADD2C9">
      <w:pPr>
        <w:pStyle w:val="27"/>
        <w:bidi w:val="0"/>
        <w:rPr>
          <w:rFonts w:hint="eastAsia"/>
          <w:color w:val="auto"/>
          <w:highlight w:val="none"/>
          <w:lang w:val="en-US" w:eastAsia="zh-CN"/>
        </w:rPr>
      </w:pPr>
      <w:r>
        <w:rPr>
          <w:rFonts w:hint="eastAsia"/>
          <w:color w:val="auto"/>
          <w:highlight w:val="none"/>
          <w:lang w:val="en-US" w:eastAsia="zh-CN"/>
        </w:rPr>
        <w:t>（2）生态空间划定情况</w:t>
      </w:r>
    </w:p>
    <w:p w14:paraId="36853D05">
      <w:pPr>
        <w:pStyle w:val="5"/>
        <w:ind w:firstLine="480"/>
        <w:rPr>
          <w:rFonts w:hint="eastAsia"/>
          <w:color w:val="auto"/>
          <w:highlight w:val="none"/>
        </w:rPr>
      </w:pPr>
      <w:r>
        <w:rPr>
          <w:rFonts w:hint="eastAsia"/>
          <w:color w:val="auto"/>
          <w:highlight w:val="none"/>
          <w:lang w:val="en-US" w:eastAsia="zh-CN"/>
        </w:rPr>
        <w:t>根据县生态环境局提供资料，秀山县已完成生态空间划定</w:t>
      </w:r>
      <w:r>
        <w:rPr>
          <w:rFonts w:hint="default"/>
          <w:color w:val="auto"/>
          <w:highlight w:val="none"/>
          <w:lang w:val="en-US" w:eastAsia="zh-CN"/>
        </w:rPr>
        <w:t>工作，明确</w:t>
      </w:r>
      <w:r>
        <w:rPr>
          <w:rFonts w:hint="eastAsia"/>
          <w:color w:val="auto"/>
          <w:highlight w:val="none"/>
          <w:lang w:val="en-US" w:eastAsia="zh-CN"/>
        </w:rPr>
        <w:t>梅江河</w:t>
      </w:r>
      <w:r>
        <w:rPr>
          <w:rFonts w:hint="default"/>
          <w:color w:val="auto"/>
          <w:highlight w:val="none"/>
          <w:lang w:val="en-US" w:eastAsia="zh-CN"/>
        </w:rPr>
        <w:t>流域内河库管理保护及生态空间范围，主要包括河库水域、岸线等空间及水源涵养、饮用水水源保护、水土保持、行蓄洪水等陆域涉水生态空间</w:t>
      </w:r>
      <w:r>
        <w:rPr>
          <w:rFonts w:hint="eastAsia"/>
          <w:color w:val="auto"/>
          <w:highlight w:val="none"/>
        </w:rPr>
        <w:t>。</w:t>
      </w:r>
    </w:p>
    <w:p w14:paraId="0B5D747A">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河道水域岸线保护规划及分区管理情况</w:t>
      </w:r>
    </w:p>
    <w:p w14:paraId="5DD732D3">
      <w:pPr>
        <w:pStyle w:val="5"/>
        <w:bidi w:val="0"/>
        <w:rPr>
          <w:rFonts w:hint="eastAsia"/>
          <w:lang w:val="en-US" w:eastAsia="zh-CN"/>
        </w:rPr>
      </w:pPr>
      <w:r>
        <w:rPr>
          <w:rFonts w:hint="eastAsia"/>
          <w:lang w:val="en-US" w:eastAsia="zh-CN"/>
        </w:rPr>
        <w:t>先后编制完成了《重庆市秀山县城镇河道利用与保护规划报告》《秀山县河道岸线利用管理规划》《重庆市秀山县城市规划区河道岸线保护与利用规划》。同时，按市上要求对全县50km2以上的河流岸线进行了划全部定，划定河道岸线总长995.5km。</w:t>
      </w:r>
    </w:p>
    <w:p w14:paraId="0574A885">
      <w:pPr>
        <w:pStyle w:val="8"/>
        <w:keepNext w:val="0"/>
        <w:keepLines/>
        <w:pageBreakBefore w:val="0"/>
        <w:widowControl w:val="0"/>
        <w:kinsoku/>
        <w:wordWrap/>
        <w:overflowPunct/>
        <w:topLinePunct w:val="0"/>
        <w:autoSpaceDE/>
        <w:autoSpaceDN/>
        <w:bidi w:val="0"/>
        <w:adjustRightInd/>
        <w:snapToGrid/>
        <w:spacing w:before="161" w:beforeLines="50"/>
        <w:ind w:left="0" w:leftChars="0" w:firstLine="0" w:firstLineChars="0"/>
        <w:textAlignment w:val="auto"/>
        <w:rPr>
          <w:rFonts w:hint="eastAsia"/>
          <w:color w:val="auto"/>
          <w:highlight w:val="none"/>
        </w:rPr>
      </w:pPr>
      <w:r>
        <w:rPr>
          <w:rFonts w:hint="eastAsia"/>
          <w:color w:val="auto"/>
          <w:highlight w:val="none"/>
          <w:lang w:val="en-US" w:eastAsia="zh-CN"/>
        </w:rPr>
        <w:t>涉河建筑物情况</w:t>
      </w:r>
    </w:p>
    <w:p w14:paraId="71FA379C">
      <w:pPr>
        <w:pStyle w:val="5"/>
        <w:bidi w:val="0"/>
        <w:rPr>
          <w:rFonts w:hint="eastAsia" w:ascii="Times New Roman" w:hAnsi="Times New Roman" w:eastAsia="宋体" w:cs="Times New Roman"/>
          <w:color w:val="auto"/>
          <w:kern w:val="2"/>
          <w:szCs w:val="20"/>
          <w:highlight w:val="none"/>
          <w:lang w:val="en-US" w:eastAsia="zh-CN" w:bidi="ar-SA"/>
        </w:rPr>
      </w:pPr>
      <w:r>
        <w:rPr>
          <w:rFonts w:hint="eastAsia"/>
          <w:color w:val="auto"/>
          <w:lang w:val="en-US" w:eastAsia="zh-CN"/>
        </w:rPr>
        <w:t>梅江河流域内涉河建筑物数量较多且较分散，根据秀山县本底调查统计，梅江河石耶镇段主要涉河建筑物共4处，为跨河桥梁。具体情况见下表。</w:t>
      </w:r>
    </w:p>
    <w:p w14:paraId="66EDD991">
      <w:pPr>
        <w:pStyle w:val="56"/>
        <w:bidi w:val="0"/>
        <w:rPr>
          <w:rFonts w:hint="default"/>
          <w:color w:val="auto"/>
          <w:highlight w:val="none"/>
          <w:lang w:val="en-US" w:eastAsia="zh-CN"/>
        </w:rPr>
      </w:pPr>
      <w:r>
        <w:rPr>
          <w:rFonts w:hint="eastAsia"/>
          <w:color w:val="auto"/>
          <w:highlight w:val="none"/>
          <w:lang w:val="en-US" w:eastAsia="zh-CN"/>
        </w:rPr>
        <w:t>表3.2-7   梅江河干流涉河建筑物统计表</w:t>
      </w:r>
    </w:p>
    <w:tbl>
      <w:tblPr>
        <w:tblStyle w:val="23"/>
        <w:tblW w:w="851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608"/>
        <w:gridCol w:w="1606"/>
        <w:gridCol w:w="4506"/>
      </w:tblGrid>
      <w:tr w14:paraId="1F1B7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93" w:type="dxa"/>
            <w:tcBorders>
              <w:tl2br w:val="nil"/>
              <w:tr2bl w:val="nil"/>
            </w:tcBorders>
            <w:vAlign w:val="center"/>
          </w:tcPr>
          <w:p w14:paraId="2300A28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1608" w:type="dxa"/>
            <w:tcBorders>
              <w:tl2br w:val="nil"/>
              <w:tr2bl w:val="nil"/>
            </w:tcBorders>
            <w:vAlign w:val="center"/>
          </w:tcPr>
          <w:p w14:paraId="1083F3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1606" w:type="dxa"/>
            <w:tcBorders>
              <w:tl2br w:val="nil"/>
              <w:tr2bl w:val="nil"/>
            </w:tcBorders>
            <w:vAlign w:val="center"/>
          </w:tcPr>
          <w:p w14:paraId="369FD73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eastAsia"/>
                <w:b w:val="0"/>
                <w:bCs/>
                <w:color w:val="auto"/>
                <w:sz w:val="21"/>
                <w:szCs w:val="21"/>
                <w:highlight w:val="none"/>
                <w:lang w:val="en-US" w:eastAsia="zh-CN"/>
              </w:rPr>
              <w:t>位置</w:t>
            </w:r>
          </w:p>
        </w:tc>
        <w:tc>
          <w:tcPr>
            <w:tcW w:w="4506" w:type="dxa"/>
            <w:tcBorders>
              <w:tl2br w:val="nil"/>
              <w:tr2bl w:val="nil"/>
            </w:tcBorders>
            <w:vAlign w:val="center"/>
          </w:tcPr>
          <w:p w14:paraId="1DC4F2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照片</w:t>
            </w:r>
          </w:p>
        </w:tc>
      </w:tr>
      <w:tr w14:paraId="0D4F55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14:paraId="01273A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1608" w:type="dxa"/>
            <w:tcBorders>
              <w:tl2br w:val="nil"/>
              <w:tr2bl w:val="nil"/>
            </w:tcBorders>
            <w:vAlign w:val="center"/>
          </w:tcPr>
          <w:p w14:paraId="4B74A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平邑桥</w:t>
            </w:r>
          </w:p>
        </w:tc>
        <w:tc>
          <w:tcPr>
            <w:tcW w:w="1606" w:type="dxa"/>
            <w:tcBorders>
              <w:tl2br w:val="nil"/>
              <w:tr2bl w:val="nil"/>
            </w:tcBorders>
            <w:vAlign w:val="center"/>
          </w:tcPr>
          <w:p w14:paraId="488F39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1"/>
                <w:lang w:val="en-US" w:eastAsia="zh-CN"/>
              </w:rPr>
            </w:pPr>
            <w:r>
              <w:rPr>
                <w:rFonts w:hint="eastAsia" w:eastAsia="宋体" w:cs="Times New Roman"/>
                <w:sz w:val="21"/>
                <w:szCs w:val="21"/>
                <w:lang w:val="en-US" w:eastAsia="zh-CN"/>
              </w:rPr>
              <w:t>石耶镇平邑村</w:t>
            </w:r>
          </w:p>
        </w:tc>
        <w:tc>
          <w:tcPr>
            <w:tcW w:w="4506" w:type="dxa"/>
            <w:tcBorders>
              <w:tl2br w:val="nil"/>
              <w:tr2bl w:val="nil"/>
            </w:tcBorders>
            <w:vAlign w:val="center"/>
          </w:tcPr>
          <w:p w14:paraId="6AE59B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13" name="图片 13" descr="IMG_20210618_1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10618_111337"/>
                          <pic:cNvPicPr>
                            <a:picLocks noChangeAspect="1"/>
                          </pic:cNvPicPr>
                        </pic:nvPicPr>
                        <pic:blipFill>
                          <a:blip r:embed="rId12"/>
                          <a:stretch>
                            <a:fillRect/>
                          </a:stretch>
                        </pic:blipFill>
                        <pic:spPr>
                          <a:xfrm>
                            <a:off x="0" y="0"/>
                            <a:ext cx="2447925" cy="1835785"/>
                          </a:xfrm>
                          <a:prstGeom prst="rect">
                            <a:avLst/>
                          </a:prstGeom>
                        </pic:spPr>
                      </pic:pic>
                    </a:graphicData>
                  </a:graphic>
                </wp:inline>
              </w:drawing>
            </w:r>
          </w:p>
        </w:tc>
      </w:tr>
      <w:tr w14:paraId="07FA9E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14:paraId="0755C3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2</w:t>
            </w:r>
          </w:p>
        </w:tc>
        <w:tc>
          <w:tcPr>
            <w:tcW w:w="1608" w:type="dxa"/>
            <w:tcBorders>
              <w:tl2br w:val="nil"/>
              <w:tr2bl w:val="nil"/>
            </w:tcBorders>
            <w:vAlign w:val="center"/>
          </w:tcPr>
          <w:p w14:paraId="09164B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石耶大桥</w:t>
            </w:r>
          </w:p>
        </w:tc>
        <w:tc>
          <w:tcPr>
            <w:tcW w:w="1606" w:type="dxa"/>
            <w:tcBorders>
              <w:tl2br w:val="nil"/>
              <w:tr2bl w:val="nil"/>
            </w:tcBorders>
            <w:vAlign w:val="center"/>
          </w:tcPr>
          <w:p w14:paraId="068219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14:paraId="4C21F1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22" name="图片 22" descr="IMG_20210618_1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10618_112002"/>
                          <pic:cNvPicPr>
                            <a:picLocks noChangeAspect="1"/>
                          </pic:cNvPicPr>
                        </pic:nvPicPr>
                        <pic:blipFill>
                          <a:blip r:embed="rId13"/>
                          <a:stretch>
                            <a:fillRect/>
                          </a:stretch>
                        </pic:blipFill>
                        <pic:spPr>
                          <a:xfrm>
                            <a:off x="0" y="0"/>
                            <a:ext cx="2447925" cy="1835785"/>
                          </a:xfrm>
                          <a:prstGeom prst="rect">
                            <a:avLst/>
                          </a:prstGeom>
                        </pic:spPr>
                      </pic:pic>
                    </a:graphicData>
                  </a:graphic>
                </wp:inline>
              </w:drawing>
            </w:r>
          </w:p>
        </w:tc>
      </w:tr>
      <w:tr w14:paraId="31EC10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14:paraId="7FA4C1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3</w:t>
            </w:r>
          </w:p>
        </w:tc>
        <w:tc>
          <w:tcPr>
            <w:tcW w:w="1608" w:type="dxa"/>
            <w:tcBorders>
              <w:tl2br w:val="nil"/>
              <w:tr2bl w:val="nil"/>
            </w:tcBorders>
            <w:vAlign w:val="center"/>
          </w:tcPr>
          <w:p w14:paraId="587947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石耶新大桥</w:t>
            </w:r>
          </w:p>
        </w:tc>
        <w:tc>
          <w:tcPr>
            <w:tcW w:w="1606" w:type="dxa"/>
            <w:tcBorders>
              <w:tl2br w:val="nil"/>
              <w:tr2bl w:val="nil"/>
            </w:tcBorders>
            <w:vAlign w:val="center"/>
          </w:tcPr>
          <w:p w14:paraId="4858F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14:paraId="15BCA4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1" name="图片 31" descr="IMG_20210618_11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210618_115451"/>
                          <pic:cNvPicPr>
                            <a:picLocks noChangeAspect="1"/>
                          </pic:cNvPicPr>
                        </pic:nvPicPr>
                        <pic:blipFill>
                          <a:blip r:embed="rId14"/>
                          <a:stretch>
                            <a:fillRect/>
                          </a:stretch>
                        </pic:blipFill>
                        <pic:spPr>
                          <a:xfrm>
                            <a:off x="0" y="0"/>
                            <a:ext cx="2447925" cy="1835785"/>
                          </a:xfrm>
                          <a:prstGeom prst="rect">
                            <a:avLst/>
                          </a:prstGeom>
                        </pic:spPr>
                      </pic:pic>
                    </a:graphicData>
                  </a:graphic>
                </wp:inline>
              </w:drawing>
            </w:r>
          </w:p>
        </w:tc>
      </w:tr>
      <w:tr w14:paraId="429CDE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 w:type="dxa"/>
            <w:tcBorders>
              <w:tl2br w:val="nil"/>
              <w:tr2bl w:val="nil"/>
            </w:tcBorders>
            <w:vAlign w:val="center"/>
          </w:tcPr>
          <w:p w14:paraId="12120E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4</w:t>
            </w:r>
          </w:p>
        </w:tc>
        <w:tc>
          <w:tcPr>
            <w:tcW w:w="1608" w:type="dxa"/>
            <w:tcBorders>
              <w:tl2br w:val="nil"/>
              <w:tr2bl w:val="nil"/>
            </w:tcBorders>
            <w:vAlign w:val="center"/>
          </w:tcPr>
          <w:p w14:paraId="334400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eastAsia="宋体" w:cs="Times New Roman"/>
                <w:sz w:val="21"/>
                <w:szCs w:val="21"/>
                <w:lang w:val="en-US" w:eastAsia="zh-CN"/>
              </w:rPr>
            </w:pPr>
            <w:r>
              <w:rPr>
                <w:rFonts w:hint="eastAsia" w:eastAsia="宋体" w:cs="Times New Roman"/>
                <w:sz w:val="21"/>
                <w:szCs w:val="21"/>
                <w:lang w:val="en-US" w:eastAsia="zh-CN"/>
              </w:rPr>
              <w:t>西南水泥厂公路桥</w:t>
            </w:r>
          </w:p>
        </w:tc>
        <w:tc>
          <w:tcPr>
            <w:tcW w:w="1606" w:type="dxa"/>
            <w:tcBorders>
              <w:tl2br w:val="nil"/>
              <w:tr2bl w:val="nil"/>
            </w:tcBorders>
            <w:vAlign w:val="center"/>
          </w:tcPr>
          <w:p w14:paraId="67335B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eastAsia="宋体" w:cs="Times New Roman"/>
                <w:sz w:val="21"/>
                <w:szCs w:val="21"/>
                <w:lang w:val="en-US" w:eastAsia="zh-CN"/>
              </w:rPr>
            </w:pPr>
            <w:r>
              <w:rPr>
                <w:rFonts w:hint="eastAsia" w:eastAsia="宋体" w:cs="Times New Roman"/>
                <w:sz w:val="21"/>
                <w:szCs w:val="21"/>
                <w:lang w:val="en-US" w:eastAsia="zh-CN"/>
              </w:rPr>
              <w:t>秀山县石耶镇</w:t>
            </w:r>
          </w:p>
        </w:tc>
        <w:tc>
          <w:tcPr>
            <w:tcW w:w="4506" w:type="dxa"/>
            <w:tcBorders>
              <w:tl2br w:val="nil"/>
              <w:tr2bl w:val="nil"/>
            </w:tcBorders>
            <w:vAlign w:val="center"/>
          </w:tcPr>
          <w:p w14:paraId="17DB214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drawing>
                <wp:inline distT="0" distB="0" distL="114300" distR="114300">
                  <wp:extent cx="2447925" cy="1835785"/>
                  <wp:effectExtent l="0" t="0" r="9525" b="12065"/>
                  <wp:docPr id="34" name="图片 34" descr="IMG_20210618_1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10618_124627"/>
                          <pic:cNvPicPr>
                            <a:picLocks noChangeAspect="1"/>
                          </pic:cNvPicPr>
                        </pic:nvPicPr>
                        <pic:blipFill>
                          <a:blip r:embed="rId15"/>
                          <a:stretch>
                            <a:fillRect/>
                          </a:stretch>
                        </pic:blipFill>
                        <pic:spPr>
                          <a:xfrm>
                            <a:off x="0" y="0"/>
                            <a:ext cx="2447925" cy="1835785"/>
                          </a:xfrm>
                          <a:prstGeom prst="rect">
                            <a:avLst/>
                          </a:prstGeom>
                        </pic:spPr>
                      </pic:pic>
                    </a:graphicData>
                  </a:graphic>
                </wp:inline>
              </w:drawing>
            </w:r>
          </w:p>
        </w:tc>
      </w:tr>
    </w:tbl>
    <w:p w14:paraId="012A6601">
      <w:pPr>
        <w:pStyle w:val="2"/>
        <w:rPr>
          <w:rFonts w:hint="eastAsia"/>
          <w:lang w:val="en-US" w:eastAsia="zh-CN"/>
        </w:rPr>
      </w:pPr>
    </w:p>
    <w:p w14:paraId="48E1F6AE">
      <w:pPr>
        <w:pStyle w:val="8"/>
        <w:bidi w:val="0"/>
        <w:rPr>
          <w:rFonts w:hint="eastAsia"/>
          <w:color w:val="auto"/>
          <w:highlight w:val="none"/>
          <w:lang w:val="en-US" w:eastAsia="zh-CN"/>
        </w:rPr>
      </w:pPr>
      <w:r>
        <w:rPr>
          <w:rFonts w:hint="eastAsia"/>
          <w:color w:val="auto"/>
          <w:highlight w:val="none"/>
          <w:lang w:val="en-US" w:eastAsia="zh-CN"/>
        </w:rPr>
        <w:t>采砂情况</w:t>
      </w:r>
    </w:p>
    <w:p w14:paraId="540AE972">
      <w:pPr>
        <w:pStyle w:val="5"/>
        <w:bidi w:val="0"/>
        <w:rPr>
          <w:rFonts w:hint="eastAsia"/>
          <w:color w:val="auto"/>
          <w:highlight w:val="none"/>
          <w:lang w:val="en-US" w:eastAsia="zh-CN"/>
        </w:rPr>
      </w:pPr>
      <w:r>
        <w:rPr>
          <w:rFonts w:hint="eastAsia"/>
          <w:lang w:val="en-US" w:eastAsia="zh-CN"/>
        </w:rPr>
        <w:t>石耶镇各河流无采砂规划。</w:t>
      </w:r>
    </w:p>
    <w:p w14:paraId="1D692BDC">
      <w:pPr>
        <w:pStyle w:val="8"/>
        <w:bidi w:val="0"/>
        <w:rPr>
          <w:rFonts w:hint="eastAsia"/>
          <w:color w:val="auto"/>
          <w:highlight w:val="none"/>
          <w:lang w:val="en-US" w:eastAsia="zh-CN"/>
        </w:rPr>
      </w:pPr>
      <w:r>
        <w:rPr>
          <w:rFonts w:hint="eastAsia"/>
          <w:color w:val="auto"/>
          <w:highlight w:val="none"/>
          <w:lang w:val="en-US" w:eastAsia="zh-CN"/>
        </w:rPr>
        <w:t>其他河库水域岸线利用情况</w:t>
      </w:r>
    </w:p>
    <w:p w14:paraId="62DD58AB">
      <w:pPr>
        <w:pStyle w:val="27"/>
        <w:bidi w:val="0"/>
        <w:rPr>
          <w:rFonts w:hint="eastAsia"/>
          <w:color w:val="auto"/>
          <w:highlight w:val="none"/>
          <w:lang w:val="en-US" w:eastAsia="zh-CN"/>
        </w:rPr>
      </w:pPr>
      <w:r>
        <w:rPr>
          <w:rFonts w:hint="eastAsia"/>
          <w:color w:val="auto"/>
          <w:highlight w:val="none"/>
          <w:lang w:val="en-US" w:eastAsia="zh-CN"/>
        </w:rPr>
        <w:t>（1）水能开发情况</w:t>
      </w:r>
    </w:p>
    <w:p w14:paraId="52DFCD10">
      <w:pPr>
        <w:pStyle w:val="5"/>
        <w:bidi w:val="0"/>
        <w:rPr>
          <w:rFonts w:hint="eastAsia"/>
          <w:color w:val="auto"/>
          <w:highlight w:val="none"/>
          <w:lang w:val="en-US" w:eastAsia="zh-CN"/>
        </w:rPr>
      </w:pPr>
      <w:r>
        <w:rPr>
          <w:rFonts w:hint="eastAsia"/>
          <w:lang w:val="en-US" w:eastAsia="zh-CN"/>
        </w:rPr>
        <w:t>石耶镇暂无水能开发情况。</w:t>
      </w:r>
    </w:p>
    <w:p w14:paraId="53A0637B">
      <w:pPr>
        <w:pStyle w:val="27"/>
        <w:bidi w:val="0"/>
        <w:ind w:left="0" w:leftChars="0" w:firstLine="484" w:firstLineChars="200"/>
        <w:rPr>
          <w:rFonts w:hint="eastAsia"/>
          <w:color w:val="auto"/>
          <w:highlight w:val="none"/>
          <w:lang w:val="en-US" w:eastAsia="zh-CN"/>
        </w:rPr>
      </w:pPr>
      <w:r>
        <w:rPr>
          <w:rFonts w:hint="eastAsia"/>
          <w:color w:val="auto"/>
          <w:highlight w:val="none"/>
          <w:lang w:val="en-US" w:eastAsia="zh-CN"/>
        </w:rPr>
        <w:t>（2）围网养殖情况</w:t>
      </w:r>
    </w:p>
    <w:p w14:paraId="43633182">
      <w:pPr>
        <w:pStyle w:val="38"/>
        <w:bidi w:val="0"/>
        <w:rPr>
          <w:rFonts w:hint="eastAsia"/>
          <w:color w:val="auto"/>
          <w:highlight w:val="none"/>
          <w:lang w:val="en-US" w:eastAsia="zh-CN"/>
        </w:rPr>
      </w:pPr>
      <w:r>
        <w:rPr>
          <w:rFonts w:hint="eastAsia"/>
          <w:lang w:val="en-US" w:eastAsia="zh-CN"/>
        </w:rPr>
        <w:t>石耶镇各河流现已全面禁止河道围网养殖，及时发现及时处理。</w:t>
      </w:r>
    </w:p>
    <w:p w14:paraId="524D850E">
      <w:pPr>
        <w:pStyle w:val="27"/>
        <w:bidi w:val="0"/>
        <w:rPr>
          <w:rFonts w:hint="eastAsia"/>
          <w:color w:val="auto"/>
          <w:highlight w:val="none"/>
          <w:lang w:val="en-US" w:eastAsia="zh-CN"/>
        </w:rPr>
      </w:pPr>
      <w:r>
        <w:rPr>
          <w:rFonts w:hint="eastAsia"/>
          <w:color w:val="auto"/>
          <w:highlight w:val="none"/>
          <w:lang w:val="en-US" w:eastAsia="zh-CN"/>
        </w:rPr>
        <w:t>（4）围垦及航运情况</w:t>
      </w:r>
    </w:p>
    <w:p w14:paraId="53FBC958">
      <w:pPr>
        <w:pStyle w:val="5"/>
        <w:bidi w:val="0"/>
        <w:rPr>
          <w:rFonts w:hint="eastAsia"/>
          <w:color w:val="auto"/>
          <w:highlight w:val="none"/>
          <w:lang w:val="en-US" w:eastAsia="zh-CN"/>
        </w:rPr>
      </w:pPr>
      <w:r>
        <w:rPr>
          <w:rFonts w:hint="eastAsia"/>
          <w:lang w:val="en-US" w:eastAsia="zh-CN"/>
        </w:rPr>
        <w:t>石耶镇各河流无围垦情况、无航运情，暂未开发水上运动项目。</w:t>
      </w:r>
    </w:p>
    <w:p w14:paraId="51228777">
      <w:pPr>
        <w:pStyle w:val="27"/>
        <w:bidi w:val="0"/>
        <w:rPr>
          <w:rFonts w:hint="eastAsia"/>
          <w:color w:val="auto"/>
          <w:highlight w:val="none"/>
          <w:lang w:val="en-US" w:eastAsia="zh-CN"/>
        </w:rPr>
      </w:pPr>
      <w:r>
        <w:rPr>
          <w:rFonts w:hint="eastAsia"/>
          <w:color w:val="auto"/>
          <w:highlight w:val="none"/>
          <w:lang w:val="en-US" w:eastAsia="zh-CN"/>
        </w:rPr>
        <w:t>（5）违法侵占情况</w:t>
      </w:r>
    </w:p>
    <w:p w14:paraId="04D28F8B">
      <w:pPr>
        <w:pStyle w:val="5"/>
        <w:keepNext w:val="0"/>
        <w:keepLines w:val="0"/>
        <w:pageBreakBefore w:val="0"/>
        <w:widowControl w:val="0"/>
        <w:kinsoku/>
        <w:wordWrap/>
        <w:overflowPunct/>
        <w:topLinePunct w:val="0"/>
        <w:autoSpaceDE/>
        <w:autoSpaceDN/>
        <w:bidi w:val="0"/>
        <w:adjustRightInd/>
        <w:snapToGrid/>
        <w:spacing w:line="360" w:lineRule="auto"/>
        <w:ind w:firstLine="484" w:firstLineChars="200"/>
        <w:rPr>
          <w:rFonts w:hint="eastAsia"/>
          <w:color w:val="auto"/>
          <w:highlight w:val="none"/>
          <w:lang w:eastAsia="zh-CN"/>
        </w:rPr>
      </w:pPr>
      <w:r>
        <w:rPr>
          <w:rFonts w:hint="eastAsia"/>
          <w:color w:val="auto"/>
          <w:highlight w:val="none"/>
          <w:lang w:val="en-US" w:eastAsia="zh-CN"/>
        </w:rPr>
        <w:t>根据现场调查及石耶镇提供资料，</w:t>
      </w:r>
      <w:r>
        <w:rPr>
          <w:rFonts w:hint="eastAsia"/>
          <w:lang w:val="en-US" w:eastAsia="zh-CN"/>
        </w:rPr>
        <w:t>石耶镇各河流</w:t>
      </w:r>
      <w:r>
        <w:rPr>
          <w:rFonts w:hint="eastAsia"/>
          <w:color w:val="auto"/>
          <w:highlight w:val="none"/>
          <w:lang w:val="en-US" w:eastAsia="zh-CN"/>
        </w:rPr>
        <w:t>无违法侵占情况。</w:t>
      </w:r>
    </w:p>
    <w:p w14:paraId="5600AF39">
      <w:pPr>
        <w:pStyle w:val="7"/>
        <w:bidi w:val="0"/>
        <w:ind w:left="0" w:leftChars="0" w:firstLine="0" w:firstLineChars="0"/>
        <w:rPr>
          <w:color w:val="auto"/>
          <w:highlight w:val="none"/>
        </w:rPr>
      </w:pPr>
      <w:bookmarkStart w:id="40" w:name="_Toc15293"/>
      <w:bookmarkStart w:id="41" w:name="_Toc14993"/>
      <w:bookmarkStart w:id="42" w:name="_Toc27236"/>
      <w:r>
        <w:rPr>
          <w:rFonts w:hint="eastAsia"/>
          <w:color w:val="auto"/>
          <w:highlight w:val="none"/>
          <w:lang w:val="en-US" w:eastAsia="zh-CN"/>
        </w:rPr>
        <w:t>水污染现状</w:t>
      </w:r>
      <w:bookmarkEnd w:id="40"/>
      <w:bookmarkEnd w:id="41"/>
      <w:bookmarkEnd w:id="42"/>
    </w:p>
    <w:p w14:paraId="76FB4585">
      <w:pPr>
        <w:pStyle w:val="8"/>
        <w:bidi w:val="0"/>
        <w:rPr>
          <w:rFonts w:hint="eastAsia"/>
          <w:color w:val="auto"/>
          <w:highlight w:val="none"/>
          <w:lang w:val="en-US" w:eastAsia="zh-CN"/>
        </w:rPr>
      </w:pPr>
      <w:r>
        <w:rPr>
          <w:rFonts w:hint="eastAsia"/>
          <w:color w:val="auto"/>
          <w:highlight w:val="none"/>
          <w:lang w:val="en-US" w:eastAsia="zh-CN"/>
        </w:rPr>
        <w:t>点源污染负荷现状</w:t>
      </w:r>
    </w:p>
    <w:p w14:paraId="20FB5375">
      <w:pPr>
        <w:pStyle w:val="27"/>
        <w:bidi w:val="0"/>
        <w:rPr>
          <w:rFonts w:hint="eastAsia"/>
          <w:color w:val="auto"/>
          <w:highlight w:val="none"/>
          <w:lang w:val="en-US" w:eastAsia="zh-CN"/>
        </w:rPr>
      </w:pPr>
      <w:r>
        <w:rPr>
          <w:rFonts w:hint="eastAsia"/>
          <w:color w:val="auto"/>
          <w:highlight w:val="none"/>
          <w:lang w:val="en-US" w:eastAsia="zh-CN"/>
        </w:rPr>
        <w:t>（1）现状情况</w:t>
      </w:r>
    </w:p>
    <w:p w14:paraId="47B479AE">
      <w:pPr>
        <w:pStyle w:val="5"/>
        <w:bidi w:val="0"/>
        <w:rPr>
          <w:rFonts w:hint="eastAsia"/>
          <w:lang w:eastAsia="zh-CN"/>
        </w:rPr>
      </w:pPr>
      <w:r>
        <w:rPr>
          <w:rFonts w:hint="eastAsia"/>
        </w:rPr>
        <w:t>城镇生活污水包含大量的油脂、食物残渣等，悬浮物高、色度大、有机物浓度大，氮和磷含量也较高，直接排放势必会造成水体污染</w:t>
      </w:r>
      <w:r>
        <w:rPr>
          <w:rFonts w:hint="eastAsia"/>
          <w:lang w:eastAsia="zh-CN"/>
        </w:rPr>
        <w:t>。</w:t>
      </w:r>
    </w:p>
    <w:p w14:paraId="54DEF8AB">
      <w:pPr>
        <w:pStyle w:val="5"/>
        <w:bidi w:val="0"/>
        <w:rPr>
          <w:rFonts w:hint="eastAsia"/>
          <w:lang w:val="en-US" w:eastAsia="zh-CN"/>
        </w:rPr>
      </w:pPr>
      <w:r>
        <w:rPr>
          <w:rFonts w:hint="eastAsia"/>
          <w:lang w:val="en-US" w:eastAsia="zh-CN"/>
        </w:rPr>
        <w:t>①</w:t>
      </w:r>
      <w:r>
        <w:rPr>
          <w:rFonts w:hint="eastAsia"/>
        </w:rPr>
        <w:t>现状情况</w:t>
      </w:r>
    </w:p>
    <w:p w14:paraId="51876DCC">
      <w:pPr>
        <w:pStyle w:val="5"/>
        <w:bidi w:val="0"/>
        <w:rPr>
          <w:rFonts w:hint="eastAsia"/>
          <w:lang w:val="en-US" w:eastAsia="zh-CN"/>
        </w:rPr>
      </w:pPr>
      <w:r>
        <w:rPr>
          <w:rFonts w:hint="eastAsia"/>
          <w:lang w:val="en-US" w:eastAsia="zh-CN"/>
        </w:rPr>
        <w:t>目前石耶镇共有生活污水处理设施1座，工业污水处理设施1座。石耶镇污水处理设施建设情况如表3.2-5所示。</w:t>
      </w:r>
    </w:p>
    <w:p w14:paraId="5632070C">
      <w:pPr>
        <w:pStyle w:val="5"/>
        <w:bidi w:val="0"/>
        <w:rPr>
          <w:rFonts w:hint="default"/>
          <w:color w:val="auto"/>
          <w:highlight w:val="none"/>
          <w:lang w:val="en-US" w:eastAsia="zh-CN"/>
        </w:rPr>
      </w:pPr>
      <w:r>
        <w:rPr>
          <w:rFonts w:hint="eastAsia"/>
          <w:color w:val="auto"/>
          <w:highlight w:val="none"/>
        </w:rPr>
        <w:t>根据重庆市第二次污染源普查成果，</w:t>
      </w:r>
      <w:r>
        <w:rPr>
          <w:rFonts w:hint="eastAsia"/>
          <w:lang w:val="en-US" w:eastAsia="zh-CN"/>
        </w:rPr>
        <w:t>石耶镇</w:t>
      </w:r>
      <w:r>
        <w:rPr>
          <w:rFonts w:hint="eastAsia"/>
          <w:color w:val="auto"/>
          <w:highlight w:val="none"/>
        </w:rPr>
        <w:t>现有排污口</w:t>
      </w:r>
      <w:r>
        <w:rPr>
          <w:rFonts w:hint="eastAsia"/>
          <w:color w:val="auto"/>
          <w:highlight w:val="none"/>
          <w:lang w:val="en-US" w:eastAsia="zh-CN"/>
        </w:rPr>
        <w:t>2</w:t>
      </w:r>
      <w:r>
        <w:rPr>
          <w:rFonts w:hint="eastAsia"/>
          <w:color w:val="auto"/>
          <w:highlight w:val="none"/>
        </w:rPr>
        <w:t>个，具体情况见表</w:t>
      </w:r>
      <w:r>
        <w:rPr>
          <w:rFonts w:hint="eastAsia"/>
          <w:color w:val="auto"/>
          <w:highlight w:val="none"/>
          <w:lang w:val="en-US" w:eastAsia="zh-CN"/>
        </w:rPr>
        <w:t>3.2-8。</w:t>
      </w:r>
    </w:p>
    <w:p w14:paraId="212131CB">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14:paraId="330D569A">
      <w:pPr>
        <w:pStyle w:val="56"/>
        <w:bidi w:val="0"/>
        <w:rPr>
          <w:color w:val="auto"/>
          <w:highlight w:val="none"/>
        </w:rPr>
      </w:pPr>
      <w:r>
        <w:rPr>
          <w:color w:val="auto"/>
          <w:highlight w:val="none"/>
        </w:rPr>
        <w:t>表</w:t>
      </w:r>
      <w:r>
        <w:rPr>
          <w:rFonts w:hint="eastAsia"/>
          <w:color w:val="auto"/>
          <w:highlight w:val="none"/>
          <w:lang w:val="en-US" w:eastAsia="zh-CN"/>
        </w:rPr>
        <w:t>3.2-5  石耶镇乡镇污水处理厂</w:t>
      </w:r>
      <w:r>
        <w:rPr>
          <w:color w:val="auto"/>
          <w:highlight w:val="none"/>
        </w:rPr>
        <w:t>概况</w:t>
      </w:r>
    </w:p>
    <w:tbl>
      <w:tblPr>
        <w:tblStyle w:val="23"/>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30"/>
        <w:gridCol w:w="1924"/>
        <w:gridCol w:w="1710"/>
        <w:gridCol w:w="1757"/>
        <w:gridCol w:w="1259"/>
        <w:gridCol w:w="2790"/>
        <w:gridCol w:w="2353"/>
        <w:gridCol w:w="1357"/>
      </w:tblGrid>
      <w:tr w14:paraId="37606A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14:paraId="42A35C47">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1924" w:type="dxa"/>
            <w:tcBorders>
              <w:tl2br w:val="nil"/>
              <w:tr2bl w:val="nil"/>
            </w:tcBorders>
            <w:shd w:val="clear" w:color="auto" w:fill="auto"/>
            <w:tcMar>
              <w:top w:w="15" w:type="dxa"/>
              <w:left w:w="15" w:type="dxa"/>
              <w:right w:w="15" w:type="dxa"/>
            </w:tcMar>
            <w:vAlign w:val="center"/>
          </w:tcPr>
          <w:p w14:paraId="150D72D4">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污水厂名称</w:t>
            </w:r>
          </w:p>
        </w:tc>
        <w:tc>
          <w:tcPr>
            <w:tcW w:w="1710" w:type="dxa"/>
            <w:tcBorders>
              <w:tl2br w:val="nil"/>
              <w:tr2bl w:val="nil"/>
            </w:tcBorders>
            <w:shd w:val="clear" w:color="auto" w:fill="auto"/>
            <w:tcMar>
              <w:top w:w="15" w:type="dxa"/>
              <w:left w:w="15" w:type="dxa"/>
              <w:right w:w="15" w:type="dxa"/>
            </w:tcMar>
            <w:vAlign w:val="center"/>
          </w:tcPr>
          <w:p w14:paraId="4164124D">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所在位置</w:t>
            </w:r>
          </w:p>
        </w:tc>
        <w:tc>
          <w:tcPr>
            <w:tcW w:w="1757" w:type="dxa"/>
            <w:tcBorders>
              <w:tl2br w:val="nil"/>
              <w:tr2bl w:val="nil"/>
            </w:tcBorders>
            <w:shd w:val="clear" w:color="auto" w:fill="auto"/>
            <w:tcMar>
              <w:top w:w="15" w:type="dxa"/>
              <w:left w:w="15" w:type="dxa"/>
              <w:right w:w="15" w:type="dxa"/>
            </w:tcMar>
            <w:vAlign w:val="center"/>
          </w:tcPr>
          <w:p w14:paraId="4B1B55AE">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服务范围</w:t>
            </w:r>
          </w:p>
        </w:tc>
        <w:tc>
          <w:tcPr>
            <w:tcW w:w="1259" w:type="dxa"/>
            <w:tcBorders>
              <w:tl2br w:val="nil"/>
              <w:tr2bl w:val="nil"/>
            </w:tcBorders>
            <w:shd w:val="clear" w:color="auto" w:fill="auto"/>
            <w:tcMar>
              <w:top w:w="15" w:type="dxa"/>
              <w:left w:w="15" w:type="dxa"/>
              <w:right w:w="15" w:type="dxa"/>
            </w:tcMar>
            <w:vAlign w:val="center"/>
          </w:tcPr>
          <w:p w14:paraId="660D9548">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现状设计规模（m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/d）</w:t>
            </w:r>
          </w:p>
        </w:tc>
        <w:tc>
          <w:tcPr>
            <w:tcW w:w="2790" w:type="dxa"/>
            <w:tcBorders>
              <w:tl2br w:val="nil"/>
              <w:tr2bl w:val="nil"/>
            </w:tcBorders>
            <w:shd w:val="clear" w:color="auto" w:fill="auto"/>
            <w:tcMar>
              <w:top w:w="15" w:type="dxa"/>
              <w:left w:w="15" w:type="dxa"/>
              <w:right w:w="15" w:type="dxa"/>
            </w:tcMar>
            <w:vAlign w:val="center"/>
          </w:tcPr>
          <w:p w14:paraId="1F9691CA">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污水处理工艺概况</w:t>
            </w:r>
          </w:p>
        </w:tc>
        <w:tc>
          <w:tcPr>
            <w:tcW w:w="2353" w:type="dxa"/>
            <w:tcBorders>
              <w:tl2br w:val="nil"/>
              <w:tr2bl w:val="nil"/>
            </w:tcBorders>
            <w:shd w:val="clear" w:color="auto" w:fill="auto"/>
            <w:tcMar>
              <w:top w:w="15" w:type="dxa"/>
              <w:left w:w="15" w:type="dxa"/>
              <w:right w:w="15" w:type="dxa"/>
            </w:tcMar>
            <w:vAlign w:val="center"/>
          </w:tcPr>
          <w:p w14:paraId="623B680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出水水质标准</w:t>
            </w:r>
          </w:p>
        </w:tc>
        <w:tc>
          <w:tcPr>
            <w:tcW w:w="1357" w:type="dxa"/>
            <w:tcBorders>
              <w:tl2br w:val="nil"/>
              <w:tr2bl w:val="nil"/>
            </w:tcBorders>
            <w:shd w:val="clear" w:color="auto" w:fill="auto"/>
            <w:tcMar>
              <w:top w:w="15" w:type="dxa"/>
              <w:left w:w="15" w:type="dxa"/>
              <w:right w:w="15" w:type="dxa"/>
            </w:tcMar>
            <w:vAlign w:val="center"/>
          </w:tcPr>
          <w:p w14:paraId="3DBDCAF8">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14:paraId="5246BE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trPr>
        <w:tc>
          <w:tcPr>
            <w:tcW w:w="830" w:type="dxa"/>
            <w:tcBorders>
              <w:tl2br w:val="nil"/>
              <w:tr2bl w:val="nil"/>
            </w:tcBorders>
            <w:shd w:val="clear" w:color="auto" w:fill="auto"/>
            <w:tcMar>
              <w:top w:w="15" w:type="dxa"/>
              <w:left w:w="15" w:type="dxa"/>
              <w:right w:w="15" w:type="dxa"/>
            </w:tcMar>
            <w:vAlign w:val="center"/>
          </w:tcPr>
          <w:p w14:paraId="048D3124">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53" w:leftChars="-25" w:right="-53" w:rightChars="-25" w:firstLine="0" w:firstLineChars="0"/>
              <w:jc w:val="center"/>
              <w:textAlignment w:val="auto"/>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1924" w:type="dxa"/>
            <w:tcBorders>
              <w:tl2br w:val="nil"/>
              <w:tr2bl w:val="nil"/>
            </w:tcBorders>
            <w:shd w:val="clear" w:color="auto" w:fill="auto"/>
            <w:tcMar>
              <w:top w:w="15" w:type="dxa"/>
              <w:left w:w="15" w:type="dxa"/>
              <w:right w:w="15" w:type="dxa"/>
            </w:tcMar>
            <w:vAlign w:val="center"/>
          </w:tcPr>
          <w:p w14:paraId="57A0C016">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石耶镇污水处理厂</w:t>
            </w:r>
          </w:p>
        </w:tc>
        <w:tc>
          <w:tcPr>
            <w:tcW w:w="1710" w:type="dxa"/>
            <w:tcBorders>
              <w:tl2br w:val="nil"/>
              <w:tr2bl w:val="nil"/>
            </w:tcBorders>
            <w:shd w:val="clear" w:color="auto" w:fill="auto"/>
            <w:tcMar>
              <w:top w:w="15" w:type="dxa"/>
              <w:left w:w="15" w:type="dxa"/>
              <w:right w:w="15" w:type="dxa"/>
            </w:tcMar>
            <w:vAlign w:val="bottom"/>
          </w:tcPr>
          <w:p w14:paraId="530287F3">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757" w:type="dxa"/>
            <w:tcBorders>
              <w:tl2br w:val="nil"/>
              <w:tr2bl w:val="nil"/>
            </w:tcBorders>
            <w:shd w:val="clear" w:color="auto" w:fill="auto"/>
            <w:tcMar>
              <w:top w:w="15" w:type="dxa"/>
              <w:left w:w="15" w:type="dxa"/>
              <w:right w:w="15" w:type="dxa"/>
            </w:tcMar>
            <w:vAlign w:val="center"/>
          </w:tcPr>
          <w:p w14:paraId="240C4E3D">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石耶镇</w:t>
            </w:r>
          </w:p>
        </w:tc>
        <w:tc>
          <w:tcPr>
            <w:tcW w:w="1259" w:type="dxa"/>
            <w:tcBorders>
              <w:tl2br w:val="nil"/>
              <w:tr2bl w:val="nil"/>
            </w:tcBorders>
            <w:shd w:val="clear" w:color="auto" w:fill="auto"/>
            <w:tcMar>
              <w:top w:w="15" w:type="dxa"/>
              <w:left w:w="15" w:type="dxa"/>
              <w:right w:w="15" w:type="dxa"/>
            </w:tcMar>
            <w:vAlign w:val="center"/>
          </w:tcPr>
          <w:p w14:paraId="2A24B3AF">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1200</w:t>
            </w:r>
          </w:p>
        </w:tc>
        <w:tc>
          <w:tcPr>
            <w:tcW w:w="2790" w:type="dxa"/>
            <w:tcBorders>
              <w:tl2br w:val="nil"/>
              <w:tr2bl w:val="nil"/>
            </w:tcBorders>
            <w:shd w:val="clear" w:color="auto" w:fill="auto"/>
            <w:tcMar>
              <w:top w:w="15" w:type="dxa"/>
              <w:left w:w="15" w:type="dxa"/>
              <w:right w:w="15" w:type="dxa"/>
            </w:tcMar>
            <w:vAlign w:val="center"/>
          </w:tcPr>
          <w:p w14:paraId="00E931BD">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前端预处理+地埋式一体化设备</w:t>
            </w:r>
          </w:p>
        </w:tc>
        <w:tc>
          <w:tcPr>
            <w:tcW w:w="2353" w:type="dxa"/>
            <w:tcBorders>
              <w:tl2br w:val="nil"/>
              <w:tr2bl w:val="nil"/>
            </w:tcBorders>
            <w:shd w:val="clear" w:color="auto" w:fill="auto"/>
            <w:tcMar>
              <w:top w:w="15" w:type="dxa"/>
              <w:left w:w="15" w:type="dxa"/>
              <w:right w:w="15" w:type="dxa"/>
            </w:tcMar>
            <w:vAlign w:val="center"/>
          </w:tcPr>
          <w:p w14:paraId="2CFD4AE8">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一级B标</w:t>
            </w:r>
          </w:p>
        </w:tc>
        <w:tc>
          <w:tcPr>
            <w:tcW w:w="1357" w:type="dxa"/>
            <w:tcBorders>
              <w:tl2br w:val="nil"/>
              <w:tr2bl w:val="nil"/>
            </w:tcBorders>
            <w:shd w:val="clear" w:color="auto" w:fill="auto"/>
            <w:tcMar>
              <w:top w:w="15" w:type="dxa"/>
              <w:left w:w="15" w:type="dxa"/>
              <w:right w:w="15" w:type="dxa"/>
            </w:tcMar>
            <w:vAlign w:val="center"/>
          </w:tcPr>
          <w:p w14:paraId="3BCC63FB">
            <w:pPr>
              <w:pStyle w:val="29"/>
              <w:keepNext w:val="0"/>
              <w:keepLines w:val="0"/>
              <w:suppressLineNumbers w:val="0"/>
              <w:bidi w:val="0"/>
              <w:spacing w:before="0" w:beforeAutospacing="0" w:after="0" w:afterAutospacing="0"/>
              <w:ind w:left="-53" w:leftChars="-25" w:right="-53" w:rightChars="-25" w:firstLine="0" w:firstLineChars="0"/>
              <w:jc w:val="center"/>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梅江河</w:t>
            </w:r>
          </w:p>
        </w:tc>
      </w:tr>
    </w:tbl>
    <w:p w14:paraId="0B10FF5F">
      <w:pPr>
        <w:pStyle w:val="56"/>
        <w:bidi w:val="0"/>
        <w:rPr>
          <w:color w:val="auto"/>
          <w:highlight w:val="none"/>
        </w:rPr>
      </w:pPr>
      <w:r>
        <w:rPr>
          <w:color w:val="auto"/>
          <w:highlight w:val="none"/>
        </w:rPr>
        <w:t>表</w:t>
      </w:r>
      <w:r>
        <w:rPr>
          <w:rFonts w:hint="eastAsia"/>
          <w:color w:val="auto"/>
          <w:highlight w:val="none"/>
          <w:lang w:val="en-US" w:eastAsia="zh-CN"/>
        </w:rPr>
        <w:t>3.2-6 石耶镇工业污水处理设施</w:t>
      </w:r>
      <w:r>
        <w:rPr>
          <w:color w:val="auto"/>
          <w:highlight w:val="none"/>
        </w:rPr>
        <w:t>概况</w:t>
      </w:r>
    </w:p>
    <w:tbl>
      <w:tblPr>
        <w:tblStyle w:val="23"/>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806"/>
        <w:gridCol w:w="4579"/>
        <w:gridCol w:w="2940"/>
        <w:gridCol w:w="1709"/>
        <w:gridCol w:w="2310"/>
        <w:gridCol w:w="1636"/>
      </w:tblGrid>
      <w:tr w14:paraId="131235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tblHeader/>
        </w:trPr>
        <w:tc>
          <w:tcPr>
            <w:tcW w:w="806" w:type="dxa"/>
            <w:tcBorders>
              <w:tl2br w:val="nil"/>
              <w:tr2bl w:val="nil"/>
            </w:tcBorders>
            <w:shd w:val="clear" w:color="auto" w:fill="auto"/>
            <w:tcMar>
              <w:top w:w="15" w:type="dxa"/>
              <w:left w:w="15" w:type="dxa"/>
              <w:right w:w="15" w:type="dxa"/>
            </w:tcMar>
            <w:vAlign w:val="center"/>
          </w:tcPr>
          <w:p w14:paraId="062FAED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579" w:type="dxa"/>
            <w:tcBorders>
              <w:tl2br w:val="nil"/>
              <w:tr2bl w:val="nil"/>
            </w:tcBorders>
            <w:shd w:val="clear" w:color="auto" w:fill="auto"/>
            <w:tcMar>
              <w:top w:w="15" w:type="dxa"/>
              <w:left w:w="15" w:type="dxa"/>
              <w:right w:w="15" w:type="dxa"/>
            </w:tcMar>
            <w:vAlign w:val="center"/>
          </w:tcPr>
          <w:p w14:paraId="3AE5ED5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污水处理设施名称</w:t>
            </w:r>
          </w:p>
        </w:tc>
        <w:tc>
          <w:tcPr>
            <w:tcW w:w="2940" w:type="dxa"/>
            <w:tcBorders>
              <w:tl2br w:val="nil"/>
              <w:tr2bl w:val="nil"/>
            </w:tcBorders>
            <w:shd w:val="clear" w:color="auto" w:fill="auto"/>
            <w:tcMar>
              <w:top w:w="15" w:type="dxa"/>
              <w:left w:w="15" w:type="dxa"/>
              <w:right w:w="15" w:type="dxa"/>
            </w:tcMar>
            <w:vAlign w:val="center"/>
          </w:tcPr>
          <w:p w14:paraId="4DDE483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污水处理设施所在地址</w:t>
            </w:r>
          </w:p>
        </w:tc>
        <w:tc>
          <w:tcPr>
            <w:tcW w:w="1709" w:type="dxa"/>
            <w:tcBorders>
              <w:tl2br w:val="nil"/>
              <w:tr2bl w:val="nil"/>
            </w:tcBorders>
            <w:shd w:val="clear" w:color="auto" w:fill="auto"/>
            <w:tcMar>
              <w:top w:w="15" w:type="dxa"/>
              <w:left w:w="15" w:type="dxa"/>
              <w:right w:w="15" w:type="dxa"/>
            </w:tcMar>
            <w:vAlign w:val="center"/>
          </w:tcPr>
          <w:p w14:paraId="697EF47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设计处理能力</w:t>
            </w:r>
          </w:p>
          <w:p w14:paraId="568935E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2310" w:type="dxa"/>
            <w:tcBorders>
              <w:tl2br w:val="nil"/>
              <w:tr2bl w:val="nil"/>
            </w:tcBorders>
            <w:shd w:val="clear" w:color="auto" w:fill="auto"/>
            <w:tcMar>
              <w:top w:w="15" w:type="dxa"/>
              <w:left w:w="15" w:type="dxa"/>
              <w:right w:w="15" w:type="dxa"/>
            </w:tcMar>
            <w:vAlign w:val="center"/>
          </w:tcPr>
          <w:p w14:paraId="7864128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处理工艺</w:t>
            </w:r>
          </w:p>
        </w:tc>
        <w:tc>
          <w:tcPr>
            <w:tcW w:w="1636" w:type="dxa"/>
            <w:tcBorders>
              <w:tl2br w:val="nil"/>
              <w:tr2bl w:val="nil"/>
            </w:tcBorders>
            <w:shd w:val="clear" w:color="auto" w:fill="auto"/>
            <w:tcMar>
              <w:top w:w="15" w:type="dxa"/>
              <w:left w:w="15" w:type="dxa"/>
              <w:right w:w="15" w:type="dxa"/>
            </w:tcMar>
            <w:vAlign w:val="center"/>
          </w:tcPr>
          <w:p w14:paraId="073A446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14:paraId="619153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69" w:hRule="atLeast"/>
        </w:trPr>
        <w:tc>
          <w:tcPr>
            <w:tcW w:w="806" w:type="dxa"/>
            <w:tcBorders>
              <w:tl2br w:val="nil"/>
              <w:tr2bl w:val="nil"/>
            </w:tcBorders>
            <w:shd w:val="clear" w:color="auto" w:fill="auto"/>
            <w:tcMar>
              <w:top w:w="15" w:type="dxa"/>
              <w:left w:w="15" w:type="dxa"/>
              <w:right w:w="15" w:type="dxa"/>
            </w:tcMar>
            <w:vAlign w:val="center"/>
          </w:tcPr>
          <w:p w14:paraId="3F5A835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579" w:type="dxa"/>
            <w:tcBorders>
              <w:tl2br w:val="nil"/>
              <w:tr2bl w:val="nil"/>
            </w:tcBorders>
            <w:shd w:val="clear" w:color="auto" w:fill="auto"/>
            <w:tcMar>
              <w:top w:w="15" w:type="dxa"/>
              <w:left w:w="15" w:type="dxa"/>
              <w:right w:w="15" w:type="dxa"/>
            </w:tcMar>
            <w:vAlign w:val="center"/>
          </w:tcPr>
          <w:p w14:paraId="5A9A0FFE">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2940" w:type="dxa"/>
            <w:tcBorders>
              <w:tl2br w:val="nil"/>
              <w:tr2bl w:val="nil"/>
            </w:tcBorders>
            <w:shd w:val="clear" w:color="auto" w:fill="auto"/>
            <w:tcMar>
              <w:top w:w="15" w:type="dxa"/>
              <w:left w:w="15" w:type="dxa"/>
              <w:right w:w="15" w:type="dxa"/>
            </w:tcMar>
            <w:vAlign w:val="center"/>
          </w:tcPr>
          <w:p w14:paraId="79DF1C06">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w:t>
            </w:r>
          </w:p>
        </w:tc>
        <w:tc>
          <w:tcPr>
            <w:tcW w:w="1709" w:type="dxa"/>
            <w:tcBorders>
              <w:tl2br w:val="nil"/>
              <w:tr2bl w:val="nil"/>
            </w:tcBorders>
            <w:shd w:val="clear" w:color="auto" w:fill="auto"/>
            <w:tcMar>
              <w:top w:w="15" w:type="dxa"/>
              <w:left w:w="15" w:type="dxa"/>
              <w:right w:w="15" w:type="dxa"/>
            </w:tcMar>
            <w:vAlign w:val="center"/>
          </w:tcPr>
          <w:p w14:paraId="65CBDB9E">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2310" w:type="dxa"/>
            <w:tcBorders>
              <w:tl2br w:val="nil"/>
              <w:tr2bl w:val="nil"/>
            </w:tcBorders>
            <w:shd w:val="clear" w:color="auto" w:fill="auto"/>
            <w:tcMar>
              <w:top w:w="15" w:type="dxa"/>
              <w:left w:w="15" w:type="dxa"/>
              <w:right w:w="15" w:type="dxa"/>
            </w:tcMar>
            <w:vAlign w:val="center"/>
          </w:tcPr>
          <w:p w14:paraId="799A9C2B">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636" w:type="dxa"/>
            <w:tcBorders>
              <w:tl2br w:val="nil"/>
              <w:tr2bl w:val="nil"/>
            </w:tcBorders>
            <w:shd w:val="clear" w:color="auto" w:fill="auto"/>
            <w:tcMar>
              <w:top w:w="15" w:type="dxa"/>
              <w:left w:w="15" w:type="dxa"/>
              <w:right w:w="15" w:type="dxa"/>
            </w:tcMar>
            <w:vAlign w:val="center"/>
          </w:tcPr>
          <w:p w14:paraId="15701317">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cs="Times New Roman"/>
                <w:b w:val="0"/>
                <w:bCs/>
                <w:color w:val="auto"/>
                <w:sz w:val="21"/>
                <w:szCs w:val="21"/>
                <w:highlight w:val="none"/>
                <w:lang w:val="en-US" w:eastAsia="zh-CN"/>
              </w:rPr>
              <w:t>梅江河</w:t>
            </w:r>
          </w:p>
        </w:tc>
      </w:tr>
    </w:tbl>
    <w:p w14:paraId="1BC24059">
      <w:pPr>
        <w:pStyle w:val="56"/>
        <w:bidi w:val="0"/>
        <w:jc w:val="both"/>
        <w:rPr>
          <w:rFonts w:hint="eastAsia"/>
          <w:color w:val="auto"/>
          <w:highlight w:val="none"/>
          <w:lang w:val="en-US" w:eastAsia="zh-CN"/>
        </w:rPr>
      </w:pPr>
    </w:p>
    <w:p w14:paraId="5E995C43">
      <w:pPr>
        <w:pStyle w:val="56"/>
        <w:bidi w:val="0"/>
        <w:rPr>
          <w:rFonts w:hint="eastAsia"/>
          <w:color w:val="auto"/>
          <w:highlight w:val="none"/>
          <w:lang w:val="en-US" w:eastAsia="zh-CN"/>
        </w:rPr>
      </w:pPr>
      <w:r>
        <w:rPr>
          <w:rFonts w:hint="eastAsia"/>
          <w:color w:val="auto"/>
          <w:highlight w:val="none"/>
          <w:lang w:val="en-US" w:eastAsia="zh-CN"/>
        </w:rPr>
        <w:t>表3.2-7  石耶镇入河排污口情况调查表</w:t>
      </w:r>
    </w:p>
    <w:tbl>
      <w:tblPr>
        <w:tblStyle w:val="23"/>
        <w:tblW w:w="1398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90"/>
        <w:gridCol w:w="4828"/>
        <w:gridCol w:w="1418"/>
        <w:gridCol w:w="3362"/>
        <w:gridCol w:w="881"/>
        <w:gridCol w:w="1695"/>
        <w:gridCol w:w="1306"/>
      </w:tblGrid>
      <w:tr w14:paraId="6F43BE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blHeader/>
        </w:trPr>
        <w:tc>
          <w:tcPr>
            <w:tcW w:w="490" w:type="dxa"/>
            <w:tcBorders>
              <w:tl2br w:val="nil"/>
              <w:tr2bl w:val="nil"/>
            </w:tcBorders>
            <w:shd w:val="clear" w:color="auto" w:fill="auto"/>
            <w:tcMar>
              <w:top w:w="15" w:type="dxa"/>
              <w:left w:w="15" w:type="dxa"/>
              <w:right w:w="15" w:type="dxa"/>
            </w:tcMar>
            <w:vAlign w:val="center"/>
          </w:tcPr>
          <w:p w14:paraId="364E1B9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序号</w:t>
            </w:r>
          </w:p>
        </w:tc>
        <w:tc>
          <w:tcPr>
            <w:tcW w:w="4828" w:type="dxa"/>
            <w:tcBorders>
              <w:tl2br w:val="nil"/>
              <w:tr2bl w:val="nil"/>
            </w:tcBorders>
            <w:shd w:val="clear" w:color="auto" w:fill="auto"/>
            <w:tcMar>
              <w:top w:w="15" w:type="dxa"/>
              <w:left w:w="15" w:type="dxa"/>
              <w:right w:w="15" w:type="dxa"/>
            </w:tcMar>
            <w:vAlign w:val="center"/>
          </w:tcPr>
          <w:p w14:paraId="3A5739E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排污口名称</w:t>
            </w:r>
          </w:p>
        </w:tc>
        <w:tc>
          <w:tcPr>
            <w:tcW w:w="1418" w:type="dxa"/>
            <w:tcBorders>
              <w:tl2br w:val="nil"/>
              <w:tr2bl w:val="nil"/>
            </w:tcBorders>
            <w:shd w:val="clear" w:color="auto" w:fill="auto"/>
            <w:tcMar>
              <w:top w:w="15" w:type="dxa"/>
              <w:left w:w="15" w:type="dxa"/>
              <w:right w:w="15" w:type="dxa"/>
            </w:tcMar>
            <w:vAlign w:val="center"/>
          </w:tcPr>
          <w:p w14:paraId="4C9850E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排污口类型</w:t>
            </w:r>
          </w:p>
        </w:tc>
        <w:tc>
          <w:tcPr>
            <w:tcW w:w="3362" w:type="dxa"/>
            <w:tcBorders>
              <w:tl2br w:val="nil"/>
              <w:tr2bl w:val="nil"/>
            </w:tcBorders>
            <w:shd w:val="clear" w:color="auto" w:fill="auto"/>
            <w:tcMar>
              <w:top w:w="15" w:type="dxa"/>
              <w:left w:w="15" w:type="dxa"/>
              <w:right w:w="15" w:type="dxa"/>
            </w:tcMar>
            <w:vAlign w:val="center"/>
          </w:tcPr>
          <w:p w14:paraId="521CCF6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设置单位</w:t>
            </w:r>
          </w:p>
        </w:tc>
        <w:tc>
          <w:tcPr>
            <w:tcW w:w="881" w:type="dxa"/>
            <w:tcBorders>
              <w:tl2br w:val="nil"/>
              <w:tr2bl w:val="nil"/>
            </w:tcBorders>
            <w:shd w:val="clear" w:color="auto" w:fill="auto"/>
            <w:tcMar>
              <w:top w:w="15" w:type="dxa"/>
              <w:left w:w="15" w:type="dxa"/>
              <w:right w:w="15" w:type="dxa"/>
            </w:tcMar>
            <w:vAlign w:val="center"/>
          </w:tcPr>
          <w:p w14:paraId="1ACB570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入河方式</w:t>
            </w:r>
          </w:p>
        </w:tc>
        <w:tc>
          <w:tcPr>
            <w:tcW w:w="1695" w:type="dxa"/>
            <w:tcBorders>
              <w:tl2br w:val="nil"/>
              <w:tr2bl w:val="nil"/>
            </w:tcBorders>
            <w:shd w:val="clear" w:color="auto" w:fill="auto"/>
            <w:tcMar>
              <w:top w:w="15" w:type="dxa"/>
              <w:left w:w="15" w:type="dxa"/>
              <w:right w:w="15" w:type="dxa"/>
            </w:tcMar>
            <w:vAlign w:val="center"/>
          </w:tcPr>
          <w:p w14:paraId="672D7E2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年排污量（万m</w:t>
            </w:r>
            <w:r>
              <w:rPr>
                <w:rFonts w:hint="default" w:ascii="Times New Roman" w:hAnsi="Times New Roman" w:eastAsia="宋体" w:cs="Times New Roman"/>
                <w:b w:val="0"/>
                <w:bCs/>
                <w:color w:val="auto"/>
                <w:sz w:val="18"/>
                <w:szCs w:val="18"/>
                <w:highlight w:val="none"/>
                <w:vertAlign w:val="superscript"/>
                <w:lang w:val="en-US" w:eastAsia="zh-CN"/>
              </w:rPr>
              <w:t>3</w:t>
            </w:r>
            <w:r>
              <w:rPr>
                <w:rFonts w:hint="default" w:ascii="Times New Roman" w:hAnsi="Times New Roman" w:eastAsia="宋体" w:cs="Times New Roman"/>
                <w:b w:val="0"/>
                <w:bCs/>
                <w:color w:val="auto"/>
                <w:sz w:val="18"/>
                <w:szCs w:val="18"/>
                <w:highlight w:val="none"/>
                <w:lang w:val="en-US" w:eastAsia="zh-CN"/>
              </w:rPr>
              <w:t>/a）</w:t>
            </w:r>
          </w:p>
        </w:tc>
        <w:tc>
          <w:tcPr>
            <w:tcW w:w="1306" w:type="dxa"/>
            <w:tcBorders>
              <w:tl2br w:val="nil"/>
              <w:tr2bl w:val="nil"/>
            </w:tcBorders>
            <w:shd w:val="clear" w:color="auto" w:fill="auto"/>
            <w:tcMar>
              <w:top w:w="15" w:type="dxa"/>
              <w:left w:w="15" w:type="dxa"/>
              <w:right w:w="15" w:type="dxa"/>
            </w:tcMar>
            <w:vAlign w:val="center"/>
          </w:tcPr>
          <w:p w14:paraId="5C6A67C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受纳水体</w:t>
            </w:r>
          </w:p>
        </w:tc>
      </w:tr>
      <w:tr w14:paraId="496EB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14:paraId="0C6B911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1</w:t>
            </w:r>
          </w:p>
        </w:tc>
        <w:tc>
          <w:tcPr>
            <w:tcW w:w="4828" w:type="dxa"/>
            <w:tcBorders>
              <w:tl2br w:val="nil"/>
              <w:tr2bl w:val="nil"/>
            </w:tcBorders>
            <w:shd w:val="clear" w:color="auto" w:fill="auto"/>
            <w:tcMar>
              <w:top w:w="15" w:type="dxa"/>
              <w:left w:w="15" w:type="dxa"/>
              <w:right w:w="15" w:type="dxa"/>
            </w:tcMar>
            <w:vAlign w:val="center"/>
          </w:tcPr>
          <w:p w14:paraId="28E7603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b w:val="0"/>
                <w:bCs/>
                <w:color w:val="auto"/>
                <w:sz w:val="21"/>
                <w:szCs w:val="21"/>
                <w:highlight w:val="none"/>
                <w:lang w:val="en-US" w:eastAsia="zh-CN"/>
              </w:rPr>
              <w:t>石耶镇污水处理厂生活污水排污口</w:t>
            </w:r>
          </w:p>
        </w:tc>
        <w:tc>
          <w:tcPr>
            <w:tcW w:w="1418" w:type="dxa"/>
            <w:tcBorders>
              <w:tl2br w:val="nil"/>
              <w:tr2bl w:val="nil"/>
            </w:tcBorders>
            <w:shd w:val="clear" w:color="auto" w:fill="auto"/>
            <w:tcMar>
              <w:top w:w="15" w:type="dxa"/>
              <w:left w:w="15" w:type="dxa"/>
              <w:right w:w="15" w:type="dxa"/>
            </w:tcMar>
            <w:vAlign w:val="center"/>
          </w:tcPr>
          <w:p w14:paraId="733EADF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14:paraId="41E763D6">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14:paraId="6A497CA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暗管</w:t>
            </w:r>
          </w:p>
        </w:tc>
        <w:tc>
          <w:tcPr>
            <w:tcW w:w="1695" w:type="dxa"/>
            <w:tcBorders>
              <w:tl2br w:val="nil"/>
              <w:tr2bl w:val="nil"/>
            </w:tcBorders>
            <w:shd w:val="clear" w:color="auto" w:fill="auto"/>
            <w:tcMar>
              <w:top w:w="15" w:type="dxa"/>
              <w:left w:w="15" w:type="dxa"/>
              <w:right w:w="15" w:type="dxa"/>
            </w:tcMar>
            <w:vAlign w:val="center"/>
          </w:tcPr>
          <w:p w14:paraId="3AE98D4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FF0000"/>
                <w:sz w:val="18"/>
                <w:szCs w:val="18"/>
                <w:highlight w:val="none"/>
                <w:lang w:val="en-US" w:eastAsia="zh-CN"/>
              </w:rPr>
            </w:pPr>
            <w:r>
              <w:rPr>
                <w:rFonts w:hint="eastAsia" w:ascii="Times New Roman" w:cs="Times New Roman"/>
                <w:b w:val="0"/>
                <w:bCs/>
                <w:color w:val="auto"/>
                <w:sz w:val="18"/>
                <w:szCs w:val="18"/>
                <w:highlight w:val="none"/>
                <w:lang w:val="en-US" w:eastAsia="zh-CN"/>
              </w:rPr>
              <w:t>43.8</w:t>
            </w:r>
          </w:p>
        </w:tc>
        <w:tc>
          <w:tcPr>
            <w:tcW w:w="1306" w:type="dxa"/>
            <w:tcBorders>
              <w:tl2br w:val="nil"/>
              <w:tr2bl w:val="nil"/>
            </w:tcBorders>
            <w:shd w:val="clear" w:color="auto" w:fill="auto"/>
            <w:tcMar>
              <w:top w:w="15" w:type="dxa"/>
              <w:left w:w="15" w:type="dxa"/>
              <w:right w:w="15" w:type="dxa"/>
            </w:tcMar>
            <w:vAlign w:val="center"/>
          </w:tcPr>
          <w:p w14:paraId="6772228C">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梅江河</w:t>
            </w:r>
          </w:p>
        </w:tc>
      </w:tr>
      <w:tr w14:paraId="0E2208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90" w:type="dxa"/>
            <w:tcBorders>
              <w:tl2br w:val="nil"/>
              <w:tr2bl w:val="nil"/>
            </w:tcBorders>
            <w:shd w:val="clear" w:color="auto" w:fill="auto"/>
            <w:tcMar>
              <w:top w:w="15" w:type="dxa"/>
              <w:left w:w="15" w:type="dxa"/>
              <w:right w:w="15" w:type="dxa"/>
            </w:tcMar>
            <w:vAlign w:val="center"/>
          </w:tcPr>
          <w:p w14:paraId="5BB278A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rPr>
            </w:pPr>
            <w:r>
              <w:rPr>
                <w:rFonts w:hint="eastAsia" w:ascii="Times New Roman" w:hAnsi="Times New Roman" w:eastAsia="宋体" w:cs="Times New Roman"/>
                <w:b w:val="0"/>
                <w:bCs/>
                <w:color w:val="auto"/>
                <w:sz w:val="18"/>
                <w:szCs w:val="18"/>
                <w:highlight w:val="none"/>
                <w:lang w:val="en-US" w:eastAsia="zh-CN"/>
              </w:rPr>
              <w:t>2</w:t>
            </w:r>
          </w:p>
        </w:tc>
        <w:tc>
          <w:tcPr>
            <w:tcW w:w="4828" w:type="dxa"/>
            <w:tcBorders>
              <w:tl2br w:val="nil"/>
              <w:tr2bl w:val="nil"/>
            </w:tcBorders>
            <w:shd w:val="clear" w:color="auto" w:fill="auto"/>
            <w:tcMar>
              <w:top w:w="15" w:type="dxa"/>
              <w:left w:w="15" w:type="dxa"/>
              <w:right w:w="15" w:type="dxa"/>
            </w:tcMar>
            <w:vAlign w:val="center"/>
          </w:tcPr>
          <w:p w14:paraId="25A30F45">
            <w:pPr>
              <w:pStyle w:val="29"/>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b w:val="0"/>
                <w:bCs/>
                <w:color w:val="auto"/>
                <w:sz w:val="21"/>
                <w:szCs w:val="21"/>
                <w:highlight w:val="none"/>
              </w:rPr>
            </w:pPr>
            <w:r>
              <w:rPr>
                <w:rFonts w:hint="eastAsia"/>
                <w:b w:val="0"/>
                <w:bCs/>
                <w:color w:val="auto"/>
                <w:sz w:val="21"/>
                <w:szCs w:val="21"/>
                <w:highlight w:val="none"/>
                <w:lang w:val="en-US" w:eastAsia="zh-CN"/>
              </w:rPr>
              <w:t>秀山西南水泥有限公司</w:t>
            </w:r>
            <w:r>
              <w:rPr>
                <w:rFonts w:hint="eastAsia"/>
                <w:b w:val="0"/>
                <w:bCs/>
                <w:color w:val="auto"/>
                <w:sz w:val="21"/>
                <w:szCs w:val="21"/>
                <w:highlight w:val="none"/>
                <w:lang w:eastAsia="zh-CN"/>
              </w:rPr>
              <w:t>污水处理厂</w:t>
            </w:r>
          </w:p>
        </w:tc>
        <w:tc>
          <w:tcPr>
            <w:tcW w:w="1418" w:type="dxa"/>
            <w:tcBorders>
              <w:tl2br w:val="nil"/>
              <w:tr2bl w:val="nil"/>
            </w:tcBorders>
            <w:shd w:val="clear" w:color="auto" w:fill="auto"/>
            <w:tcMar>
              <w:top w:w="15" w:type="dxa"/>
              <w:left w:w="15" w:type="dxa"/>
              <w:right w:w="15" w:type="dxa"/>
            </w:tcMar>
            <w:vAlign w:val="center"/>
          </w:tcPr>
          <w:p w14:paraId="29FEE449">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lang w:val="en-US" w:eastAsia="zh-CN"/>
              </w:rPr>
              <w:t>生活污水排污口</w:t>
            </w:r>
          </w:p>
        </w:tc>
        <w:tc>
          <w:tcPr>
            <w:tcW w:w="3362" w:type="dxa"/>
            <w:tcBorders>
              <w:tl2br w:val="nil"/>
              <w:tr2bl w:val="nil"/>
            </w:tcBorders>
            <w:shd w:val="clear" w:color="auto" w:fill="auto"/>
            <w:tcMar>
              <w:top w:w="15" w:type="dxa"/>
              <w:left w:w="15" w:type="dxa"/>
              <w:right w:w="15" w:type="dxa"/>
            </w:tcMar>
            <w:vAlign w:val="center"/>
          </w:tcPr>
          <w:p w14:paraId="582A948A">
            <w:pPr>
              <w:pStyle w:val="29"/>
              <w:keepNext w:val="0"/>
              <w:keepLines w:val="0"/>
              <w:suppressLineNumbers w:val="0"/>
              <w:bidi w:val="0"/>
              <w:spacing w:before="0" w:beforeAutospacing="0" w:after="0" w:afterAutospacing="0"/>
              <w:ind w:left="0" w:right="0"/>
              <w:rPr>
                <w:rFonts w:hint="eastAsia"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881" w:type="dxa"/>
            <w:tcBorders>
              <w:tl2br w:val="nil"/>
              <w:tr2bl w:val="nil"/>
            </w:tcBorders>
            <w:shd w:val="clear" w:color="auto" w:fill="auto"/>
            <w:tcMar>
              <w:top w:w="15" w:type="dxa"/>
              <w:left w:w="15" w:type="dxa"/>
              <w:right w:w="15" w:type="dxa"/>
            </w:tcMar>
            <w:vAlign w:val="center"/>
          </w:tcPr>
          <w:p w14:paraId="7C31A9C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rPr>
            </w:pPr>
            <w:r>
              <w:rPr>
                <w:rFonts w:hint="eastAsia" w:ascii="Times New Roman" w:cs="Times New Roman"/>
                <w:b w:val="0"/>
                <w:bCs/>
                <w:color w:val="auto"/>
                <w:sz w:val="18"/>
                <w:szCs w:val="18"/>
                <w:highlight w:val="none"/>
                <w:lang w:val="en-US" w:eastAsia="zh-CN"/>
              </w:rPr>
              <w:t>/</w:t>
            </w:r>
          </w:p>
        </w:tc>
        <w:tc>
          <w:tcPr>
            <w:tcW w:w="1695" w:type="dxa"/>
            <w:tcBorders>
              <w:tl2br w:val="nil"/>
              <w:tr2bl w:val="nil"/>
            </w:tcBorders>
            <w:shd w:val="clear" w:color="auto" w:fill="auto"/>
            <w:tcMar>
              <w:top w:w="15" w:type="dxa"/>
              <w:left w:w="15" w:type="dxa"/>
              <w:right w:w="15" w:type="dxa"/>
            </w:tcMar>
            <w:vAlign w:val="center"/>
          </w:tcPr>
          <w:p w14:paraId="05E661E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18"/>
                <w:szCs w:val="18"/>
                <w:highlight w:val="none"/>
                <w:lang w:val="en-US" w:eastAsia="zh-CN"/>
              </w:rPr>
            </w:pPr>
            <w:r>
              <w:rPr>
                <w:rFonts w:hint="eastAsia" w:ascii="Times New Roman" w:cs="Times New Roman"/>
                <w:b w:val="0"/>
                <w:bCs/>
                <w:color w:val="auto"/>
                <w:sz w:val="18"/>
                <w:szCs w:val="18"/>
                <w:highlight w:val="none"/>
                <w:lang w:val="en-US" w:eastAsia="zh-CN"/>
              </w:rPr>
              <w:t>/</w:t>
            </w:r>
          </w:p>
        </w:tc>
        <w:tc>
          <w:tcPr>
            <w:tcW w:w="1306" w:type="dxa"/>
            <w:tcBorders>
              <w:tl2br w:val="nil"/>
              <w:tr2bl w:val="nil"/>
            </w:tcBorders>
            <w:shd w:val="clear" w:color="auto" w:fill="auto"/>
            <w:tcMar>
              <w:top w:w="15" w:type="dxa"/>
              <w:left w:w="15" w:type="dxa"/>
              <w:right w:w="15" w:type="dxa"/>
            </w:tcMar>
            <w:vAlign w:val="center"/>
          </w:tcPr>
          <w:p w14:paraId="784E50D7">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FF0000"/>
                <w:sz w:val="21"/>
                <w:szCs w:val="21"/>
                <w:highlight w:val="none"/>
              </w:rPr>
            </w:pPr>
            <w:r>
              <w:rPr>
                <w:rFonts w:hint="eastAsia" w:ascii="Times New Roman" w:cs="Times New Roman"/>
                <w:b w:val="0"/>
                <w:bCs/>
                <w:color w:val="auto"/>
                <w:sz w:val="21"/>
                <w:szCs w:val="21"/>
                <w:highlight w:val="none"/>
                <w:lang w:val="en-US" w:eastAsia="zh-CN"/>
              </w:rPr>
              <w:t>梅江河</w:t>
            </w:r>
          </w:p>
        </w:tc>
      </w:tr>
    </w:tbl>
    <w:p w14:paraId="365B444F">
      <w:pPr>
        <w:pStyle w:val="5"/>
        <w:bidi w:val="0"/>
        <w:ind w:left="0" w:leftChars="0" w:firstLine="0" w:firstLineChars="0"/>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14:paraId="444A203C">
      <w:pPr>
        <w:pStyle w:val="5"/>
        <w:bidi w:val="0"/>
        <w:ind w:left="0" w:leftChars="0" w:firstLine="0" w:firstLineChars="0"/>
        <w:jc w:val="center"/>
        <w:rPr>
          <w:rFonts w:hint="default"/>
          <w:color w:val="auto"/>
          <w:highlight w:val="none"/>
          <w:lang w:val="en-US" w:eastAsia="zh-CN"/>
        </w:rPr>
      </w:pPr>
      <w:r>
        <w:rPr>
          <w:rFonts w:hint="eastAsia"/>
          <w:color w:val="auto"/>
          <w:highlight w:val="none"/>
          <w:lang w:val="en-US" w:eastAsia="zh-CN"/>
        </w:rPr>
        <w:drawing>
          <wp:inline distT="0" distB="0" distL="114300" distR="114300">
            <wp:extent cx="2520315" cy="1890395"/>
            <wp:effectExtent l="0" t="0" r="13335" b="14605"/>
            <wp:docPr id="35" name="图片 35" descr="IMG_20210618_11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10618_115840"/>
                    <pic:cNvPicPr>
                      <a:picLocks noChangeAspect="1"/>
                    </pic:cNvPicPr>
                  </pic:nvPicPr>
                  <pic:blipFill>
                    <a:blip r:embed="rId16"/>
                    <a:stretch>
                      <a:fillRect/>
                    </a:stretch>
                  </pic:blipFill>
                  <pic:spPr>
                    <a:xfrm>
                      <a:off x="0" y="0"/>
                      <a:ext cx="2520315" cy="1890395"/>
                    </a:xfrm>
                    <a:prstGeom prst="rect">
                      <a:avLst/>
                    </a:prstGeom>
                  </pic:spPr>
                </pic:pic>
              </a:graphicData>
            </a:graphic>
          </wp:inline>
        </w:drawing>
      </w:r>
      <w:r>
        <w:rPr>
          <w:rFonts w:hint="eastAsia"/>
          <w:color w:val="auto"/>
          <w:highlight w:val="none"/>
          <w:lang w:val="en-US" w:eastAsia="zh-CN"/>
        </w:rPr>
        <w:t xml:space="preserve"> </w:t>
      </w:r>
      <w:r>
        <w:rPr>
          <w:rFonts w:hint="default"/>
          <w:color w:val="auto"/>
          <w:highlight w:val="none"/>
          <w:lang w:val="en-US" w:eastAsia="zh-CN"/>
        </w:rPr>
        <w:drawing>
          <wp:inline distT="0" distB="0" distL="114300" distR="114300">
            <wp:extent cx="2520315" cy="1890395"/>
            <wp:effectExtent l="0" t="0" r="13335" b="14605"/>
            <wp:docPr id="36" name="图片 36" descr="IMG_20210618_11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10618_115900"/>
                    <pic:cNvPicPr>
                      <a:picLocks noChangeAspect="1"/>
                    </pic:cNvPicPr>
                  </pic:nvPicPr>
                  <pic:blipFill>
                    <a:blip r:embed="rId17"/>
                    <a:stretch>
                      <a:fillRect/>
                    </a:stretch>
                  </pic:blipFill>
                  <pic:spPr>
                    <a:xfrm>
                      <a:off x="0" y="0"/>
                      <a:ext cx="2520315" cy="1890395"/>
                    </a:xfrm>
                    <a:prstGeom prst="rect">
                      <a:avLst/>
                    </a:prstGeom>
                  </pic:spPr>
                </pic:pic>
              </a:graphicData>
            </a:graphic>
          </wp:inline>
        </w:drawing>
      </w:r>
    </w:p>
    <w:p w14:paraId="2A0292CA">
      <w:pPr>
        <w:pStyle w:val="31"/>
        <w:bidi w:val="0"/>
        <w:rPr>
          <w:rFonts w:hint="eastAsia"/>
          <w:color w:val="auto"/>
          <w:sz w:val="24"/>
          <w:szCs w:val="24"/>
          <w:highlight w:val="none"/>
          <w:lang w:val="en-US" w:eastAsia="zh-CN"/>
        </w:rPr>
      </w:pPr>
      <w:r>
        <w:rPr>
          <w:rFonts w:hint="eastAsia"/>
          <w:color w:val="auto"/>
          <w:sz w:val="24"/>
          <w:szCs w:val="24"/>
          <w:highlight w:val="none"/>
          <w:lang w:val="en-US" w:eastAsia="zh-CN"/>
        </w:rPr>
        <w:t>图3.2-1  石耶镇</w:t>
      </w:r>
      <w:r>
        <w:rPr>
          <w:rFonts w:hint="eastAsia" w:ascii="Times New Roman" w:hAnsi="Times New Roman" w:cs="Times New Roman"/>
          <w:color w:val="auto"/>
          <w:sz w:val="24"/>
          <w:szCs w:val="24"/>
          <w:highlight w:val="none"/>
          <w:lang w:val="en-US" w:eastAsia="zh-CN"/>
        </w:rPr>
        <w:t>污水处理</w:t>
      </w:r>
      <w:r>
        <w:rPr>
          <w:rFonts w:hint="eastAsia" w:cs="Times New Roman"/>
          <w:color w:val="auto"/>
          <w:sz w:val="24"/>
          <w:szCs w:val="24"/>
          <w:highlight w:val="none"/>
          <w:lang w:val="en-US" w:eastAsia="zh-CN"/>
        </w:rPr>
        <w:t>厂</w:t>
      </w:r>
      <w:r>
        <w:rPr>
          <w:rFonts w:hint="eastAsia"/>
          <w:color w:val="auto"/>
          <w:sz w:val="24"/>
          <w:szCs w:val="24"/>
          <w:highlight w:val="none"/>
          <w:lang w:val="en-US" w:eastAsia="zh-CN"/>
        </w:rPr>
        <w:t>现状图</w:t>
      </w:r>
    </w:p>
    <w:p w14:paraId="3964D14C">
      <w:pPr>
        <w:pStyle w:val="31"/>
        <w:bidi w:val="0"/>
        <w:rPr>
          <w:rFonts w:hint="eastAsia"/>
          <w:color w:val="auto"/>
          <w:sz w:val="24"/>
          <w:szCs w:val="24"/>
          <w:highlight w:val="none"/>
          <w:lang w:val="en-US" w:eastAsia="zh-CN"/>
        </w:rPr>
      </w:pPr>
      <w:r>
        <w:rPr>
          <w:rFonts w:hint="eastAsia"/>
          <w:color w:val="auto"/>
          <w:sz w:val="24"/>
          <w:szCs w:val="24"/>
          <w:highlight w:val="none"/>
          <w:lang w:val="en-US" w:eastAsia="zh-CN"/>
        </w:rPr>
        <w:drawing>
          <wp:inline distT="0" distB="0" distL="114300" distR="114300">
            <wp:extent cx="2520315" cy="1890395"/>
            <wp:effectExtent l="0" t="0" r="13335" b="14605"/>
            <wp:docPr id="37" name="图片 37" descr="IMG_20210618_12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10618_125033"/>
                    <pic:cNvPicPr>
                      <a:picLocks noChangeAspect="1"/>
                    </pic:cNvPicPr>
                  </pic:nvPicPr>
                  <pic:blipFill>
                    <a:blip r:embed="rId18"/>
                    <a:stretch>
                      <a:fillRect/>
                    </a:stretch>
                  </pic:blipFill>
                  <pic:spPr>
                    <a:xfrm>
                      <a:off x="0" y="0"/>
                      <a:ext cx="2520315" cy="1890395"/>
                    </a:xfrm>
                    <a:prstGeom prst="rect">
                      <a:avLst/>
                    </a:prstGeom>
                  </pic:spPr>
                </pic:pic>
              </a:graphicData>
            </a:graphic>
          </wp:inline>
        </w:drawing>
      </w:r>
      <w:r>
        <w:rPr>
          <w:rFonts w:hint="eastAsia"/>
          <w:color w:val="auto"/>
          <w:sz w:val="24"/>
          <w:szCs w:val="24"/>
          <w:highlight w:val="none"/>
          <w:lang w:val="en-US" w:eastAsia="zh-CN"/>
        </w:rPr>
        <w:drawing>
          <wp:inline distT="0" distB="0" distL="114300" distR="114300">
            <wp:extent cx="2520315" cy="1890395"/>
            <wp:effectExtent l="0" t="0" r="13335" b="14605"/>
            <wp:docPr id="4" name="图片 4" descr="IMG_20210618_12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10618_125046"/>
                    <pic:cNvPicPr>
                      <a:picLocks noChangeAspect="1"/>
                    </pic:cNvPicPr>
                  </pic:nvPicPr>
                  <pic:blipFill>
                    <a:blip r:embed="rId19"/>
                    <a:stretch>
                      <a:fillRect/>
                    </a:stretch>
                  </pic:blipFill>
                  <pic:spPr>
                    <a:xfrm>
                      <a:off x="0" y="0"/>
                      <a:ext cx="2520315" cy="1890395"/>
                    </a:xfrm>
                    <a:prstGeom prst="rect">
                      <a:avLst/>
                    </a:prstGeom>
                  </pic:spPr>
                </pic:pic>
              </a:graphicData>
            </a:graphic>
          </wp:inline>
        </w:drawing>
      </w:r>
    </w:p>
    <w:p w14:paraId="6B4EAEB8">
      <w:pPr>
        <w:pStyle w:val="31"/>
        <w:bidi w:val="0"/>
        <w:rPr>
          <w:rFonts w:hint="eastAsia"/>
          <w:color w:val="auto"/>
          <w:sz w:val="24"/>
          <w:szCs w:val="24"/>
          <w:highlight w:val="none"/>
          <w:lang w:val="en-US" w:eastAsia="zh-CN"/>
        </w:rPr>
      </w:pPr>
      <w:r>
        <w:rPr>
          <w:rFonts w:hint="eastAsia"/>
          <w:color w:val="auto"/>
          <w:highlight w:val="none"/>
          <w:lang w:val="en-US" w:eastAsia="zh-CN"/>
        </w:rPr>
        <w:t xml:space="preserve"> </w:t>
      </w:r>
      <w:r>
        <w:rPr>
          <w:rFonts w:hint="eastAsia"/>
          <w:color w:val="auto"/>
          <w:sz w:val="24"/>
          <w:szCs w:val="24"/>
          <w:highlight w:val="none"/>
          <w:lang w:val="en-US" w:eastAsia="zh-CN"/>
        </w:rPr>
        <w:t>图3.2-2  石耶镇</w:t>
      </w:r>
      <w:r>
        <w:rPr>
          <w:rFonts w:hint="eastAsia" w:cs="Times New Roman"/>
          <w:color w:val="auto"/>
          <w:sz w:val="24"/>
          <w:szCs w:val="24"/>
          <w:highlight w:val="none"/>
          <w:lang w:val="en-US" w:eastAsia="zh-CN"/>
        </w:rPr>
        <w:t>西南</w:t>
      </w:r>
      <w:r>
        <w:rPr>
          <w:rFonts w:hint="eastAsia" w:ascii="Times New Roman" w:hAnsi="Times New Roman" w:cs="Times New Roman"/>
          <w:color w:val="auto"/>
          <w:sz w:val="24"/>
          <w:szCs w:val="24"/>
          <w:highlight w:val="none"/>
          <w:lang w:val="en-US" w:eastAsia="zh-CN"/>
        </w:rPr>
        <w:t>水泥有限公司</w:t>
      </w:r>
      <w:r>
        <w:rPr>
          <w:rFonts w:hint="default" w:ascii="Times New Roman" w:hAnsi="Times New Roman" w:cs="Times New Roman"/>
          <w:color w:val="auto"/>
          <w:sz w:val="24"/>
          <w:szCs w:val="24"/>
          <w:highlight w:val="none"/>
          <w:lang w:val="en-US" w:eastAsia="zh-CN"/>
        </w:rPr>
        <w:t>污水处理厂</w:t>
      </w:r>
      <w:r>
        <w:rPr>
          <w:rFonts w:hint="eastAsia"/>
          <w:color w:val="auto"/>
          <w:sz w:val="24"/>
          <w:szCs w:val="24"/>
          <w:highlight w:val="none"/>
          <w:lang w:val="en-US" w:eastAsia="zh-CN"/>
        </w:rPr>
        <w:t>现状图</w:t>
      </w:r>
    </w:p>
    <w:p w14:paraId="1BA9E555">
      <w:pPr>
        <w:pStyle w:val="31"/>
        <w:bidi w:val="0"/>
        <w:rPr>
          <w:rFonts w:hint="default"/>
          <w:color w:val="auto"/>
          <w:sz w:val="24"/>
          <w:szCs w:val="24"/>
          <w:highlight w:val="none"/>
          <w:lang w:val="en-US" w:eastAsia="zh-CN"/>
        </w:rPr>
      </w:pPr>
    </w:p>
    <w:p w14:paraId="77167177">
      <w:pPr>
        <w:pStyle w:val="5"/>
        <w:bidi w:val="0"/>
        <w:rPr>
          <w:rFonts w:hint="eastAsia"/>
          <w:lang w:val="en-US" w:eastAsia="zh-CN"/>
        </w:rPr>
      </w:pPr>
      <w:r>
        <w:rPr>
          <w:rFonts w:hint="eastAsia"/>
          <w:lang w:val="en-US" w:eastAsia="zh-CN"/>
        </w:rPr>
        <w:t>②污染负荷分析</w:t>
      </w:r>
    </w:p>
    <w:p w14:paraId="000FE79F">
      <w:pPr>
        <w:pStyle w:val="5"/>
        <w:bidi w:val="0"/>
        <w:rPr>
          <w:rFonts w:hint="default"/>
          <w:lang w:val="en-US" w:eastAsia="zh-CN"/>
        </w:rPr>
      </w:pPr>
      <w:r>
        <w:rPr>
          <w:rFonts w:hint="eastAsia"/>
          <w:lang w:val="en-US" w:eastAsia="zh-CN"/>
        </w:rPr>
        <w:t>根据秀山县最新</w:t>
      </w:r>
      <w:r>
        <w:rPr>
          <w:rFonts w:hint="default"/>
          <w:lang w:val="en-US" w:eastAsia="zh-CN"/>
        </w:rPr>
        <w:t>统计年鉴</w:t>
      </w:r>
      <w:r>
        <w:rPr>
          <w:rFonts w:hint="eastAsia"/>
          <w:lang w:val="en-US" w:eastAsia="zh-CN"/>
        </w:rPr>
        <w:t>，</w:t>
      </w:r>
      <w:r>
        <w:rPr>
          <w:rFonts w:hint="eastAsia"/>
          <w:color w:val="auto"/>
          <w:lang w:val="en-US" w:eastAsia="zh-CN"/>
        </w:rPr>
        <w:t>石耶镇</w:t>
      </w:r>
      <w:r>
        <w:rPr>
          <w:rFonts w:hint="default"/>
          <w:color w:val="auto"/>
          <w:lang w:val="en-US" w:eastAsia="zh-CN"/>
        </w:rPr>
        <w:t>共有约</w:t>
      </w:r>
      <w:r>
        <w:rPr>
          <w:rFonts w:hint="eastAsia"/>
          <w:color w:val="auto"/>
          <w:lang w:val="en-US" w:eastAsia="zh-CN"/>
        </w:rPr>
        <w:t>1.20</w:t>
      </w:r>
      <w:r>
        <w:rPr>
          <w:rFonts w:hint="default"/>
          <w:color w:val="auto"/>
          <w:lang w:val="en-US" w:eastAsia="zh-CN"/>
        </w:rPr>
        <w:t>万人，其中城镇人口</w:t>
      </w:r>
      <w:r>
        <w:rPr>
          <w:rFonts w:hint="eastAsia" w:cs="Times New Roman"/>
          <w:i w:val="0"/>
          <w:iCs w:val="0"/>
          <w:color w:val="auto"/>
          <w:kern w:val="0"/>
          <w:sz w:val="24"/>
          <w:szCs w:val="24"/>
          <w:u w:val="none"/>
          <w:lang w:val="en-US" w:eastAsia="zh-CN" w:bidi="ar"/>
        </w:rPr>
        <w:t>6476</w:t>
      </w:r>
      <w:r>
        <w:rPr>
          <w:rFonts w:hint="eastAsia"/>
          <w:color w:val="auto"/>
          <w:lang w:val="en-US" w:eastAsia="zh-CN"/>
        </w:rPr>
        <w:t>人</w:t>
      </w:r>
      <w:r>
        <w:rPr>
          <w:rFonts w:hint="default"/>
          <w:color w:val="auto"/>
          <w:lang w:val="en-US" w:eastAsia="zh-CN"/>
        </w:rPr>
        <w:t>，农村人口</w:t>
      </w:r>
      <w:r>
        <w:rPr>
          <w:rFonts w:hint="eastAsia" w:cstheme="minorBidi"/>
          <w:color w:val="auto"/>
          <w:kern w:val="2"/>
          <w:sz w:val="24"/>
          <w:szCs w:val="24"/>
          <w:lang w:val="en-US" w:eastAsia="zh-CN" w:bidi="ar-SA"/>
        </w:rPr>
        <w:t>5480</w:t>
      </w:r>
      <w:r>
        <w:rPr>
          <w:rFonts w:hint="eastAsia"/>
          <w:color w:val="auto"/>
          <w:lang w:val="en-US" w:eastAsia="zh-CN"/>
        </w:rPr>
        <w:t>人</w:t>
      </w:r>
      <w:r>
        <w:rPr>
          <w:rFonts w:hint="default"/>
          <w:color w:val="auto"/>
          <w:lang w:val="en-US" w:eastAsia="zh-CN"/>
        </w:rPr>
        <w:t>。</w:t>
      </w:r>
    </w:p>
    <w:p w14:paraId="24E78E15">
      <w:pPr>
        <w:pStyle w:val="5"/>
        <w:bidi w:val="0"/>
        <w:rPr>
          <w:rFonts w:hint="default"/>
          <w:lang w:val="en-US" w:eastAsia="zh-CN"/>
        </w:rPr>
      </w:pPr>
      <w:r>
        <w:rPr>
          <w:rFonts w:hint="default"/>
          <w:lang w:val="en-US" w:eastAsia="zh-CN"/>
        </w:rPr>
        <w:t>城镇生活污水污染物负荷分两部分进行测算：一是直排的生活污水污染负荷； 二是经城镇生活污水处理厂集中处理后排放的生活污水污染负荷。直排部分的生活污水污染负荷可直接采用产排污系数法测算。经过处理部分的生活污水污染负荷可采用污水处理厂出水污染物排放浓度测算，详见公式。</w:t>
      </w:r>
    </w:p>
    <w:p w14:paraId="068C912E">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生活</w:t>
      </w: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+W</w:t>
      </w:r>
      <w:r>
        <w:rPr>
          <w:rFonts w:hint="default" w:ascii="Times New Roman" w:hAnsi="Times New Roman" w:cs="Times New Roman"/>
          <w:vertAlign w:val="subscript"/>
          <w:lang w:val="en-US" w:eastAsia="zh-CN"/>
        </w:rPr>
        <w:t>处理</w:t>
      </w:r>
    </w:p>
    <w:p w14:paraId="39E2E2A9">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=P×Q×（1-S）×C×D×10</w:t>
      </w:r>
      <w:r>
        <w:rPr>
          <w:rFonts w:hint="default"/>
          <w:vertAlign w:val="superscript"/>
          <w:lang w:val="en-US" w:eastAsia="zh-CN"/>
        </w:rPr>
        <w:t>-5</w:t>
      </w:r>
    </w:p>
    <w:p w14:paraId="5DD57273">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=P×Q×S×C</w:t>
      </w:r>
      <w:r>
        <w:rPr>
          <w:rFonts w:hint="default" w:ascii="Times New Roman" w:hAnsi="Times New Roman" w:cs="Times New Roman"/>
          <w:vertAlign w:val="subscript"/>
          <w:lang w:val="en-US" w:eastAsia="zh-CN"/>
        </w:rPr>
        <w:t>排放</w:t>
      </w:r>
      <w:r>
        <w:rPr>
          <w:rFonts w:hint="default"/>
          <w:lang w:val="en-US" w:eastAsia="zh-CN"/>
        </w:rPr>
        <w:t>×D×10</w:t>
      </w:r>
      <w:r>
        <w:rPr>
          <w:rFonts w:hint="default" w:ascii="Times New Roman" w:hAnsi="Times New Roman" w:cs="Times New Roman"/>
          <w:vertAlign w:val="superscript"/>
          <w:lang w:val="en-US" w:eastAsia="zh-CN"/>
        </w:rPr>
        <w:t>-5</w:t>
      </w:r>
    </w:p>
    <w:p w14:paraId="47B16E3D">
      <w:pPr>
        <w:pStyle w:val="5"/>
        <w:bidi w:val="0"/>
        <w:rPr>
          <w:rFonts w:hint="default"/>
          <w:lang w:val="en-US" w:eastAsia="zh-CN"/>
        </w:rPr>
      </w:pPr>
    </w:p>
    <w:p w14:paraId="1DF468D8">
      <w:pPr>
        <w:pStyle w:val="5"/>
        <w:bidi w:val="0"/>
        <w:rPr>
          <w:rFonts w:hint="default"/>
          <w:lang w:val="en-US" w:eastAsia="zh-CN"/>
        </w:rPr>
      </w:pPr>
      <w:r>
        <w:rPr>
          <w:rFonts w:hint="default"/>
          <w:lang w:val="en-US" w:eastAsia="zh-CN"/>
        </w:rPr>
        <w:t>式中：</w:t>
      </w:r>
    </w:p>
    <w:p w14:paraId="350BCBF5">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生活</w:t>
      </w:r>
      <w:r>
        <w:rPr>
          <w:rFonts w:hint="default"/>
          <w:lang w:val="en-US" w:eastAsia="zh-CN"/>
        </w:rPr>
        <w:t>——城镇生活污水污染物负荷，t/a；</w:t>
      </w:r>
    </w:p>
    <w:p w14:paraId="592ECEDF">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直排</w:t>
      </w:r>
      <w:r>
        <w:rPr>
          <w:rFonts w:hint="default"/>
          <w:lang w:val="en-US" w:eastAsia="zh-CN"/>
        </w:rPr>
        <w:t>——直排的城镇生活污水污染负荷，t/a；</w:t>
      </w:r>
    </w:p>
    <w:p w14:paraId="445A93B2">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处理</w:t>
      </w:r>
      <w:r>
        <w:rPr>
          <w:rFonts w:hint="default"/>
          <w:lang w:val="en-US" w:eastAsia="zh-CN"/>
        </w:rPr>
        <w:t>——经城镇生活污水处理厂集中处理后排放的生活污水污染负荷，t/a；</w:t>
      </w:r>
    </w:p>
    <w:p w14:paraId="08ECCFD8">
      <w:pPr>
        <w:pStyle w:val="5"/>
        <w:bidi w:val="0"/>
        <w:ind w:firstLine="968" w:firstLineChars="400"/>
        <w:rPr>
          <w:rFonts w:hint="default"/>
          <w:lang w:val="en-US" w:eastAsia="zh-CN"/>
        </w:rPr>
      </w:pPr>
      <w:r>
        <w:rPr>
          <w:rFonts w:hint="default"/>
          <w:lang w:val="en-US" w:eastAsia="zh-CN"/>
        </w:rPr>
        <w:t>P——城镇人口数，万人；</w:t>
      </w:r>
    </w:p>
    <w:p w14:paraId="113E8A27">
      <w:pPr>
        <w:pStyle w:val="5"/>
        <w:bidi w:val="0"/>
        <w:ind w:firstLine="968" w:firstLineChars="400"/>
        <w:rPr>
          <w:rFonts w:hint="default"/>
          <w:lang w:val="en-US" w:eastAsia="zh-CN"/>
        </w:rPr>
      </w:pPr>
      <w:r>
        <w:rPr>
          <w:rFonts w:hint="default"/>
          <w:lang w:val="en-US" w:eastAsia="zh-CN"/>
        </w:rPr>
        <w:t>Q——每日城镇生活污水单位排放量，根据《</w:t>
      </w:r>
      <w:r>
        <w:rPr>
          <w:rFonts w:hint="eastAsia"/>
          <w:lang w:val="en-US" w:eastAsia="zh-CN"/>
        </w:rPr>
        <w:t>重庆市水资源公报</w:t>
      </w:r>
      <w:r>
        <w:rPr>
          <w:rFonts w:hint="default"/>
          <w:lang w:val="en-US" w:eastAsia="zh-CN"/>
        </w:rPr>
        <w:t>》</w:t>
      </w:r>
      <w:r>
        <w:rPr>
          <w:rFonts w:hint="eastAsia"/>
          <w:lang w:val="en-US" w:eastAsia="zh-CN"/>
        </w:rPr>
        <w:t>（2020），秀山县城镇居民</w:t>
      </w:r>
      <w:r>
        <w:rPr>
          <w:rFonts w:hint="default"/>
          <w:lang w:val="en-US" w:eastAsia="zh-CN"/>
        </w:rPr>
        <w:t>人均</w:t>
      </w:r>
      <w:r>
        <w:rPr>
          <w:rFonts w:hint="eastAsia"/>
          <w:lang w:val="en-US" w:eastAsia="zh-CN"/>
        </w:rPr>
        <w:t>生活</w:t>
      </w:r>
      <w:r>
        <w:rPr>
          <w:rFonts w:hint="default"/>
          <w:lang w:val="en-US" w:eastAsia="zh-CN"/>
        </w:rPr>
        <w:t>用水量为</w:t>
      </w:r>
      <w:r>
        <w:rPr>
          <w:rFonts w:hint="eastAsia"/>
          <w:lang w:val="en-US" w:eastAsia="zh-CN"/>
        </w:rPr>
        <w:t>187L</w:t>
      </w:r>
      <w:r>
        <w:rPr>
          <w:rFonts w:hint="default"/>
          <w:lang w:val="en-US" w:eastAsia="zh-CN"/>
        </w:rPr>
        <w:t>/</w:t>
      </w:r>
      <w:r>
        <w:rPr>
          <w:rFonts w:hint="eastAsia"/>
          <w:lang w:val="en-US" w:eastAsia="zh-CN"/>
        </w:rPr>
        <w:t>d</w:t>
      </w:r>
      <w:r>
        <w:rPr>
          <w:rFonts w:hint="default"/>
          <w:lang w:val="en-US" w:eastAsia="zh-CN"/>
        </w:rPr>
        <w:t>，城市污水排水系数取0.8</w:t>
      </w:r>
      <w:r>
        <w:rPr>
          <w:rFonts w:hint="eastAsia"/>
          <w:lang w:val="en-US" w:eastAsia="zh-CN"/>
        </w:rPr>
        <w:t>5</w:t>
      </w:r>
      <w:r>
        <w:rPr>
          <w:rFonts w:hint="default"/>
          <w:lang w:val="en-US" w:eastAsia="zh-CN"/>
        </w:rPr>
        <w:t>。因此</w:t>
      </w:r>
      <w:r>
        <w:rPr>
          <w:rFonts w:hint="eastAsia"/>
          <w:lang w:val="en-US" w:eastAsia="zh-CN"/>
        </w:rPr>
        <w:t>石耶镇城镇居民</w:t>
      </w:r>
      <w:r>
        <w:rPr>
          <w:rFonts w:hint="default"/>
          <w:lang w:val="en-US" w:eastAsia="zh-CN"/>
        </w:rPr>
        <w:t>人均生活污水产生量按</w:t>
      </w:r>
      <w:r>
        <w:rPr>
          <w:rFonts w:hint="eastAsia"/>
          <w:lang w:val="en-US" w:eastAsia="zh-CN"/>
        </w:rPr>
        <w:t>159</w:t>
      </w:r>
      <w:r>
        <w:rPr>
          <w:rFonts w:hint="default"/>
          <w:lang w:val="en-US" w:eastAsia="zh-CN"/>
        </w:rPr>
        <w:t>L/</w:t>
      </w:r>
      <w:r>
        <w:rPr>
          <w:rFonts w:hint="eastAsia"/>
          <w:lang w:val="en-US" w:eastAsia="zh-CN"/>
        </w:rPr>
        <w:t>d</w:t>
      </w:r>
      <w:r>
        <w:rPr>
          <w:rFonts w:hint="default"/>
          <w:lang w:val="en-US" w:eastAsia="zh-CN"/>
        </w:rPr>
        <w:t>计算；</w:t>
      </w:r>
      <w:r>
        <w:rPr>
          <w:rFonts w:hint="eastAsia"/>
          <w:lang w:val="en-US" w:eastAsia="zh-CN"/>
        </w:rPr>
        <w:t xml:space="preserve"> </w:t>
      </w:r>
    </w:p>
    <w:p w14:paraId="2D99F33D">
      <w:pPr>
        <w:pStyle w:val="5"/>
        <w:bidi w:val="0"/>
        <w:ind w:firstLine="968" w:firstLineChars="400"/>
        <w:rPr>
          <w:rFonts w:hint="default"/>
          <w:lang w:val="en-US" w:eastAsia="zh-CN"/>
        </w:rPr>
      </w:pPr>
      <w:r>
        <w:rPr>
          <w:rFonts w:hint="default"/>
          <w:lang w:val="en-US" w:eastAsia="zh-CN"/>
        </w:rPr>
        <w:t>C——城镇生活污水中污染物浓度，参考重庆市生活污水平均污染物浓度，COD</w:t>
      </w:r>
      <w:r>
        <w:rPr>
          <w:rFonts w:hint="eastAsia"/>
          <w:lang w:val="en-US" w:eastAsia="zh-CN"/>
        </w:rPr>
        <w:t>：</w:t>
      </w:r>
      <w:r>
        <w:rPr>
          <w:rFonts w:hint="default"/>
          <w:lang w:val="en-US" w:eastAsia="zh-CN"/>
        </w:rPr>
        <w:t>350mg/L、NH</w:t>
      </w:r>
      <w:r>
        <w:rPr>
          <w:rFonts w:hint="default"/>
          <w:vertAlign w:val="subscript"/>
          <w:lang w:val="en-US" w:eastAsia="zh-CN"/>
        </w:rPr>
        <w:t>3</w:t>
      </w:r>
      <w:r>
        <w:rPr>
          <w:rFonts w:hint="default"/>
          <w:lang w:val="en-US" w:eastAsia="zh-CN"/>
        </w:rPr>
        <w:t>-N：24.5mg/L、TP：3.5mg/L；</w:t>
      </w:r>
    </w:p>
    <w:p w14:paraId="6245F248">
      <w:pPr>
        <w:pStyle w:val="5"/>
        <w:bidi w:val="0"/>
        <w:ind w:firstLine="968" w:firstLineChars="400"/>
        <w:rPr>
          <w:rFonts w:hint="default"/>
          <w:lang w:val="en-US" w:eastAsia="zh-CN"/>
        </w:rPr>
      </w:pPr>
      <w:r>
        <w:rPr>
          <w:rFonts w:hint="default"/>
          <w:lang w:val="en-US" w:eastAsia="zh-CN"/>
        </w:rPr>
        <w:t>S——城镇生活污水收集（集中处理）率，%。根据</w:t>
      </w:r>
      <w:r>
        <w:rPr>
          <w:rFonts w:hint="eastAsia"/>
          <w:lang w:val="en-US" w:eastAsia="zh-CN"/>
        </w:rPr>
        <w:t>秀山县住房城乡建委提供</w:t>
      </w:r>
      <w:r>
        <w:rPr>
          <w:rFonts w:hint="default"/>
          <w:lang w:val="en-US" w:eastAsia="zh-CN"/>
        </w:rPr>
        <w:t>资料，已建设污水处理厂的乡镇污水处理厂污水收集率平均取值</w:t>
      </w:r>
      <w:r>
        <w:rPr>
          <w:rFonts w:hint="eastAsia"/>
          <w:lang w:val="en-US" w:eastAsia="zh-CN"/>
        </w:rPr>
        <w:t>85.6</w:t>
      </w:r>
      <w:r>
        <w:rPr>
          <w:rFonts w:hint="default"/>
          <w:lang w:val="en-US" w:eastAsia="zh-CN"/>
        </w:rPr>
        <w:t>%；</w:t>
      </w:r>
    </w:p>
    <w:p w14:paraId="37B59D41">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排放</w:t>
      </w:r>
      <w:r>
        <w:rPr>
          <w:rFonts w:hint="default"/>
          <w:lang w:val="en-US" w:eastAsia="zh-CN"/>
        </w:rPr>
        <w:t>——</w:t>
      </w:r>
      <w:r>
        <w:rPr>
          <w:rFonts w:hint="eastAsia"/>
          <w:lang w:val="en-US" w:eastAsia="zh-CN"/>
        </w:rPr>
        <w:t>城区之外的乡镇</w:t>
      </w:r>
      <w:r>
        <w:rPr>
          <w:rFonts w:hint="default"/>
          <w:lang w:val="en-US" w:eastAsia="zh-CN"/>
        </w:rPr>
        <w:t>采用一级</w:t>
      </w:r>
      <w:r>
        <w:rPr>
          <w:rFonts w:hint="eastAsia"/>
          <w:lang w:val="en-US" w:eastAsia="zh-CN"/>
        </w:rPr>
        <w:t>B</w:t>
      </w:r>
      <w:r>
        <w:rPr>
          <w:rFonts w:hint="default"/>
          <w:lang w:val="en-US" w:eastAsia="zh-CN"/>
        </w:rPr>
        <w:t>标，COD</w:t>
      </w:r>
      <w:r>
        <w:rPr>
          <w:rFonts w:hint="eastAsia"/>
          <w:lang w:val="en-US" w:eastAsia="zh-CN"/>
        </w:rPr>
        <w:t>：60</w:t>
      </w:r>
      <w:r>
        <w:rPr>
          <w:rFonts w:hint="default"/>
          <w:lang w:val="en-US" w:eastAsia="zh-CN"/>
        </w:rPr>
        <w:t>mg/L，NH</w:t>
      </w:r>
      <w:r>
        <w:rPr>
          <w:rFonts w:hint="default"/>
          <w:vertAlign w:val="subscript"/>
          <w:lang w:val="en-US" w:eastAsia="zh-CN"/>
        </w:rPr>
        <w:t>3</w:t>
      </w:r>
      <w:r>
        <w:rPr>
          <w:rFonts w:hint="default"/>
          <w:lang w:val="en-US" w:eastAsia="zh-CN"/>
        </w:rPr>
        <w:t>-N：8</w:t>
      </w:r>
      <w:r>
        <w:rPr>
          <w:rFonts w:hint="eastAsia"/>
          <w:lang w:val="en-US" w:eastAsia="zh-CN"/>
        </w:rPr>
        <w:t>（</w:t>
      </w:r>
      <w:r>
        <w:rPr>
          <w:rFonts w:hint="default"/>
          <w:lang w:val="en-US" w:eastAsia="zh-CN"/>
        </w:rPr>
        <w:t>15</w:t>
      </w:r>
      <w:r>
        <w:rPr>
          <w:rFonts w:hint="eastAsia"/>
          <w:lang w:val="en-US" w:eastAsia="zh-CN"/>
        </w:rPr>
        <w:t>）</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、TP：1mg/L</w:t>
      </w:r>
      <w:r>
        <w:rPr>
          <w:rFonts w:hint="eastAsia"/>
          <w:lang w:val="en-US" w:eastAsia="zh-CN"/>
        </w:rPr>
        <w:t>；中心城区采用</w:t>
      </w:r>
      <w:r>
        <w:rPr>
          <w:rFonts w:hint="default"/>
          <w:lang w:val="en-US" w:eastAsia="zh-CN"/>
        </w:rPr>
        <w:t>一级</w:t>
      </w:r>
      <w:r>
        <w:rPr>
          <w:rFonts w:hint="eastAsia"/>
          <w:lang w:val="en-US" w:eastAsia="zh-CN"/>
        </w:rPr>
        <w:t>A</w:t>
      </w:r>
      <w:r>
        <w:rPr>
          <w:rFonts w:hint="default"/>
          <w:lang w:val="en-US" w:eastAsia="zh-CN"/>
        </w:rPr>
        <w:t>标，COD</w:t>
      </w:r>
      <w:r>
        <w:rPr>
          <w:rFonts w:hint="eastAsia"/>
          <w:lang w:val="en-US" w:eastAsia="zh-CN"/>
        </w:rPr>
        <w:t>：50</w:t>
      </w:r>
      <w:r>
        <w:rPr>
          <w:rFonts w:hint="default"/>
          <w:lang w:val="en-US" w:eastAsia="zh-CN"/>
        </w:rPr>
        <w:t>mg/L，NH</w:t>
      </w:r>
      <w:r>
        <w:rPr>
          <w:rFonts w:hint="default"/>
          <w:vertAlign w:val="subscript"/>
          <w:lang w:val="en-US" w:eastAsia="zh-CN"/>
        </w:rPr>
        <w:t>3</w:t>
      </w:r>
      <w:r>
        <w:rPr>
          <w:rFonts w:hint="default"/>
          <w:lang w:val="en-US" w:eastAsia="zh-CN"/>
        </w:rPr>
        <w:t>-N：</w:t>
      </w:r>
      <w:r>
        <w:rPr>
          <w:rFonts w:hint="eastAsia"/>
          <w:lang w:val="en-US" w:eastAsia="zh-CN"/>
        </w:rPr>
        <w:t>5（8）</w:t>
      </w:r>
      <w:r>
        <w:rPr>
          <w:rFonts w:hint="default"/>
          <w:lang w:val="en-US" w:eastAsia="zh-CN"/>
        </w:rPr>
        <w:t>mg/L</w:t>
      </w:r>
      <w:r>
        <w:rPr>
          <w:rFonts w:hint="eastAsia"/>
          <w:lang w:val="en-US" w:eastAsia="zh-CN"/>
        </w:rPr>
        <w:t>（</w:t>
      </w:r>
      <w:r>
        <w:rPr>
          <w:rFonts w:hint="default"/>
          <w:lang w:val="en-US" w:eastAsia="zh-CN"/>
        </w:rPr>
        <w:t>括号内指小于12摄氏度时的指标</w:t>
      </w:r>
      <w:r>
        <w:rPr>
          <w:rFonts w:hint="eastAsia"/>
          <w:lang w:val="en-US" w:eastAsia="zh-CN"/>
        </w:rPr>
        <w:t>）</w:t>
      </w:r>
      <w:r>
        <w:rPr>
          <w:rFonts w:hint="default"/>
          <w:lang w:val="en-US" w:eastAsia="zh-CN"/>
        </w:rPr>
        <w:t>、TP：</w:t>
      </w:r>
      <w:r>
        <w:rPr>
          <w:rFonts w:hint="eastAsia"/>
          <w:lang w:val="en-US" w:eastAsia="zh-CN"/>
        </w:rPr>
        <w:t>0.5</w:t>
      </w:r>
      <w:r>
        <w:rPr>
          <w:rFonts w:hint="default"/>
          <w:lang w:val="en-US" w:eastAsia="zh-CN"/>
        </w:rPr>
        <w:t>mg/L</w:t>
      </w:r>
      <w:r>
        <w:rPr>
          <w:rFonts w:hint="eastAsia"/>
          <w:lang w:val="en-US" w:eastAsia="zh-CN"/>
        </w:rPr>
        <w:t>；</w:t>
      </w:r>
    </w:p>
    <w:p w14:paraId="7F661375">
      <w:pPr>
        <w:pStyle w:val="5"/>
        <w:bidi w:val="0"/>
        <w:ind w:firstLine="968" w:firstLineChars="400"/>
        <w:rPr>
          <w:rFonts w:hint="eastAsia"/>
          <w:lang w:eastAsia="zh-CN"/>
        </w:rPr>
      </w:pPr>
      <w:r>
        <w:rPr>
          <w:rFonts w:hint="default"/>
          <w:lang w:val="en-US" w:eastAsia="zh-CN"/>
        </w:rPr>
        <w:t>D——天数，年度核算为全年天数，取365天</w:t>
      </w:r>
      <w:r>
        <w:rPr>
          <w:rFonts w:hint="eastAsia"/>
          <w:lang w:eastAsia="zh-CN"/>
        </w:rPr>
        <w:t>。</w:t>
      </w:r>
    </w:p>
    <w:p w14:paraId="011B2883">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3.2-8  石耶镇</w:t>
      </w:r>
      <w:r>
        <w:rPr>
          <w:rFonts w:hint="default"/>
          <w:color w:val="auto"/>
          <w:highlight w:val="none"/>
          <w:lang w:val="en-US" w:eastAsia="zh-CN"/>
        </w:rPr>
        <w:t>城镇生活污水点源污染负荷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6"/>
        <w:gridCol w:w="1202"/>
        <w:gridCol w:w="1071"/>
        <w:gridCol w:w="1347"/>
        <w:gridCol w:w="1109"/>
        <w:gridCol w:w="976"/>
        <w:gridCol w:w="976"/>
        <w:gridCol w:w="976"/>
      </w:tblGrid>
      <w:tr w14:paraId="638B9F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6" w:type="dxa"/>
            <w:vMerge w:val="restart"/>
            <w:tcBorders>
              <w:tl2br w:val="nil"/>
              <w:tr2bl w:val="nil"/>
            </w:tcBorders>
            <w:shd w:val="clear" w:color="auto" w:fill="auto"/>
            <w:vAlign w:val="center"/>
          </w:tcPr>
          <w:p w14:paraId="491120F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2" w:type="dxa"/>
            <w:vMerge w:val="restart"/>
            <w:tcBorders>
              <w:tl2br w:val="nil"/>
              <w:tr2bl w:val="nil"/>
            </w:tcBorders>
            <w:shd w:val="clear" w:color="auto" w:fill="auto"/>
            <w:vAlign w:val="center"/>
          </w:tcPr>
          <w:p w14:paraId="7712DF1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071" w:type="dxa"/>
            <w:vMerge w:val="restart"/>
            <w:tcBorders>
              <w:tl2br w:val="nil"/>
              <w:tr2bl w:val="nil"/>
            </w:tcBorders>
            <w:shd w:val="clear" w:color="auto" w:fill="auto"/>
            <w:vAlign w:val="center"/>
          </w:tcPr>
          <w:p w14:paraId="054754D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城镇人口（人）</w:t>
            </w:r>
          </w:p>
        </w:tc>
        <w:tc>
          <w:tcPr>
            <w:tcW w:w="1347" w:type="dxa"/>
            <w:vMerge w:val="restart"/>
            <w:tcBorders>
              <w:tl2br w:val="nil"/>
              <w:tr2bl w:val="nil"/>
            </w:tcBorders>
            <w:shd w:val="clear" w:color="auto" w:fill="auto"/>
            <w:vAlign w:val="center"/>
          </w:tcPr>
          <w:p w14:paraId="0DC8FC0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污水产生量（万m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1109" w:type="dxa"/>
            <w:vMerge w:val="restart"/>
            <w:tcBorders>
              <w:tl2br w:val="nil"/>
              <w:tr2bl w:val="nil"/>
            </w:tcBorders>
            <w:shd w:val="clear" w:color="auto" w:fill="auto"/>
            <w:vAlign w:val="center"/>
          </w:tcPr>
          <w:p w14:paraId="3EF5ED8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污水收</w:t>
            </w:r>
          </w:p>
          <w:p w14:paraId="76FFD81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集率</w:t>
            </w:r>
          </w:p>
        </w:tc>
        <w:tc>
          <w:tcPr>
            <w:tcW w:w="2928" w:type="dxa"/>
            <w:gridSpan w:val="3"/>
            <w:tcBorders>
              <w:tl2br w:val="nil"/>
              <w:tr2bl w:val="nil"/>
            </w:tcBorders>
            <w:shd w:val="clear" w:color="auto" w:fill="auto"/>
            <w:vAlign w:val="center"/>
          </w:tcPr>
          <w:p w14:paraId="4E4CE9E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37F802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6" w:type="dxa"/>
            <w:vMerge w:val="continue"/>
            <w:tcBorders>
              <w:tl2br w:val="nil"/>
              <w:tr2bl w:val="nil"/>
            </w:tcBorders>
            <w:shd w:val="clear" w:color="auto" w:fill="auto"/>
            <w:vAlign w:val="center"/>
          </w:tcPr>
          <w:p w14:paraId="4EE99B8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02" w:type="dxa"/>
            <w:vMerge w:val="continue"/>
            <w:tcBorders>
              <w:tl2br w:val="nil"/>
              <w:tr2bl w:val="nil"/>
            </w:tcBorders>
            <w:shd w:val="clear" w:color="auto" w:fill="auto"/>
            <w:vAlign w:val="center"/>
          </w:tcPr>
          <w:p w14:paraId="18A74D8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071" w:type="dxa"/>
            <w:vMerge w:val="continue"/>
            <w:tcBorders>
              <w:tl2br w:val="nil"/>
              <w:tr2bl w:val="nil"/>
            </w:tcBorders>
            <w:shd w:val="clear" w:color="auto" w:fill="auto"/>
            <w:vAlign w:val="center"/>
          </w:tcPr>
          <w:p w14:paraId="7A5E966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47" w:type="dxa"/>
            <w:vMerge w:val="continue"/>
            <w:tcBorders>
              <w:tl2br w:val="nil"/>
              <w:tr2bl w:val="nil"/>
            </w:tcBorders>
            <w:shd w:val="clear" w:color="auto" w:fill="auto"/>
            <w:vAlign w:val="center"/>
          </w:tcPr>
          <w:p w14:paraId="66D3DB4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09" w:type="dxa"/>
            <w:vMerge w:val="continue"/>
            <w:tcBorders>
              <w:tl2br w:val="nil"/>
              <w:tr2bl w:val="nil"/>
            </w:tcBorders>
            <w:shd w:val="clear" w:color="auto" w:fill="auto"/>
            <w:vAlign w:val="center"/>
          </w:tcPr>
          <w:p w14:paraId="01C53BF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976" w:type="dxa"/>
            <w:tcBorders>
              <w:tl2br w:val="nil"/>
              <w:tr2bl w:val="nil"/>
            </w:tcBorders>
            <w:shd w:val="clear" w:color="auto" w:fill="auto"/>
            <w:vAlign w:val="center"/>
          </w:tcPr>
          <w:p w14:paraId="3CC60AF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976" w:type="dxa"/>
            <w:tcBorders>
              <w:tl2br w:val="nil"/>
              <w:tr2bl w:val="nil"/>
            </w:tcBorders>
            <w:shd w:val="clear" w:color="auto" w:fill="auto"/>
            <w:vAlign w:val="center"/>
          </w:tcPr>
          <w:p w14:paraId="2810D9C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76" w:type="dxa"/>
            <w:tcBorders>
              <w:tl2br w:val="nil"/>
              <w:tr2bl w:val="nil"/>
            </w:tcBorders>
            <w:shd w:val="clear" w:color="auto" w:fill="auto"/>
            <w:vAlign w:val="center"/>
          </w:tcPr>
          <w:p w14:paraId="77F3E08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3D72F5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6" w:type="dxa"/>
            <w:tcBorders>
              <w:tl2br w:val="nil"/>
              <w:tr2bl w:val="nil"/>
            </w:tcBorders>
            <w:shd w:val="clear" w:color="auto" w:fill="auto"/>
            <w:vAlign w:val="center"/>
          </w:tcPr>
          <w:p w14:paraId="7C6322A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2" w:type="dxa"/>
            <w:tcBorders>
              <w:tl2br w:val="nil"/>
              <w:tr2bl w:val="nil"/>
            </w:tcBorders>
            <w:shd w:val="clear" w:color="auto" w:fill="auto"/>
            <w:vAlign w:val="center"/>
          </w:tcPr>
          <w:p w14:paraId="6F9218FC">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071" w:type="dxa"/>
            <w:tcBorders>
              <w:tl2br w:val="nil"/>
              <w:tr2bl w:val="nil"/>
            </w:tcBorders>
            <w:shd w:val="clear" w:color="auto" w:fill="auto"/>
            <w:vAlign w:val="center"/>
          </w:tcPr>
          <w:p w14:paraId="73EED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color w:val="auto"/>
                <w:sz w:val="21"/>
                <w:szCs w:val="21"/>
                <w:highlight w:val="none"/>
                <w:lang w:val="en-US"/>
              </w:rPr>
            </w:pPr>
            <w:r>
              <w:rPr>
                <w:rFonts w:hint="eastAsia" w:cs="Times New Roman"/>
                <w:i w:val="0"/>
                <w:iCs w:val="0"/>
                <w:color w:val="auto"/>
                <w:kern w:val="0"/>
                <w:sz w:val="24"/>
                <w:szCs w:val="24"/>
                <w:u w:val="none"/>
                <w:lang w:val="en-US" w:eastAsia="zh-CN" w:bidi="ar"/>
              </w:rPr>
              <w:t>6476</w:t>
            </w:r>
          </w:p>
        </w:tc>
        <w:tc>
          <w:tcPr>
            <w:tcW w:w="1347" w:type="dxa"/>
            <w:tcBorders>
              <w:tl2br w:val="nil"/>
              <w:tr2bl w:val="nil"/>
            </w:tcBorders>
            <w:shd w:val="clear" w:color="auto" w:fill="auto"/>
            <w:vAlign w:val="center"/>
          </w:tcPr>
          <w:p w14:paraId="68B22314">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37.57 </w:t>
            </w:r>
          </w:p>
        </w:tc>
        <w:tc>
          <w:tcPr>
            <w:tcW w:w="1109" w:type="dxa"/>
            <w:tcBorders>
              <w:tl2br w:val="nil"/>
              <w:tr2bl w:val="nil"/>
            </w:tcBorders>
            <w:shd w:val="clear" w:color="auto" w:fill="auto"/>
            <w:vAlign w:val="center"/>
          </w:tcPr>
          <w:p w14:paraId="38BD10F6">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0.856 </w:t>
            </w:r>
          </w:p>
        </w:tc>
        <w:tc>
          <w:tcPr>
            <w:tcW w:w="976" w:type="dxa"/>
            <w:tcBorders>
              <w:tl2br w:val="nil"/>
              <w:tr2bl w:val="nil"/>
            </w:tcBorders>
            <w:shd w:val="clear" w:color="auto" w:fill="auto"/>
            <w:vAlign w:val="center"/>
          </w:tcPr>
          <w:p w14:paraId="244E6E5B">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38.233 </w:t>
            </w:r>
          </w:p>
        </w:tc>
        <w:tc>
          <w:tcPr>
            <w:tcW w:w="976" w:type="dxa"/>
            <w:tcBorders>
              <w:tl2br w:val="nil"/>
              <w:tr2bl w:val="nil"/>
            </w:tcBorders>
            <w:shd w:val="clear" w:color="auto" w:fill="auto"/>
            <w:vAlign w:val="center"/>
          </w:tcPr>
          <w:p w14:paraId="4F4E1782">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3.898 </w:t>
            </w:r>
          </w:p>
        </w:tc>
        <w:tc>
          <w:tcPr>
            <w:tcW w:w="976" w:type="dxa"/>
            <w:tcBorders>
              <w:tl2br w:val="nil"/>
              <w:tr2bl w:val="nil"/>
            </w:tcBorders>
            <w:shd w:val="clear" w:color="auto" w:fill="auto"/>
            <w:vAlign w:val="center"/>
          </w:tcPr>
          <w:p w14:paraId="74887F4F">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i w:val="0"/>
                <w:iCs w:val="0"/>
                <w:snapToGrid w:val="0"/>
                <w:color w:val="auto"/>
                <w:kern w:val="0"/>
                <w:sz w:val="21"/>
                <w:szCs w:val="21"/>
                <w:lang w:val="en-US" w:eastAsia="zh-CN" w:bidi="ar-SA"/>
              </w:rPr>
            </w:pPr>
            <w:r>
              <w:rPr>
                <w:rFonts w:hint="default" w:ascii="Times New Roman" w:hAnsi="Times New Roman" w:cs="Times New Roman"/>
                <w:b w:val="0"/>
                <w:bCs/>
                <w:i w:val="0"/>
                <w:iCs w:val="0"/>
                <w:color w:val="auto"/>
                <w:sz w:val="21"/>
                <w:szCs w:val="21"/>
                <w:lang w:val="en-US" w:eastAsia="zh-CN"/>
              </w:rPr>
              <w:t xml:space="preserve">0.511 </w:t>
            </w:r>
          </w:p>
        </w:tc>
      </w:tr>
    </w:tbl>
    <w:p w14:paraId="643E2667">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eastAsia"/>
          <w:lang w:val="en-US" w:eastAsia="zh-CN"/>
        </w:rPr>
      </w:pPr>
      <w:r>
        <w:rPr>
          <w:rFonts w:hint="default"/>
          <w:lang w:val="en-US" w:eastAsia="zh-CN"/>
        </w:rPr>
        <w:t>计算结果如</w:t>
      </w:r>
      <w:r>
        <w:rPr>
          <w:rFonts w:hint="eastAsia"/>
          <w:lang w:val="en-US" w:eastAsia="zh-CN"/>
        </w:rPr>
        <w:t>上表</w:t>
      </w:r>
      <w:r>
        <w:rPr>
          <w:rFonts w:hint="default"/>
          <w:lang w:val="en-US" w:eastAsia="zh-CN"/>
        </w:rPr>
        <w:t>所示，</w:t>
      </w:r>
      <w:r>
        <w:rPr>
          <w:rFonts w:hint="eastAsia"/>
          <w:lang w:val="en-US" w:eastAsia="zh-CN"/>
        </w:rPr>
        <w:t>石耶镇</w:t>
      </w:r>
      <w:r>
        <w:rPr>
          <w:rFonts w:hint="default"/>
          <w:lang w:val="en-US" w:eastAsia="zh-CN"/>
        </w:rPr>
        <w:t>共有城镇人口</w:t>
      </w:r>
      <w:r>
        <w:rPr>
          <w:rFonts w:hint="eastAsia" w:cs="Times New Roman"/>
          <w:i w:val="0"/>
          <w:iCs w:val="0"/>
          <w:color w:val="auto"/>
          <w:kern w:val="0"/>
          <w:sz w:val="24"/>
          <w:szCs w:val="24"/>
          <w:u w:val="none"/>
          <w:lang w:val="en-US" w:eastAsia="zh-CN" w:bidi="ar"/>
        </w:rPr>
        <w:t>6476</w:t>
      </w:r>
      <w:r>
        <w:rPr>
          <w:rFonts w:hint="eastAsia"/>
          <w:lang w:val="en-US" w:eastAsia="zh-CN"/>
        </w:rPr>
        <w:t>人</w:t>
      </w:r>
      <w:r>
        <w:rPr>
          <w:rFonts w:hint="default"/>
          <w:lang w:val="en-US" w:eastAsia="zh-CN"/>
        </w:rPr>
        <w:t>，每年污水产生量</w:t>
      </w:r>
      <w:r>
        <w:rPr>
          <w:rFonts w:hint="eastAsia"/>
          <w:lang w:val="en-US" w:eastAsia="zh-CN"/>
        </w:rPr>
        <w:t>37.57</w:t>
      </w:r>
      <w:r>
        <w:rPr>
          <w:rFonts w:hint="default"/>
          <w:lang w:val="en-US" w:eastAsia="zh-CN"/>
        </w:rPr>
        <w:t>万m</w:t>
      </w:r>
      <w:r>
        <w:rPr>
          <w:rFonts w:hint="default"/>
          <w:vertAlign w:val="superscript"/>
          <w:lang w:val="en-US" w:eastAsia="zh-CN"/>
        </w:rPr>
        <w:t>3</w:t>
      </w:r>
      <w:r>
        <w:rPr>
          <w:rFonts w:hint="default"/>
          <w:lang w:val="en-US" w:eastAsia="zh-CN"/>
        </w:rPr>
        <w:t>/d，产生污染负荷COD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14:paraId="30FFB1E1">
      <w:pPr>
        <w:pStyle w:val="27"/>
        <w:bidi w:val="0"/>
        <w:rPr>
          <w:rFonts w:hint="eastAsia"/>
          <w:color w:val="auto"/>
          <w:highlight w:val="none"/>
          <w:lang w:val="en-US" w:eastAsia="zh-CN"/>
        </w:rPr>
      </w:pPr>
      <w:r>
        <w:rPr>
          <w:rFonts w:hint="eastAsia"/>
          <w:color w:val="auto"/>
          <w:highlight w:val="none"/>
          <w:lang w:val="en-US" w:eastAsia="zh-CN"/>
        </w:rPr>
        <w:t>（2）城镇生活垃圾污染</w:t>
      </w:r>
    </w:p>
    <w:p w14:paraId="39F94623">
      <w:pPr>
        <w:pStyle w:val="5"/>
        <w:bidi w:val="0"/>
        <w:rPr>
          <w:rFonts w:hint="eastAsia"/>
          <w:lang w:val="en-US" w:eastAsia="zh-CN"/>
        </w:rPr>
      </w:pPr>
      <w:r>
        <w:rPr>
          <w:rFonts w:hint="eastAsia"/>
          <w:lang w:val="en-US" w:eastAsia="zh-CN"/>
        </w:rPr>
        <w:t>石耶镇城镇生活垃圾管控整体情况较良好，仅存在零星沿河垃圾。辖区内城镇生活垃圾由环卫部门和镇政府定期收集，后经简易中转站运送至秀山县垃圾填埋场进行卫生填埋。石耶镇</w:t>
      </w:r>
      <w:r>
        <w:rPr>
          <w:rFonts w:hint="eastAsia"/>
        </w:rPr>
        <w:t>垃圾收集处理率比较高，对</w:t>
      </w:r>
      <w:r>
        <w:rPr>
          <w:rFonts w:hint="eastAsia"/>
          <w:lang w:val="en-US" w:eastAsia="zh-CN"/>
        </w:rPr>
        <w:t>梅江河流域</w:t>
      </w:r>
      <w:r>
        <w:rPr>
          <w:rFonts w:hint="eastAsia"/>
        </w:rPr>
        <w:t>河道污染很小，此处不计算生活垃圾污染负荷</w:t>
      </w:r>
      <w:r>
        <w:rPr>
          <w:rFonts w:hint="eastAsia"/>
          <w:lang w:val="en-US" w:eastAsia="zh-CN"/>
        </w:rPr>
        <w:t>。</w:t>
      </w:r>
    </w:p>
    <w:p w14:paraId="51AD84C8">
      <w:pPr>
        <w:pStyle w:val="27"/>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工业企业污染</w:t>
      </w:r>
    </w:p>
    <w:p w14:paraId="30CC76C4">
      <w:pPr>
        <w:pStyle w:val="5"/>
        <w:bidi w:val="0"/>
        <w:rPr>
          <w:rFonts w:hint="default"/>
          <w:lang w:val="en-US" w:eastAsia="zh-CN"/>
        </w:rPr>
      </w:pPr>
      <w:r>
        <w:rPr>
          <w:rFonts w:hint="default"/>
          <w:lang w:val="en-US" w:eastAsia="zh-CN"/>
        </w:rPr>
        <w:t>2018-2020年以来，秀山县严厉打击工业偷排情况，现已无偷排现象，整体管控情况良好。</w:t>
      </w:r>
    </w:p>
    <w:p w14:paraId="71D060AC">
      <w:pPr>
        <w:pStyle w:val="5"/>
        <w:bidi w:val="0"/>
        <w:rPr>
          <w:rFonts w:hint="default"/>
          <w:lang w:val="en-US" w:eastAsia="zh-CN"/>
        </w:rPr>
      </w:pPr>
      <w:r>
        <w:rPr>
          <w:rFonts w:hint="eastAsia"/>
          <w:lang w:val="en-US" w:eastAsia="zh-CN"/>
        </w:rPr>
        <w:t>石耶</w:t>
      </w:r>
      <w:r>
        <w:rPr>
          <w:rFonts w:hint="default"/>
          <w:lang w:val="en-US" w:eastAsia="zh-CN"/>
        </w:rPr>
        <w:t>镇辖区内现无工业企业污染</w:t>
      </w:r>
      <w:r>
        <w:rPr>
          <w:rFonts w:hint="eastAsia"/>
          <w:lang w:val="en-US" w:eastAsia="zh-CN"/>
        </w:rPr>
        <w:t>。</w:t>
      </w:r>
    </w:p>
    <w:p w14:paraId="26E07915">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小结</w:t>
      </w:r>
    </w:p>
    <w:p w14:paraId="602C44C0">
      <w:pPr>
        <w:pStyle w:val="5"/>
        <w:bidi w:val="0"/>
        <w:rPr>
          <w:rFonts w:hint="default"/>
          <w:color w:val="FF0000"/>
          <w:lang w:val="en-US" w:eastAsia="zh-CN"/>
        </w:rPr>
      </w:pPr>
      <w:r>
        <w:rPr>
          <w:rFonts w:hint="default"/>
          <w:color w:val="auto"/>
          <w:lang w:val="en-US" w:eastAsia="zh-CN"/>
        </w:rPr>
        <w:t>对</w:t>
      </w:r>
      <w:r>
        <w:rPr>
          <w:rFonts w:hint="eastAsia"/>
          <w:color w:val="auto"/>
          <w:lang w:val="en-US" w:eastAsia="zh-CN"/>
        </w:rPr>
        <w:t>石耶镇</w:t>
      </w:r>
      <w:r>
        <w:rPr>
          <w:rFonts w:hint="default"/>
          <w:color w:val="auto"/>
          <w:lang w:val="en-US" w:eastAsia="zh-CN"/>
        </w:rPr>
        <w:t>所有点源污染负荷进行分析汇总，点源污染</w:t>
      </w:r>
      <w:r>
        <w:rPr>
          <w:rFonts w:hint="eastAsia"/>
          <w:color w:val="auto"/>
          <w:lang w:val="en-US" w:eastAsia="zh-CN"/>
        </w:rPr>
        <w:t>主要来源于城镇生活污水，</w:t>
      </w:r>
      <w:r>
        <w:rPr>
          <w:rFonts w:hint="default"/>
          <w:lang w:val="en-US" w:eastAsia="zh-CN"/>
        </w:rPr>
        <w:t>产生污染负荷COD</w:t>
      </w:r>
      <w:r>
        <w:rPr>
          <w:rFonts w:hint="eastAsia"/>
          <w:lang w:val="en-US" w:eastAsia="zh-CN"/>
        </w:rPr>
        <w:t>：0.856</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3.898</w:t>
      </w:r>
      <w:r>
        <w:rPr>
          <w:rFonts w:hint="default"/>
          <w:lang w:val="en-US" w:eastAsia="zh-CN"/>
        </w:rPr>
        <w:t>t/a，TP：</w:t>
      </w:r>
      <w:r>
        <w:rPr>
          <w:rFonts w:hint="eastAsia"/>
          <w:lang w:val="en-US" w:eastAsia="zh-CN"/>
        </w:rPr>
        <w:t>0.511</w:t>
      </w:r>
      <w:r>
        <w:rPr>
          <w:rFonts w:hint="default"/>
          <w:lang w:val="en-US" w:eastAsia="zh-CN"/>
        </w:rPr>
        <w:t>t/a</w:t>
      </w:r>
      <w:r>
        <w:rPr>
          <w:rFonts w:hint="eastAsia"/>
          <w:lang w:val="en-US" w:eastAsia="zh-CN"/>
        </w:rPr>
        <w:t>。</w:t>
      </w:r>
    </w:p>
    <w:p w14:paraId="5EA66338">
      <w:pPr>
        <w:pStyle w:val="8"/>
        <w:bidi w:val="0"/>
        <w:rPr>
          <w:rFonts w:hint="eastAsia"/>
          <w:color w:val="auto"/>
          <w:highlight w:val="none"/>
          <w:lang w:val="en-US" w:eastAsia="zh-CN"/>
        </w:rPr>
      </w:pPr>
      <w:r>
        <w:rPr>
          <w:rFonts w:hint="eastAsia"/>
          <w:color w:val="auto"/>
          <w:highlight w:val="none"/>
          <w:lang w:val="en-US" w:eastAsia="zh-CN"/>
        </w:rPr>
        <w:t>面源污染负荷现状</w:t>
      </w:r>
    </w:p>
    <w:p w14:paraId="08C7EC0E">
      <w:pPr>
        <w:pStyle w:val="5"/>
        <w:bidi w:val="0"/>
        <w:rPr>
          <w:rFonts w:hint="default"/>
          <w:lang w:val="en-US" w:eastAsia="zh-CN"/>
        </w:rPr>
      </w:pPr>
      <w:r>
        <w:rPr>
          <w:rFonts w:hint="eastAsia"/>
          <w:lang w:val="en-US" w:eastAsia="zh-CN"/>
        </w:rPr>
        <w:t>石耶镇</w:t>
      </w:r>
      <w:r>
        <w:rPr>
          <w:rFonts w:hint="default"/>
          <w:lang w:val="en-US" w:eastAsia="zh-CN"/>
        </w:rPr>
        <w:t>面源污染主要来自城镇地表径流、农村生活污水无处理排放、农业种植、畜禽养殖、水产养殖、水土流失几方面组成。下文将针对各类型面源污染，做污染特征分析和污染量的测算，最终明确</w:t>
      </w:r>
      <w:r>
        <w:rPr>
          <w:rFonts w:hint="eastAsia"/>
          <w:lang w:val="en-US" w:eastAsia="zh-CN"/>
        </w:rPr>
        <w:t>石耶镇</w:t>
      </w:r>
      <w:r>
        <w:rPr>
          <w:rFonts w:hint="default"/>
          <w:lang w:val="en-US" w:eastAsia="zh-CN"/>
        </w:rPr>
        <w:t>主要污染的来源和污染特征。</w:t>
      </w:r>
    </w:p>
    <w:p w14:paraId="3F987CC3">
      <w:pPr>
        <w:pStyle w:val="27"/>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城镇地表径流污染</w:t>
      </w:r>
    </w:p>
    <w:p w14:paraId="606825F5">
      <w:pPr>
        <w:pStyle w:val="5"/>
        <w:bidi w:val="0"/>
        <w:rPr>
          <w:rFonts w:hint="default"/>
          <w:lang w:val="en-US" w:eastAsia="zh-CN"/>
        </w:rPr>
      </w:pPr>
      <w:r>
        <w:rPr>
          <w:rFonts w:hint="eastAsia"/>
          <w:lang w:val="en-US" w:eastAsia="zh-CN"/>
        </w:rPr>
        <w:t>石耶镇</w:t>
      </w:r>
      <w:r>
        <w:rPr>
          <w:rFonts w:hint="default"/>
          <w:lang w:val="en-US" w:eastAsia="zh-CN"/>
        </w:rPr>
        <w:t>城镇地表径流污染主要来源于初期雨水的污染，区域内雨水一部分通过合流制管道排放，一部分通过分流制雨水管道排放，一部分散排，</w:t>
      </w:r>
      <w:r>
        <w:rPr>
          <w:rFonts w:hint="eastAsia"/>
          <w:lang w:val="en-US" w:eastAsia="zh-CN"/>
        </w:rPr>
        <w:t>本次</w:t>
      </w:r>
      <w:r>
        <w:rPr>
          <w:rFonts w:hint="default"/>
          <w:lang w:val="en-US" w:eastAsia="zh-CN"/>
        </w:rPr>
        <w:t>只统计通过合流制管道收集进入</w:t>
      </w:r>
      <w:r>
        <w:rPr>
          <w:rFonts w:hint="eastAsia"/>
          <w:lang w:val="en-US" w:eastAsia="zh-CN"/>
        </w:rPr>
        <w:t>污水处理厂</w:t>
      </w:r>
      <w:r>
        <w:rPr>
          <w:rFonts w:hint="default"/>
          <w:lang w:val="en-US" w:eastAsia="zh-CN"/>
        </w:rPr>
        <w:t>处理的地表径流和散排进入水体的地表径流。</w:t>
      </w:r>
    </w:p>
    <w:p w14:paraId="7C61FE1B">
      <w:pPr>
        <w:pStyle w:val="5"/>
        <w:bidi w:val="0"/>
        <w:rPr>
          <w:rFonts w:hint="default"/>
          <w:lang w:val="en-US" w:eastAsia="zh-CN"/>
        </w:rPr>
      </w:pPr>
      <w:r>
        <w:rPr>
          <w:rFonts w:hint="default"/>
          <w:lang w:val="en-US" w:eastAsia="zh-CN"/>
        </w:rPr>
        <w:t>依据中科院、西南大学及重庆大学开展的《城市区域不同屋顶降雨径流水质特征》、《山地城市暴雨径流污染特性及控制对策》、《山地城市径流污染特征分析》，《重庆市不同材质路面径流污染特征分析》、《重庆市不同材质屋面径流水质特性》、《重庆市城市居民区不同下垫面降雨径流污染及控制研究》等关于重庆市不同下垫面雨水径流水质的研究结果，得到重庆地区雨水径流污染物指标于表</w:t>
      </w:r>
      <w:r>
        <w:rPr>
          <w:rFonts w:hint="eastAsia"/>
          <w:lang w:val="en-US" w:eastAsia="zh-CN"/>
        </w:rPr>
        <w:t>3.2-11</w:t>
      </w:r>
      <w:r>
        <w:rPr>
          <w:rFonts w:hint="default"/>
          <w:lang w:val="en-US" w:eastAsia="zh-CN"/>
        </w:rPr>
        <w:t>。</w:t>
      </w:r>
    </w:p>
    <w:p w14:paraId="7ECC202E">
      <w:pPr>
        <w:pStyle w:val="56"/>
        <w:bidi w:val="0"/>
        <w:rPr>
          <w:color w:val="auto"/>
          <w:highlight w:val="none"/>
        </w:rPr>
      </w:pPr>
      <w:r>
        <w:rPr>
          <w:color w:val="auto"/>
          <w:highlight w:val="none"/>
        </w:rPr>
        <w:t>表</w:t>
      </w:r>
      <w:r>
        <w:rPr>
          <w:rFonts w:hint="eastAsia"/>
          <w:color w:val="auto"/>
          <w:highlight w:val="none"/>
          <w:lang w:val="en-US" w:eastAsia="zh-CN"/>
        </w:rPr>
        <w:t xml:space="preserve">3.2-11  </w:t>
      </w:r>
      <w:r>
        <w:rPr>
          <w:color w:val="auto"/>
          <w:highlight w:val="none"/>
        </w:rPr>
        <w:t>重庆地区雨水径流污染物指标</w:t>
      </w:r>
    </w:p>
    <w:tbl>
      <w:tblPr>
        <w:tblStyle w:val="23"/>
        <w:tblW w:w="829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78"/>
        <w:gridCol w:w="583"/>
        <w:gridCol w:w="880"/>
        <w:gridCol w:w="568"/>
        <w:gridCol w:w="932"/>
        <w:gridCol w:w="616"/>
        <w:gridCol w:w="806"/>
        <w:gridCol w:w="571"/>
        <w:gridCol w:w="791"/>
        <w:gridCol w:w="568"/>
        <w:gridCol w:w="804"/>
      </w:tblGrid>
      <w:tr w14:paraId="293EBF5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vMerge w:val="restart"/>
            <w:tcBorders>
              <w:tl2br w:val="nil"/>
              <w:tr2bl w:val="nil"/>
            </w:tcBorders>
            <w:vAlign w:val="center"/>
          </w:tcPr>
          <w:p w14:paraId="20A6341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p w14:paraId="5C0B66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下垫面类型</w:t>
            </w:r>
          </w:p>
        </w:tc>
        <w:tc>
          <w:tcPr>
            <w:tcW w:w="1463" w:type="dxa"/>
            <w:gridSpan w:val="2"/>
            <w:tcBorders>
              <w:tl2br w:val="nil"/>
              <w:tr2bl w:val="nil"/>
            </w:tcBorders>
            <w:vAlign w:val="center"/>
          </w:tcPr>
          <w:p w14:paraId="555E013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COD</w:t>
            </w:r>
            <w:r>
              <w:rPr>
                <w:rFonts w:hint="default" w:ascii="Times New Roman" w:hAnsi="Times New Roman" w:eastAsia="宋体" w:cs="Times New Roman"/>
                <w:b w:val="0"/>
                <w:bCs/>
                <w:color w:val="auto"/>
                <w:sz w:val="18"/>
                <w:szCs w:val="18"/>
                <w:highlight w:val="none"/>
                <w:lang w:eastAsia="zh-CN"/>
              </w:rPr>
              <w:t>（</w:t>
            </w:r>
            <w:r>
              <w:rPr>
                <w:rFonts w:hint="default" w:ascii="Times New Roman" w:hAnsi="Times New Roman" w:eastAsia="宋体" w:cs="Times New Roman"/>
                <w:b w:val="0"/>
                <w:bCs/>
                <w:color w:val="auto"/>
                <w:sz w:val="18"/>
                <w:szCs w:val="18"/>
                <w:highlight w:val="none"/>
              </w:rPr>
              <w:t>mg/L</w:t>
            </w:r>
            <w:r>
              <w:rPr>
                <w:rFonts w:hint="default" w:ascii="Times New Roman" w:hAnsi="Times New Roman" w:eastAsia="宋体" w:cs="Times New Roman"/>
                <w:b w:val="0"/>
                <w:bCs/>
                <w:color w:val="auto"/>
                <w:sz w:val="18"/>
                <w:szCs w:val="18"/>
                <w:highlight w:val="none"/>
                <w:lang w:eastAsia="zh-CN"/>
              </w:rPr>
              <w:t>）</w:t>
            </w:r>
          </w:p>
        </w:tc>
        <w:tc>
          <w:tcPr>
            <w:tcW w:w="1500" w:type="dxa"/>
            <w:gridSpan w:val="2"/>
            <w:tcBorders>
              <w:tl2br w:val="nil"/>
              <w:tr2bl w:val="nil"/>
            </w:tcBorders>
            <w:vAlign w:val="center"/>
          </w:tcPr>
          <w:p w14:paraId="7967A1E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TSS（mg/L）</w:t>
            </w:r>
          </w:p>
        </w:tc>
        <w:tc>
          <w:tcPr>
            <w:tcW w:w="1422" w:type="dxa"/>
            <w:gridSpan w:val="2"/>
            <w:tcBorders>
              <w:tl2br w:val="nil"/>
              <w:tr2bl w:val="nil"/>
            </w:tcBorders>
            <w:vAlign w:val="center"/>
          </w:tcPr>
          <w:p w14:paraId="5AC8205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rPr>
              <w:t>TN（mg/L</w:t>
            </w:r>
            <w:r>
              <w:rPr>
                <w:rFonts w:hint="default" w:ascii="Times New Roman" w:hAnsi="Times New Roman" w:eastAsia="宋体" w:cs="Times New Roman"/>
                <w:b w:val="0"/>
                <w:bCs/>
                <w:color w:val="auto"/>
                <w:sz w:val="18"/>
                <w:szCs w:val="18"/>
                <w:highlight w:val="none"/>
                <w:lang w:eastAsia="zh-CN"/>
              </w:rPr>
              <w:t>）</w:t>
            </w:r>
          </w:p>
        </w:tc>
        <w:tc>
          <w:tcPr>
            <w:tcW w:w="1362" w:type="dxa"/>
            <w:gridSpan w:val="2"/>
            <w:tcBorders>
              <w:tl2br w:val="nil"/>
              <w:tr2bl w:val="nil"/>
            </w:tcBorders>
            <w:vAlign w:val="center"/>
          </w:tcPr>
          <w:p w14:paraId="4FB4EE2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TP（mg/L）</w:t>
            </w:r>
          </w:p>
        </w:tc>
        <w:tc>
          <w:tcPr>
            <w:tcW w:w="1372" w:type="dxa"/>
            <w:gridSpan w:val="2"/>
            <w:tcBorders>
              <w:tl2br w:val="nil"/>
              <w:tr2bl w:val="nil"/>
            </w:tcBorders>
            <w:vAlign w:val="center"/>
          </w:tcPr>
          <w:p w14:paraId="5671FC7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NH</w:t>
            </w:r>
            <w:r>
              <w:rPr>
                <w:rFonts w:hint="default" w:ascii="Times New Roman" w:hAnsi="Times New Roman" w:eastAsia="宋体" w:cs="Times New Roman"/>
                <w:b w:val="0"/>
                <w:bCs/>
                <w:color w:val="auto"/>
                <w:sz w:val="18"/>
                <w:szCs w:val="18"/>
                <w:highlight w:val="none"/>
                <w:vertAlign w:val="subscript"/>
              </w:rPr>
              <w:t>3</w:t>
            </w:r>
            <w:r>
              <w:rPr>
                <w:rFonts w:hint="default" w:ascii="Times New Roman" w:hAnsi="Times New Roman" w:eastAsia="宋体" w:cs="Times New Roman"/>
                <w:b w:val="0"/>
                <w:bCs/>
                <w:color w:val="auto"/>
                <w:sz w:val="18"/>
                <w:szCs w:val="18"/>
                <w:highlight w:val="none"/>
              </w:rPr>
              <w:t>-N（mg/L）</w:t>
            </w:r>
          </w:p>
        </w:tc>
      </w:tr>
      <w:tr w14:paraId="558441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vMerge w:val="continue"/>
            <w:tcBorders>
              <w:tl2br w:val="nil"/>
              <w:tr2bl w:val="nil"/>
            </w:tcBorders>
            <w:vAlign w:val="center"/>
          </w:tcPr>
          <w:p w14:paraId="211A1BF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p>
        </w:tc>
        <w:tc>
          <w:tcPr>
            <w:tcW w:w="583" w:type="dxa"/>
            <w:tcBorders>
              <w:tl2br w:val="nil"/>
              <w:tr2bl w:val="nil"/>
            </w:tcBorders>
            <w:vAlign w:val="center"/>
          </w:tcPr>
          <w:p w14:paraId="1ED643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80" w:type="dxa"/>
            <w:tcBorders>
              <w:tl2br w:val="nil"/>
              <w:tr2bl w:val="nil"/>
            </w:tcBorders>
            <w:vAlign w:val="center"/>
          </w:tcPr>
          <w:p w14:paraId="0B7AD51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14:paraId="487504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932" w:type="dxa"/>
            <w:tcBorders>
              <w:tl2br w:val="nil"/>
              <w:tr2bl w:val="nil"/>
            </w:tcBorders>
            <w:vAlign w:val="center"/>
          </w:tcPr>
          <w:p w14:paraId="1A8741A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616" w:type="dxa"/>
            <w:tcBorders>
              <w:tl2br w:val="nil"/>
              <w:tr2bl w:val="nil"/>
            </w:tcBorders>
            <w:vAlign w:val="center"/>
          </w:tcPr>
          <w:p w14:paraId="0D04A30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6" w:type="dxa"/>
            <w:tcBorders>
              <w:tl2br w:val="nil"/>
              <w:tr2bl w:val="nil"/>
            </w:tcBorders>
            <w:vAlign w:val="center"/>
          </w:tcPr>
          <w:p w14:paraId="465D27F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71" w:type="dxa"/>
            <w:tcBorders>
              <w:tl2br w:val="nil"/>
              <w:tr2bl w:val="nil"/>
            </w:tcBorders>
            <w:vAlign w:val="center"/>
          </w:tcPr>
          <w:p w14:paraId="11114E6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791" w:type="dxa"/>
            <w:tcBorders>
              <w:tl2br w:val="nil"/>
              <w:tr2bl w:val="nil"/>
            </w:tcBorders>
            <w:vAlign w:val="center"/>
          </w:tcPr>
          <w:p w14:paraId="5920E9D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c>
          <w:tcPr>
            <w:tcW w:w="568" w:type="dxa"/>
            <w:tcBorders>
              <w:tl2br w:val="nil"/>
              <w:tr2bl w:val="nil"/>
            </w:tcBorders>
            <w:vAlign w:val="center"/>
          </w:tcPr>
          <w:p w14:paraId="7E56DD7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均值</w:t>
            </w:r>
          </w:p>
        </w:tc>
        <w:tc>
          <w:tcPr>
            <w:tcW w:w="804" w:type="dxa"/>
            <w:tcBorders>
              <w:tl2br w:val="nil"/>
              <w:tr2bl w:val="nil"/>
            </w:tcBorders>
            <w:vAlign w:val="center"/>
          </w:tcPr>
          <w:p w14:paraId="229B41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初期径流</w:t>
            </w:r>
          </w:p>
        </w:tc>
      </w:tr>
      <w:tr w14:paraId="13CFE3C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128B858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天然降雨</w:t>
            </w:r>
          </w:p>
        </w:tc>
        <w:tc>
          <w:tcPr>
            <w:tcW w:w="583" w:type="dxa"/>
            <w:tcBorders>
              <w:tl2br w:val="nil"/>
              <w:tr2bl w:val="nil"/>
            </w:tcBorders>
            <w:vAlign w:val="center"/>
          </w:tcPr>
          <w:p w14:paraId="5EF1A63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80" w:type="dxa"/>
            <w:tcBorders>
              <w:tl2br w:val="nil"/>
              <w:tr2bl w:val="nil"/>
            </w:tcBorders>
            <w:vAlign w:val="center"/>
          </w:tcPr>
          <w:p w14:paraId="7A45553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23</w:t>
            </w:r>
          </w:p>
        </w:tc>
        <w:tc>
          <w:tcPr>
            <w:tcW w:w="568" w:type="dxa"/>
            <w:tcBorders>
              <w:tl2br w:val="nil"/>
              <w:tr2bl w:val="nil"/>
            </w:tcBorders>
            <w:vAlign w:val="center"/>
          </w:tcPr>
          <w:p w14:paraId="7D42C44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932" w:type="dxa"/>
            <w:tcBorders>
              <w:tl2br w:val="nil"/>
              <w:tr2bl w:val="nil"/>
            </w:tcBorders>
            <w:vAlign w:val="center"/>
          </w:tcPr>
          <w:p w14:paraId="3DC392F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w:t>
            </w:r>
          </w:p>
        </w:tc>
        <w:tc>
          <w:tcPr>
            <w:tcW w:w="616" w:type="dxa"/>
            <w:tcBorders>
              <w:tl2br w:val="nil"/>
              <w:tr2bl w:val="nil"/>
            </w:tcBorders>
            <w:vAlign w:val="center"/>
          </w:tcPr>
          <w:p w14:paraId="293217B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6" w:type="dxa"/>
            <w:tcBorders>
              <w:tl2br w:val="nil"/>
              <w:tr2bl w:val="nil"/>
            </w:tcBorders>
            <w:vAlign w:val="center"/>
          </w:tcPr>
          <w:p w14:paraId="43280E9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w:t>
            </w:r>
          </w:p>
        </w:tc>
        <w:tc>
          <w:tcPr>
            <w:tcW w:w="571" w:type="dxa"/>
            <w:tcBorders>
              <w:tl2br w:val="nil"/>
              <w:tr2bl w:val="nil"/>
            </w:tcBorders>
            <w:vAlign w:val="center"/>
          </w:tcPr>
          <w:p w14:paraId="1ECB60C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791" w:type="dxa"/>
            <w:tcBorders>
              <w:tl2br w:val="nil"/>
              <w:tr2bl w:val="nil"/>
            </w:tcBorders>
            <w:vAlign w:val="center"/>
          </w:tcPr>
          <w:p w14:paraId="531ABD8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0.03</w:t>
            </w:r>
          </w:p>
        </w:tc>
        <w:tc>
          <w:tcPr>
            <w:tcW w:w="568" w:type="dxa"/>
            <w:tcBorders>
              <w:tl2br w:val="nil"/>
              <w:tr2bl w:val="nil"/>
            </w:tcBorders>
            <w:vAlign w:val="center"/>
          </w:tcPr>
          <w:p w14:paraId="6A73D50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w:t>
            </w:r>
          </w:p>
        </w:tc>
        <w:tc>
          <w:tcPr>
            <w:tcW w:w="804" w:type="dxa"/>
            <w:tcBorders>
              <w:tl2br w:val="nil"/>
              <w:tr2bl w:val="nil"/>
            </w:tcBorders>
            <w:vAlign w:val="center"/>
          </w:tcPr>
          <w:p w14:paraId="3BA24B6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r>
      <w:tr w14:paraId="4D537E4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0A564A3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混凝土路面</w:t>
            </w:r>
          </w:p>
        </w:tc>
        <w:tc>
          <w:tcPr>
            <w:tcW w:w="583" w:type="dxa"/>
            <w:tcBorders>
              <w:tl2br w:val="nil"/>
              <w:tr2bl w:val="nil"/>
            </w:tcBorders>
            <w:vAlign w:val="center"/>
          </w:tcPr>
          <w:p w14:paraId="2521957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90</w:t>
            </w:r>
          </w:p>
        </w:tc>
        <w:tc>
          <w:tcPr>
            <w:tcW w:w="880" w:type="dxa"/>
            <w:tcBorders>
              <w:tl2br w:val="nil"/>
              <w:tr2bl w:val="nil"/>
            </w:tcBorders>
            <w:vAlign w:val="center"/>
          </w:tcPr>
          <w:p w14:paraId="485242F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100-250</w:t>
            </w:r>
          </w:p>
        </w:tc>
        <w:tc>
          <w:tcPr>
            <w:tcW w:w="568" w:type="dxa"/>
            <w:tcBorders>
              <w:tl2br w:val="nil"/>
              <w:tr2bl w:val="nil"/>
            </w:tcBorders>
            <w:vAlign w:val="center"/>
          </w:tcPr>
          <w:p w14:paraId="72B96E7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280</w:t>
            </w:r>
          </w:p>
        </w:tc>
        <w:tc>
          <w:tcPr>
            <w:tcW w:w="932" w:type="dxa"/>
            <w:tcBorders>
              <w:tl2br w:val="nil"/>
              <w:tr2bl w:val="nil"/>
            </w:tcBorders>
            <w:vAlign w:val="center"/>
          </w:tcPr>
          <w:p w14:paraId="6288B4C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300-1000</w:t>
            </w:r>
          </w:p>
        </w:tc>
        <w:tc>
          <w:tcPr>
            <w:tcW w:w="616" w:type="dxa"/>
            <w:tcBorders>
              <w:tl2br w:val="nil"/>
              <w:tr2bl w:val="nil"/>
            </w:tcBorders>
            <w:vAlign w:val="center"/>
          </w:tcPr>
          <w:p w14:paraId="141F81B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6.9</w:t>
            </w:r>
          </w:p>
        </w:tc>
        <w:tc>
          <w:tcPr>
            <w:tcW w:w="806" w:type="dxa"/>
            <w:tcBorders>
              <w:tl2br w:val="nil"/>
              <w:tr2bl w:val="nil"/>
            </w:tcBorders>
            <w:vAlign w:val="center"/>
          </w:tcPr>
          <w:p w14:paraId="500E37E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6-12</w:t>
            </w:r>
          </w:p>
        </w:tc>
        <w:tc>
          <w:tcPr>
            <w:tcW w:w="571" w:type="dxa"/>
            <w:tcBorders>
              <w:tl2br w:val="nil"/>
              <w:tr2bl w:val="nil"/>
            </w:tcBorders>
            <w:vAlign w:val="center"/>
          </w:tcPr>
          <w:p w14:paraId="69DD469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0.56</w:t>
            </w:r>
          </w:p>
        </w:tc>
        <w:tc>
          <w:tcPr>
            <w:tcW w:w="791" w:type="dxa"/>
            <w:tcBorders>
              <w:tl2br w:val="nil"/>
              <w:tr2bl w:val="nil"/>
            </w:tcBorders>
            <w:vAlign w:val="center"/>
          </w:tcPr>
          <w:p w14:paraId="7D9BEBF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0.6-1.2</w:t>
            </w:r>
          </w:p>
        </w:tc>
        <w:tc>
          <w:tcPr>
            <w:tcW w:w="568" w:type="dxa"/>
            <w:tcBorders>
              <w:tl2br w:val="nil"/>
              <w:tr2bl w:val="nil"/>
            </w:tcBorders>
            <w:vAlign w:val="center"/>
          </w:tcPr>
          <w:p w14:paraId="0C5C8D6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w:t>
            </w:r>
          </w:p>
        </w:tc>
        <w:tc>
          <w:tcPr>
            <w:tcW w:w="804" w:type="dxa"/>
            <w:tcBorders>
              <w:tl2br w:val="nil"/>
              <w:tr2bl w:val="nil"/>
            </w:tcBorders>
            <w:vAlign w:val="center"/>
          </w:tcPr>
          <w:p w14:paraId="1D6C7C9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14:paraId="19901D7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277DE3B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沥青路面</w:t>
            </w:r>
          </w:p>
        </w:tc>
        <w:tc>
          <w:tcPr>
            <w:tcW w:w="583" w:type="dxa"/>
            <w:tcBorders>
              <w:tl2br w:val="nil"/>
              <w:tr2bl w:val="nil"/>
            </w:tcBorders>
            <w:vAlign w:val="center"/>
          </w:tcPr>
          <w:p w14:paraId="1B59D17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w:t>
            </w:r>
          </w:p>
        </w:tc>
        <w:tc>
          <w:tcPr>
            <w:tcW w:w="880" w:type="dxa"/>
            <w:tcBorders>
              <w:tl2br w:val="nil"/>
              <w:tr2bl w:val="nil"/>
            </w:tcBorders>
            <w:vAlign w:val="center"/>
          </w:tcPr>
          <w:p w14:paraId="4108DA8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200-350</w:t>
            </w:r>
          </w:p>
        </w:tc>
        <w:tc>
          <w:tcPr>
            <w:tcW w:w="568" w:type="dxa"/>
            <w:tcBorders>
              <w:tl2br w:val="nil"/>
              <w:tr2bl w:val="nil"/>
            </w:tcBorders>
            <w:vAlign w:val="center"/>
          </w:tcPr>
          <w:p w14:paraId="5498E4E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560</w:t>
            </w:r>
          </w:p>
        </w:tc>
        <w:tc>
          <w:tcPr>
            <w:tcW w:w="932" w:type="dxa"/>
            <w:tcBorders>
              <w:tl2br w:val="nil"/>
              <w:tr2bl w:val="nil"/>
            </w:tcBorders>
            <w:vAlign w:val="center"/>
          </w:tcPr>
          <w:p w14:paraId="3F12F39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14:paraId="7E0986D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3.87</w:t>
            </w:r>
          </w:p>
        </w:tc>
        <w:tc>
          <w:tcPr>
            <w:tcW w:w="806" w:type="dxa"/>
            <w:tcBorders>
              <w:tl2br w:val="nil"/>
              <w:tr2bl w:val="nil"/>
            </w:tcBorders>
            <w:vAlign w:val="center"/>
          </w:tcPr>
          <w:p w14:paraId="68279D3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14:paraId="27652DC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w:t>
            </w:r>
          </w:p>
        </w:tc>
        <w:tc>
          <w:tcPr>
            <w:tcW w:w="791" w:type="dxa"/>
            <w:tcBorders>
              <w:tl2br w:val="nil"/>
              <w:tr2bl w:val="nil"/>
            </w:tcBorders>
            <w:vAlign w:val="center"/>
          </w:tcPr>
          <w:p w14:paraId="5DB0DE2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0.7-1.2</w:t>
            </w:r>
          </w:p>
        </w:tc>
        <w:tc>
          <w:tcPr>
            <w:tcW w:w="568" w:type="dxa"/>
            <w:tcBorders>
              <w:tl2br w:val="nil"/>
              <w:tr2bl w:val="nil"/>
            </w:tcBorders>
            <w:vAlign w:val="center"/>
          </w:tcPr>
          <w:p w14:paraId="1729209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1.3</w:t>
            </w:r>
          </w:p>
        </w:tc>
        <w:tc>
          <w:tcPr>
            <w:tcW w:w="804" w:type="dxa"/>
            <w:tcBorders>
              <w:tl2br w:val="nil"/>
              <w:tr2bl w:val="nil"/>
            </w:tcBorders>
            <w:vAlign w:val="center"/>
          </w:tcPr>
          <w:p w14:paraId="6A0B7C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r>
      <w:tr w14:paraId="4D13E8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01FAE42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沥青屋面</w:t>
            </w:r>
          </w:p>
        </w:tc>
        <w:tc>
          <w:tcPr>
            <w:tcW w:w="583" w:type="dxa"/>
            <w:tcBorders>
              <w:tl2br w:val="nil"/>
              <w:tr2bl w:val="nil"/>
            </w:tcBorders>
            <w:vAlign w:val="center"/>
          </w:tcPr>
          <w:p w14:paraId="6397DA1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74.3</w:t>
            </w:r>
          </w:p>
        </w:tc>
        <w:tc>
          <w:tcPr>
            <w:tcW w:w="880" w:type="dxa"/>
            <w:tcBorders>
              <w:tl2br w:val="nil"/>
              <w:tr2bl w:val="nil"/>
            </w:tcBorders>
            <w:vAlign w:val="center"/>
          </w:tcPr>
          <w:p w14:paraId="70743E6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14:paraId="0BA0076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200</w:t>
            </w:r>
          </w:p>
        </w:tc>
        <w:tc>
          <w:tcPr>
            <w:tcW w:w="932" w:type="dxa"/>
            <w:tcBorders>
              <w:tl2br w:val="nil"/>
              <w:tr2bl w:val="nil"/>
            </w:tcBorders>
            <w:vAlign w:val="center"/>
          </w:tcPr>
          <w:p w14:paraId="24CAB20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150-250</w:t>
            </w:r>
          </w:p>
        </w:tc>
        <w:tc>
          <w:tcPr>
            <w:tcW w:w="616" w:type="dxa"/>
            <w:tcBorders>
              <w:tl2br w:val="nil"/>
              <w:tr2bl w:val="nil"/>
            </w:tcBorders>
            <w:vAlign w:val="center"/>
          </w:tcPr>
          <w:p w14:paraId="49542EA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3.6</w:t>
            </w:r>
          </w:p>
        </w:tc>
        <w:tc>
          <w:tcPr>
            <w:tcW w:w="806" w:type="dxa"/>
            <w:tcBorders>
              <w:tl2br w:val="nil"/>
              <w:tr2bl w:val="nil"/>
            </w:tcBorders>
            <w:vAlign w:val="center"/>
          </w:tcPr>
          <w:p w14:paraId="66510AB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5-10</w:t>
            </w:r>
          </w:p>
        </w:tc>
        <w:tc>
          <w:tcPr>
            <w:tcW w:w="571" w:type="dxa"/>
            <w:tcBorders>
              <w:tl2br w:val="nil"/>
              <w:tr2bl w:val="nil"/>
            </w:tcBorders>
            <w:vAlign w:val="center"/>
          </w:tcPr>
          <w:p w14:paraId="3BC97FF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0.16</w:t>
            </w:r>
          </w:p>
        </w:tc>
        <w:tc>
          <w:tcPr>
            <w:tcW w:w="791" w:type="dxa"/>
            <w:tcBorders>
              <w:tl2br w:val="nil"/>
              <w:tr2bl w:val="nil"/>
            </w:tcBorders>
            <w:vAlign w:val="center"/>
          </w:tcPr>
          <w:p w14:paraId="1F8DDE3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0.3-0.4</w:t>
            </w:r>
          </w:p>
        </w:tc>
        <w:tc>
          <w:tcPr>
            <w:tcW w:w="568" w:type="dxa"/>
            <w:tcBorders>
              <w:tl2br w:val="nil"/>
              <w:tr2bl w:val="nil"/>
            </w:tcBorders>
            <w:vAlign w:val="center"/>
          </w:tcPr>
          <w:p w14:paraId="66A7826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2.7</w:t>
            </w:r>
          </w:p>
        </w:tc>
        <w:tc>
          <w:tcPr>
            <w:tcW w:w="804" w:type="dxa"/>
            <w:tcBorders>
              <w:tl2br w:val="nil"/>
              <w:tr2bl w:val="nil"/>
            </w:tcBorders>
            <w:vAlign w:val="center"/>
          </w:tcPr>
          <w:p w14:paraId="4B2F1F7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14:paraId="4AE6DF9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3B6473B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瓦屋面</w:t>
            </w:r>
          </w:p>
        </w:tc>
        <w:tc>
          <w:tcPr>
            <w:tcW w:w="583" w:type="dxa"/>
            <w:tcBorders>
              <w:tl2br w:val="nil"/>
              <w:tr2bl w:val="nil"/>
            </w:tcBorders>
            <w:vAlign w:val="center"/>
          </w:tcPr>
          <w:p w14:paraId="20BFC4F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48</w:t>
            </w:r>
          </w:p>
        </w:tc>
        <w:tc>
          <w:tcPr>
            <w:tcW w:w="880" w:type="dxa"/>
            <w:tcBorders>
              <w:tl2br w:val="nil"/>
              <w:tr2bl w:val="nil"/>
            </w:tcBorders>
            <w:vAlign w:val="center"/>
          </w:tcPr>
          <w:p w14:paraId="4EEC96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50-100</w:t>
            </w:r>
          </w:p>
        </w:tc>
        <w:tc>
          <w:tcPr>
            <w:tcW w:w="568" w:type="dxa"/>
            <w:tcBorders>
              <w:tl2br w:val="nil"/>
              <w:tr2bl w:val="nil"/>
            </w:tcBorders>
            <w:vAlign w:val="center"/>
          </w:tcPr>
          <w:p w14:paraId="5DD706C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37</w:t>
            </w:r>
          </w:p>
        </w:tc>
        <w:tc>
          <w:tcPr>
            <w:tcW w:w="932" w:type="dxa"/>
            <w:tcBorders>
              <w:tl2br w:val="nil"/>
              <w:tr2bl w:val="nil"/>
            </w:tcBorders>
            <w:vAlign w:val="center"/>
          </w:tcPr>
          <w:p w14:paraId="3A7DFF7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60-150</w:t>
            </w:r>
          </w:p>
        </w:tc>
        <w:tc>
          <w:tcPr>
            <w:tcW w:w="616" w:type="dxa"/>
            <w:tcBorders>
              <w:tl2br w:val="nil"/>
              <w:tr2bl w:val="nil"/>
            </w:tcBorders>
            <w:vAlign w:val="center"/>
          </w:tcPr>
          <w:p w14:paraId="4E61605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06" w:type="dxa"/>
            <w:tcBorders>
              <w:tl2br w:val="nil"/>
              <w:tr2bl w:val="nil"/>
            </w:tcBorders>
            <w:vAlign w:val="center"/>
          </w:tcPr>
          <w:p w14:paraId="37EA1B9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6-10</w:t>
            </w:r>
          </w:p>
        </w:tc>
        <w:tc>
          <w:tcPr>
            <w:tcW w:w="571" w:type="dxa"/>
            <w:tcBorders>
              <w:tl2br w:val="nil"/>
              <w:tr2bl w:val="nil"/>
            </w:tcBorders>
            <w:vAlign w:val="center"/>
          </w:tcPr>
          <w:p w14:paraId="44242DB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0.12</w:t>
            </w:r>
          </w:p>
        </w:tc>
        <w:tc>
          <w:tcPr>
            <w:tcW w:w="791" w:type="dxa"/>
            <w:tcBorders>
              <w:tl2br w:val="nil"/>
              <w:tr2bl w:val="nil"/>
            </w:tcBorders>
            <w:vAlign w:val="center"/>
          </w:tcPr>
          <w:p w14:paraId="1C2C4C5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0.2-0.3</w:t>
            </w:r>
          </w:p>
        </w:tc>
        <w:tc>
          <w:tcPr>
            <w:tcW w:w="568" w:type="dxa"/>
            <w:tcBorders>
              <w:tl2br w:val="nil"/>
              <w:tr2bl w:val="nil"/>
            </w:tcBorders>
            <w:vAlign w:val="center"/>
          </w:tcPr>
          <w:p w14:paraId="1203E43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804" w:type="dxa"/>
            <w:tcBorders>
              <w:tl2br w:val="nil"/>
              <w:tr2bl w:val="nil"/>
            </w:tcBorders>
            <w:vAlign w:val="center"/>
          </w:tcPr>
          <w:p w14:paraId="2EECA0B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4-6</w:t>
            </w:r>
          </w:p>
        </w:tc>
      </w:tr>
      <w:tr w14:paraId="312FAD7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65A8D08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水泥屋面</w:t>
            </w:r>
          </w:p>
        </w:tc>
        <w:tc>
          <w:tcPr>
            <w:tcW w:w="583" w:type="dxa"/>
            <w:tcBorders>
              <w:tl2br w:val="nil"/>
              <w:tr2bl w:val="nil"/>
            </w:tcBorders>
            <w:vAlign w:val="center"/>
          </w:tcPr>
          <w:p w14:paraId="493FA24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77</w:t>
            </w:r>
          </w:p>
        </w:tc>
        <w:tc>
          <w:tcPr>
            <w:tcW w:w="880" w:type="dxa"/>
            <w:tcBorders>
              <w:tl2br w:val="nil"/>
              <w:tr2bl w:val="nil"/>
            </w:tcBorders>
            <w:vAlign w:val="center"/>
          </w:tcPr>
          <w:p w14:paraId="1834F0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180-450</w:t>
            </w:r>
          </w:p>
        </w:tc>
        <w:tc>
          <w:tcPr>
            <w:tcW w:w="568" w:type="dxa"/>
            <w:tcBorders>
              <w:tl2br w:val="nil"/>
              <w:tr2bl w:val="nil"/>
            </w:tcBorders>
            <w:vAlign w:val="center"/>
          </w:tcPr>
          <w:p w14:paraId="1ADD874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w:t>
            </w:r>
          </w:p>
        </w:tc>
        <w:tc>
          <w:tcPr>
            <w:tcW w:w="932" w:type="dxa"/>
            <w:tcBorders>
              <w:tl2br w:val="nil"/>
              <w:tr2bl w:val="nil"/>
            </w:tcBorders>
            <w:vAlign w:val="center"/>
          </w:tcPr>
          <w:p w14:paraId="46811C1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65-395</w:t>
            </w:r>
          </w:p>
        </w:tc>
        <w:tc>
          <w:tcPr>
            <w:tcW w:w="616" w:type="dxa"/>
            <w:tcBorders>
              <w:tl2br w:val="nil"/>
              <w:tr2bl w:val="nil"/>
            </w:tcBorders>
            <w:vAlign w:val="center"/>
          </w:tcPr>
          <w:p w14:paraId="42E8407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5.6</w:t>
            </w:r>
          </w:p>
        </w:tc>
        <w:tc>
          <w:tcPr>
            <w:tcW w:w="806" w:type="dxa"/>
            <w:tcBorders>
              <w:tl2br w:val="nil"/>
              <w:tr2bl w:val="nil"/>
            </w:tcBorders>
            <w:vAlign w:val="center"/>
          </w:tcPr>
          <w:p w14:paraId="4E81EEE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15-31</w:t>
            </w:r>
          </w:p>
        </w:tc>
        <w:tc>
          <w:tcPr>
            <w:tcW w:w="571" w:type="dxa"/>
            <w:tcBorders>
              <w:tl2br w:val="nil"/>
              <w:tr2bl w:val="nil"/>
            </w:tcBorders>
            <w:vAlign w:val="center"/>
          </w:tcPr>
          <w:p w14:paraId="7F3688D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w:t>
            </w:r>
          </w:p>
        </w:tc>
        <w:tc>
          <w:tcPr>
            <w:tcW w:w="791" w:type="dxa"/>
            <w:tcBorders>
              <w:tl2br w:val="nil"/>
              <w:tr2bl w:val="nil"/>
            </w:tcBorders>
            <w:vAlign w:val="center"/>
          </w:tcPr>
          <w:p w14:paraId="738747F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3-3.5</w:t>
            </w:r>
          </w:p>
        </w:tc>
        <w:tc>
          <w:tcPr>
            <w:tcW w:w="568" w:type="dxa"/>
            <w:tcBorders>
              <w:tl2br w:val="nil"/>
              <w:tr2bl w:val="nil"/>
            </w:tcBorders>
            <w:vAlign w:val="center"/>
          </w:tcPr>
          <w:p w14:paraId="05E56C5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1.8</w:t>
            </w:r>
          </w:p>
        </w:tc>
        <w:tc>
          <w:tcPr>
            <w:tcW w:w="804" w:type="dxa"/>
            <w:tcBorders>
              <w:tl2br w:val="nil"/>
              <w:tr2bl w:val="nil"/>
            </w:tcBorders>
            <w:vAlign w:val="center"/>
          </w:tcPr>
          <w:p w14:paraId="780CB04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7-11</w:t>
            </w:r>
          </w:p>
        </w:tc>
      </w:tr>
      <w:tr w14:paraId="784CAFF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4A4F784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社区道路</w:t>
            </w:r>
          </w:p>
        </w:tc>
        <w:tc>
          <w:tcPr>
            <w:tcW w:w="583" w:type="dxa"/>
            <w:tcBorders>
              <w:tl2br w:val="nil"/>
              <w:tr2bl w:val="nil"/>
            </w:tcBorders>
            <w:vAlign w:val="center"/>
          </w:tcPr>
          <w:p w14:paraId="68EFCDA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w:t>
            </w:r>
          </w:p>
        </w:tc>
        <w:tc>
          <w:tcPr>
            <w:tcW w:w="880" w:type="dxa"/>
            <w:tcBorders>
              <w:tl2br w:val="nil"/>
              <w:tr2bl w:val="nil"/>
            </w:tcBorders>
            <w:vAlign w:val="center"/>
          </w:tcPr>
          <w:p w14:paraId="4316A28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120-200</w:t>
            </w:r>
          </w:p>
        </w:tc>
        <w:tc>
          <w:tcPr>
            <w:tcW w:w="568" w:type="dxa"/>
            <w:tcBorders>
              <w:tl2br w:val="nil"/>
              <w:tr2bl w:val="nil"/>
            </w:tcBorders>
            <w:vAlign w:val="center"/>
          </w:tcPr>
          <w:p w14:paraId="547AE0C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400</w:t>
            </w:r>
          </w:p>
        </w:tc>
        <w:tc>
          <w:tcPr>
            <w:tcW w:w="932" w:type="dxa"/>
            <w:tcBorders>
              <w:tl2br w:val="nil"/>
              <w:tr2bl w:val="nil"/>
            </w:tcBorders>
            <w:vAlign w:val="center"/>
          </w:tcPr>
          <w:p w14:paraId="6A41541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1600-2000</w:t>
            </w:r>
          </w:p>
        </w:tc>
        <w:tc>
          <w:tcPr>
            <w:tcW w:w="616" w:type="dxa"/>
            <w:tcBorders>
              <w:tl2br w:val="nil"/>
              <w:tr2bl w:val="nil"/>
            </w:tcBorders>
            <w:vAlign w:val="center"/>
          </w:tcPr>
          <w:p w14:paraId="40D8310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3.8</w:t>
            </w:r>
          </w:p>
        </w:tc>
        <w:tc>
          <w:tcPr>
            <w:tcW w:w="806" w:type="dxa"/>
            <w:tcBorders>
              <w:tl2br w:val="nil"/>
              <w:tr2bl w:val="nil"/>
            </w:tcBorders>
            <w:vAlign w:val="center"/>
          </w:tcPr>
          <w:p w14:paraId="2C7346A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6-8</w:t>
            </w:r>
          </w:p>
        </w:tc>
        <w:tc>
          <w:tcPr>
            <w:tcW w:w="571" w:type="dxa"/>
            <w:tcBorders>
              <w:tl2br w:val="nil"/>
              <w:tr2bl w:val="nil"/>
            </w:tcBorders>
            <w:vAlign w:val="center"/>
          </w:tcPr>
          <w:p w14:paraId="39E628F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0.28</w:t>
            </w:r>
          </w:p>
        </w:tc>
        <w:tc>
          <w:tcPr>
            <w:tcW w:w="791" w:type="dxa"/>
            <w:tcBorders>
              <w:tl2br w:val="nil"/>
              <w:tr2bl w:val="nil"/>
            </w:tcBorders>
            <w:vAlign w:val="center"/>
          </w:tcPr>
          <w:p w14:paraId="578722E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0.4-0.6</w:t>
            </w:r>
          </w:p>
        </w:tc>
        <w:tc>
          <w:tcPr>
            <w:tcW w:w="568" w:type="dxa"/>
            <w:tcBorders>
              <w:tl2br w:val="nil"/>
              <w:tr2bl w:val="nil"/>
            </w:tcBorders>
            <w:vAlign w:val="center"/>
          </w:tcPr>
          <w:p w14:paraId="133396A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2.0</w:t>
            </w:r>
          </w:p>
        </w:tc>
        <w:tc>
          <w:tcPr>
            <w:tcW w:w="804" w:type="dxa"/>
            <w:tcBorders>
              <w:tl2br w:val="nil"/>
              <w:tr2bl w:val="nil"/>
            </w:tcBorders>
            <w:vAlign w:val="center"/>
          </w:tcPr>
          <w:p w14:paraId="207BAD9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3-5</w:t>
            </w:r>
          </w:p>
        </w:tc>
      </w:tr>
      <w:tr w14:paraId="3023E5E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104094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商业区混凝土广场</w:t>
            </w:r>
          </w:p>
        </w:tc>
        <w:tc>
          <w:tcPr>
            <w:tcW w:w="583" w:type="dxa"/>
            <w:tcBorders>
              <w:tl2br w:val="nil"/>
              <w:tr2bl w:val="nil"/>
            </w:tcBorders>
            <w:vAlign w:val="center"/>
          </w:tcPr>
          <w:p w14:paraId="0AA0FB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w:t>
            </w:r>
          </w:p>
        </w:tc>
        <w:tc>
          <w:tcPr>
            <w:tcW w:w="880" w:type="dxa"/>
            <w:tcBorders>
              <w:tl2br w:val="nil"/>
              <w:tr2bl w:val="nil"/>
            </w:tcBorders>
            <w:vAlign w:val="center"/>
          </w:tcPr>
          <w:p w14:paraId="5FB21E5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100-150</w:t>
            </w:r>
          </w:p>
        </w:tc>
        <w:tc>
          <w:tcPr>
            <w:tcW w:w="568" w:type="dxa"/>
            <w:tcBorders>
              <w:tl2br w:val="nil"/>
              <w:tr2bl w:val="nil"/>
            </w:tcBorders>
            <w:vAlign w:val="center"/>
          </w:tcPr>
          <w:p w14:paraId="0A89CB5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500</w:t>
            </w:r>
          </w:p>
        </w:tc>
        <w:tc>
          <w:tcPr>
            <w:tcW w:w="932" w:type="dxa"/>
            <w:tcBorders>
              <w:tl2br w:val="nil"/>
              <w:tr2bl w:val="nil"/>
            </w:tcBorders>
            <w:vAlign w:val="center"/>
          </w:tcPr>
          <w:p w14:paraId="2CEF1B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1000-1500</w:t>
            </w:r>
          </w:p>
        </w:tc>
        <w:tc>
          <w:tcPr>
            <w:tcW w:w="616" w:type="dxa"/>
            <w:tcBorders>
              <w:tl2br w:val="nil"/>
              <w:tr2bl w:val="nil"/>
            </w:tcBorders>
            <w:vAlign w:val="center"/>
          </w:tcPr>
          <w:p w14:paraId="08A5452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806" w:type="dxa"/>
            <w:tcBorders>
              <w:tl2br w:val="nil"/>
              <w:tr2bl w:val="nil"/>
            </w:tcBorders>
            <w:vAlign w:val="center"/>
          </w:tcPr>
          <w:p w14:paraId="2FB844D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5-8</w:t>
            </w:r>
          </w:p>
        </w:tc>
        <w:tc>
          <w:tcPr>
            <w:tcW w:w="571" w:type="dxa"/>
            <w:tcBorders>
              <w:tl2br w:val="nil"/>
              <w:tr2bl w:val="nil"/>
            </w:tcBorders>
            <w:vAlign w:val="center"/>
          </w:tcPr>
          <w:p w14:paraId="42C66D9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0.3</w:t>
            </w:r>
          </w:p>
        </w:tc>
        <w:tc>
          <w:tcPr>
            <w:tcW w:w="791" w:type="dxa"/>
            <w:tcBorders>
              <w:tl2br w:val="nil"/>
              <w:tr2bl w:val="nil"/>
            </w:tcBorders>
            <w:vAlign w:val="center"/>
          </w:tcPr>
          <w:p w14:paraId="34CD472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1-2</w:t>
            </w:r>
          </w:p>
        </w:tc>
        <w:tc>
          <w:tcPr>
            <w:tcW w:w="568" w:type="dxa"/>
            <w:tcBorders>
              <w:tl2br w:val="nil"/>
              <w:tr2bl w:val="nil"/>
            </w:tcBorders>
            <w:vAlign w:val="center"/>
          </w:tcPr>
          <w:p w14:paraId="4A17370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2.5</w:t>
            </w:r>
          </w:p>
        </w:tc>
        <w:tc>
          <w:tcPr>
            <w:tcW w:w="804" w:type="dxa"/>
            <w:tcBorders>
              <w:tl2br w:val="nil"/>
              <w:tr2bl w:val="nil"/>
            </w:tcBorders>
            <w:vAlign w:val="center"/>
          </w:tcPr>
          <w:p w14:paraId="572AC30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5-7</w:t>
            </w:r>
          </w:p>
        </w:tc>
      </w:tr>
      <w:tr w14:paraId="477B63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78" w:type="dxa"/>
            <w:tcBorders>
              <w:tl2br w:val="nil"/>
              <w:tr2bl w:val="nil"/>
            </w:tcBorders>
            <w:vAlign w:val="center"/>
          </w:tcPr>
          <w:p w14:paraId="7646565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绿地</w:t>
            </w:r>
          </w:p>
        </w:tc>
        <w:tc>
          <w:tcPr>
            <w:tcW w:w="583" w:type="dxa"/>
            <w:tcBorders>
              <w:tl2br w:val="nil"/>
              <w:tr2bl w:val="nil"/>
            </w:tcBorders>
            <w:vAlign w:val="center"/>
          </w:tcPr>
          <w:p w14:paraId="5F710D8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60.5</w:t>
            </w:r>
          </w:p>
        </w:tc>
        <w:tc>
          <w:tcPr>
            <w:tcW w:w="880" w:type="dxa"/>
            <w:tcBorders>
              <w:tl2br w:val="nil"/>
              <w:tr2bl w:val="nil"/>
            </w:tcBorders>
            <w:vAlign w:val="center"/>
          </w:tcPr>
          <w:p w14:paraId="33BAA48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97.8</w:t>
            </w:r>
          </w:p>
        </w:tc>
        <w:tc>
          <w:tcPr>
            <w:tcW w:w="568" w:type="dxa"/>
            <w:tcBorders>
              <w:tl2br w:val="nil"/>
              <w:tr2bl w:val="nil"/>
            </w:tcBorders>
            <w:vAlign w:val="center"/>
          </w:tcPr>
          <w:p w14:paraId="743FEEF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22.4</w:t>
            </w:r>
          </w:p>
        </w:tc>
        <w:tc>
          <w:tcPr>
            <w:tcW w:w="932" w:type="dxa"/>
            <w:tcBorders>
              <w:tl2br w:val="nil"/>
              <w:tr2bl w:val="nil"/>
            </w:tcBorders>
            <w:vAlign w:val="center"/>
          </w:tcPr>
          <w:p w14:paraId="3134C16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650</w:t>
            </w:r>
          </w:p>
        </w:tc>
        <w:tc>
          <w:tcPr>
            <w:tcW w:w="616" w:type="dxa"/>
            <w:tcBorders>
              <w:tl2br w:val="nil"/>
              <w:tr2bl w:val="nil"/>
            </w:tcBorders>
            <w:vAlign w:val="center"/>
          </w:tcPr>
          <w:p w14:paraId="18527A9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2.85</w:t>
            </w:r>
          </w:p>
        </w:tc>
        <w:tc>
          <w:tcPr>
            <w:tcW w:w="806" w:type="dxa"/>
            <w:tcBorders>
              <w:tl2br w:val="nil"/>
              <w:tr2bl w:val="nil"/>
            </w:tcBorders>
            <w:vAlign w:val="center"/>
          </w:tcPr>
          <w:p w14:paraId="7B5E990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3.2</w:t>
            </w:r>
          </w:p>
        </w:tc>
        <w:tc>
          <w:tcPr>
            <w:tcW w:w="571" w:type="dxa"/>
            <w:tcBorders>
              <w:tl2br w:val="nil"/>
              <w:tr2bl w:val="nil"/>
            </w:tcBorders>
            <w:vAlign w:val="center"/>
          </w:tcPr>
          <w:p w14:paraId="0C01249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0.44</w:t>
            </w:r>
          </w:p>
        </w:tc>
        <w:tc>
          <w:tcPr>
            <w:tcW w:w="791" w:type="dxa"/>
            <w:tcBorders>
              <w:tl2br w:val="nil"/>
              <w:tr2bl w:val="nil"/>
            </w:tcBorders>
            <w:vAlign w:val="center"/>
          </w:tcPr>
          <w:p w14:paraId="19854C2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0.21</w:t>
            </w:r>
          </w:p>
        </w:tc>
        <w:tc>
          <w:tcPr>
            <w:tcW w:w="568" w:type="dxa"/>
            <w:tcBorders>
              <w:tl2br w:val="nil"/>
              <w:tr2bl w:val="nil"/>
            </w:tcBorders>
            <w:vAlign w:val="center"/>
          </w:tcPr>
          <w:p w14:paraId="1438EAA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1.18</w:t>
            </w:r>
          </w:p>
        </w:tc>
        <w:tc>
          <w:tcPr>
            <w:tcW w:w="804" w:type="dxa"/>
            <w:tcBorders>
              <w:tl2br w:val="nil"/>
              <w:tr2bl w:val="nil"/>
            </w:tcBorders>
            <w:vAlign w:val="center"/>
          </w:tcPr>
          <w:p w14:paraId="2ABA1CD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18"/>
                <w:szCs w:val="18"/>
                <w:highlight w:val="none"/>
              </w:rPr>
            </w:pPr>
            <w:r>
              <w:rPr>
                <w:rFonts w:hint="default" w:ascii="Times New Roman" w:hAnsi="Times New Roman" w:eastAsia="宋体" w:cs="Times New Roman"/>
                <w:b w:val="0"/>
                <w:bCs/>
                <w:color w:val="auto"/>
                <w:sz w:val="18"/>
                <w:szCs w:val="18"/>
                <w:highlight w:val="none"/>
              </w:rPr>
              <w:t>1.6</w:t>
            </w:r>
          </w:p>
        </w:tc>
      </w:tr>
    </w:tbl>
    <w:p w14:paraId="2A166DE4">
      <w:pPr>
        <w:bidi w:val="0"/>
        <w:rPr>
          <w:rFonts w:hint="default"/>
          <w:color w:val="auto"/>
          <w:sz w:val="15"/>
          <w:szCs w:val="15"/>
          <w:highlight w:val="none"/>
          <w:lang w:val="en-US" w:eastAsia="zh-CN"/>
        </w:rPr>
      </w:pPr>
    </w:p>
    <w:p w14:paraId="0904FF36">
      <w:pPr>
        <w:pStyle w:val="5"/>
        <w:bidi w:val="0"/>
        <w:rPr>
          <w:rFonts w:hint="default"/>
          <w:color w:val="auto"/>
          <w:highlight w:val="none"/>
          <w:lang w:val="en-US" w:eastAsia="zh-CN"/>
        </w:rPr>
      </w:pPr>
      <w:r>
        <w:rPr>
          <w:rFonts w:hint="default"/>
          <w:lang w:val="en-US" w:eastAsia="zh-CN"/>
        </w:rPr>
        <w:t>根据</w:t>
      </w:r>
      <w:r>
        <w:rPr>
          <w:rFonts w:hint="eastAsia"/>
          <w:lang w:val="en-US" w:eastAsia="zh-CN"/>
        </w:rPr>
        <w:t>石耶镇</w:t>
      </w:r>
      <w:r>
        <w:rPr>
          <w:rFonts w:hint="default"/>
          <w:lang w:val="en-US" w:eastAsia="zh-CN"/>
        </w:rPr>
        <w:t>情况，合理取值，计算各污染指标的加权平均值如表</w:t>
      </w:r>
      <w:r>
        <w:rPr>
          <w:rFonts w:hint="eastAsia"/>
          <w:lang w:val="en-US" w:eastAsia="zh-CN"/>
        </w:rPr>
        <w:t>3.2-12</w:t>
      </w:r>
      <w:r>
        <w:rPr>
          <w:rFonts w:hint="default"/>
          <w:lang w:val="en-US" w:eastAsia="zh-CN"/>
        </w:rPr>
        <w:t>所示。</w:t>
      </w:r>
    </w:p>
    <w:p w14:paraId="236C59D0">
      <w:pPr>
        <w:pStyle w:val="56"/>
        <w:bidi w:val="0"/>
        <w:rPr>
          <w:color w:val="auto"/>
          <w:sz w:val="6"/>
          <w:highlight w:val="none"/>
        </w:rPr>
      </w:pPr>
      <w:r>
        <w:rPr>
          <w:color w:val="auto"/>
          <w:highlight w:val="none"/>
        </w:rPr>
        <w:t>表</w:t>
      </w:r>
      <w:r>
        <w:rPr>
          <w:rFonts w:hint="eastAsia"/>
          <w:color w:val="auto"/>
          <w:highlight w:val="none"/>
          <w:lang w:val="en-US" w:eastAsia="zh-CN"/>
        </w:rPr>
        <w:t xml:space="preserve">3.2-12  </w:t>
      </w:r>
      <w:r>
        <w:rPr>
          <w:color w:val="auto"/>
          <w:highlight w:val="none"/>
        </w:rPr>
        <w:t>污染指标取值</w:t>
      </w:r>
    </w:p>
    <w:tbl>
      <w:tblPr>
        <w:tblStyle w:val="23"/>
        <w:tblW w:w="8327"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Layout w:type="fixed"/>
        <w:tblCellMar>
          <w:top w:w="0" w:type="dxa"/>
          <w:left w:w="0" w:type="dxa"/>
          <w:bottom w:w="0" w:type="dxa"/>
          <w:right w:w="0" w:type="dxa"/>
        </w:tblCellMar>
      </w:tblPr>
      <w:tblGrid>
        <w:gridCol w:w="1985"/>
        <w:gridCol w:w="2336"/>
        <w:gridCol w:w="2080"/>
        <w:gridCol w:w="1926"/>
      </w:tblGrid>
      <w:tr w14:paraId="54F090F8">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0" w:hRule="atLeast"/>
        </w:trPr>
        <w:tc>
          <w:tcPr>
            <w:tcW w:w="1985" w:type="dxa"/>
            <w:tcBorders>
              <w:tl2br w:val="nil"/>
              <w:tr2bl w:val="nil"/>
            </w:tcBorders>
            <w:vAlign w:val="center"/>
          </w:tcPr>
          <w:p w14:paraId="26FCCBB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下垫面类型</w:t>
            </w:r>
          </w:p>
        </w:tc>
        <w:tc>
          <w:tcPr>
            <w:tcW w:w="2336" w:type="dxa"/>
            <w:tcBorders>
              <w:tl2br w:val="nil"/>
              <w:tr2bl w:val="nil"/>
            </w:tcBorders>
            <w:vAlign w:val="center"/>
          </w:tcPr>
          <w:p w14:paraId="064765D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COD（mg/L）均值</w:t>
            </w:r>
          </w:p>
        </w:tc>
        <w:tc>
          <w:tcPr>
            <w:tcW w:w="2080" w:type="dxa"/>
            <w:tcBorders>
              <w:tl2br w:val="nil"/>
              <w:tr2bl w:val="nil"/>
            </w:tcBorders>
            <w:vAlign w:val="center"/>
          </w:tcPr>
          <w:p w14:paraId="3F48B8E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-N（mg/L）均值</w:t>
            </w:r>
          </w:p>
        </w:tc>
        <w:tc>
          <w:tcPr>
            <w:tcW w:w="1926" w:type="dxa"/>
            <w:tcBorders>
              <w:tl2br w:val="nil"/>
              <w:tr2bl w:val="nil"/>
            </w:tcBorders>
            <w:vAlign w:val="center"/>
          </w:tcPr>
          <w:p w14:paraId="3297AFF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TP（mg/L）均值</w:t>
            </w:r>
          </w:p>
        </w:tc>
      </w:tr>
      <w:tr w14:paraId="28D59998">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0" w:hRule="atLeast"/>
        </w:trPr>
        <w:tc>
          <w:tcPr>
            <w:tcW w:w="1985" w:type="dxa"/>
            <w:tcBorders>
              <w:tl2br w:val="nil"/>
              <w:tr2bl w:val="nil"/>
            </w:tcBorders>
            <w:vAlign w:val="center"/>
          </w:tcPr>
          <w:p w14:paraId="1AA7E0F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硬地</w:t>
            </w:r>
          </w:p>
        </w:tc>
        <w:tc>
          <w:tcPr>
            <w:tcW w:w="2336" w:type="dxa"/>
            <w:tcBorders>
              <w:tl2br w:val="nil"/>
              <w:tr2bl w:val="nil"/>
            </w:tcBorders>
            <w:vAlign w:val="center"/>
          </w:tcPr>
          <w:p w14:paraId="2938239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100</w:t>
            </w:r>
          </w:p>
        </w:tc>
        <w:tc>
          <w:tcPr>
            <w:tcW w:w="2080" w:type="dxa"/>
            <w:tcBorders>
              <w:tl2br w:val="nil"/>
              <w:tr2bl w:val="nil"/>
            </w:tcBorders>
            <w:vAlign w:val="center"/>
          </w:tcPr>
          <w:p w14:paraId="6E2A9E9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w:t>
            </w:r>
          </w:p>
        </w:tc>
        <w:tc>
          <w:tcPr>
            <w:tcW w:w="1926" w:type="dxa"/>
            <w:tcBorders>
              <w:tl2br w:val="nil"/>
              <w:tr2bl w:val="nil"/>
            </w:tcBorders>
            <w:vAlign w:val="center"/>
          </w:tcPr>
          <w:p w14:paraId="03028F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0.9</w:t>
            </w:r>
          </w:p>
        </w:tc>
      </w:tr>
      <w:tr w14:paraId="71F3AAC0">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0" w:hRule="atLeast"/>
        </w:trPr>
        <w:tc>
          <w:tcPr>
            <w:tcW w:w="1985" w:type="dxa"/>
            <w:tcBorders>
              <w:tl2br w:val="nil"/>
              <w:tr2bl w:val="nil"/>
            </w:tcBorders>
            <w:vAlign w:val="center"/>
          </w:tcPr>
          <w:p w14:paraId="0D4DA36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绿地</w:t>
            </w:r>
          </w:p>
        </w:tc>
        <w:tc>
          <w:tcPr>
            <w:tcW w:w="2336" w:type="dxa"/>
            <w:tcBorders>
              <w:tl2br w:val="nil"/>
              <w:tr2bl w:val="nil"/>
            </w:tcBorders>
            <w:vAlign w:val="center"/>
          </w:tcPr>
          <w:p w14:paraId="40CFFDF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60.5</w:t>
            </w:r>
          </w:p>
        </w:tc>
        <w:tc>
          <w:tcPr>
            <w:tcW w:w="2080" w:type="dxa"/>
            <w:tcBorders>
              <w:tl2br w:val="nil"/>
              <w:tr2bl w:val="nil"/>
            </w:tcBorders>
            <w:vAlign w:val="center"/>
          </w:tcPr>
          <w:p w14:paraId="1F45844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c>
          <w:tcPr>
            <w:tcW w:w="1926" w:type="dxa"/>
            <w:tcBorders>
              <w:tl2br w:val="nil"/>
              <w:tr2bl w:val="nil"/>
            </w:tcBorders>
            <w:vAlign w:val="center"/>
          </w:tcPr>
          <w:p w14:paraId="1D8572A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0.44</w:t>
            </w:r>
          </w:p>
        </w:tc>
      </w:tr>
      <w:tr w14:paraId="1A65E7A8">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0" w:hRule="atLeast"/>
        </w:trPr>
        <w:tc>
          <w:tcPr>
            <w:tcW w:w="1985" w:type="dxa"/>
            <w:tcBorders>
              <w:tl2br w:val="nil"/>
              <w:tr2bl w:val="nil"/>
            </w:tcBorders>
            <w:vAlign w:val="center"/>
          </w:tcPr>
          <w:p w14:paraId="7FF8FF6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屋面</w:t>
            </w:r>
          </w:p>
        </w:tc>
        <w:tc>
          <w:tcPr>
            <w:tcW w:w="2336" w:type="dxa"/>
            <w:tcBorders>
              <w:tl2br w:val="nil"/>
              <w:tr2bl w:val="nil"/>
            </w:tcBorders>
            <w:vAlign w:val="center"/>
          </w:tcPr>
          <w:p w14:paraId="650D93C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70</w:t>
            </w:r>
          </w:p>
        </w:tc>
        <w:tc>
          <w:tcPr>
            <w:tcW w:w="2080" w:type="dxa"/>
            <w:tcBorders>
              <w:tl2br w:val="nil"/>
              <w:tr2bl w:val="nil"/>
            </w:tcBorders>
            <w:vAlign w:val="center"/>
          </w:tcPr>
          <w:p w14:paraId="4CE1DBC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1.8</w:t>
            </w:r>
          </w:p>
        </w:tc>
        <w:tc>
          <w:tcPr>
            <w:tcW w:w="1926" w:type="dxa"/>
            <w:tcBorders>
              <w:tl2br w:val="nil"/>
              <w:tr2bl w:val="nil"/>
            </w:tcBorders>
            <w:vAlign w:val="center"/>
          </w:tcPr>
          <w:p w14:paraId="5B81B9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0.18</w:t>
            </w:r>
          </w:p>
        </w:tc>
      </w:tr>
      <w:tr w14:paraId="6E041B96">
        <w:tblPrEx>
          <w:tblBorders>
            <w:top w:val="single" w:color="000000" w:sz="12" w:space="0"/>
            <w:left w:val="none" w:color="auto" w:sz="0" w:space="0"/>
            <w:bottom w:val="single" w:color="000000" w:sz="12" w:space="0"/>
            <w:right w:val="none" w:color="auto" w:sz="0" w:space="0"/>
            <w:insideH w:val="single" w:color="000000" w:sz="2" w:space="0"/>
            <w:insideV w:val="single" w:color="000000" w:sz="6" w:space="0"/>
          </w:tblBorders>
          <w:tblCellMar>
            <w:top w:w="0" w:type="dxa"/>
            <w:left w:w="0" w:type="dxa"/>
            <w:bottom w:w="0" w:type="dxa"/>
            <w:right w:w="0" w:type="dxa"/>
          </w:tblCellMar>
        </w:tblPrEx>
        <w:trPr>
          <w:trHeight w:val="340" w:hRule="atLeast"/>
        </w:trPr>
        <w:tc>
          <w:tcPr>
            <w:tcW w:w="1985" w:type="dxa"/>
            <w:tcBorders>
              <w:tl2br w:val="nil"/>
              <w:tr2bl w:val="nil"/>
            </w:tcBorders>
            <w:vAlign w:val="center"/>
          </w:tcPr>
          <w:p w14:paraId="2644BD5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加权平均值</w:t>
            </w:r>
          </w:p>
        </w:tc>
        <w:tc>
          <w:tcPr>
            <w:tcW w:w="2336" w:type="dxa"/>
            <w:tcBorders>
              <w:tl2br w:val="nil"/>
              <w:tr2bl w:val="nil"/>
            </w:tcBorders>
            <w:vAlign w:val="center"/>
          </w:tcPr>
          <w:p w14:paraId="65A5B1C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76.15</w:t>
            </w:r>
          </w:p>
        </w:tc>
        <w:tc>
          <w:tcPr>
            <w:tcW w:w="2080" w:type="dxa"/>
            <w:tcBorders>
              <w:tl2br w:val="nil"/>
              <w:tr2bl w:val="nil"/>
            </w:tcBorders>
            <w:vAlign w:val="center"/>
          </w:tcPr>
          <w:p w14:paraId="6CA132E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1.404</w:t>
            </w:r>
          </w:p>
        </w:tc>
        <w:tc>
          <w:tcPr>
            <w:tcW w:w="1926" w:type="dxa"/>
            <w:tcBorders>
              <w:tl2br w:val="nil"/>
              <w:tr2bl w:val="nil"/>
            </w:tcBorders>
            <w:vAlign w:val="center"/>
          </w:tcPr>
          <w:p w14:paraId="083A1C0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0.474</w:t>
            </w:r>
          </w:p>
        </w:tc>
      </w:tr>
    </w:tbl>
    <w:p w14:paraId="7C69EE9F">
      <w:pPr>
        <w:bidi w:val="0"/>
        <w:rPr>
          <w:rFonts w:hint="default"/>
          <w:color w:val="auto"/>
          <w:sz w:val="15"/>
          <w:szCs w:val="15"/>
          <w:highlight w:val="none"/>
          <w:lang w:val="en-US" w:eastAsia="zh-CN"/>
        </w:rPr>
      </w:pPr>
    </w:p>
    <w:p w14:paraId="68A87842">
      <w:pPr>
        <w:pStyle w:val="5"/>
        <w:bidi w:val="0"/>
        <w:rPr>
          <w:rFonts w:hint="default"/>
          <w:lang w:val="en-US" w:eastAsia="zh-CN"/>
        </w:rPr>
      </w:pPr>
      <w:r>
        <w:rPr>
          <w:rFonts w:hint="default"/>
          <w:lang w:val="en-US" w:eastAsia="zh-CN"/>
        </w:rPr>
        <w:t>采用下列公式计算城镇地表径流污染物负荷：</w:t>
      </w:r>
    </w:p>
    <w:p w14:paraId="47F21D1E">
      <w:pPr>
        <w:pStyle w:val="5"/>
        <w:bidi w:val="0"/>
        <w:ind w:left="0" w:leftChars="0" w:firstLine="0" w:firstLineChars="0"/>
        <w:jc w:val="center"/>
        <w:rPr>
          <w:rFonts w:hint="default"/>
          <w:color w:val="auto"/>
          <w:highlight w:val="none"/>
          <w:lang w:val="en-US" w:eastAsia="zh-CN"/>
        </w:rPr>
      </w:pPr>
      <w:r>
        <w:rPr>
          <w:rFonts w:hint="default"/>
          <w:lang w:val="en-US" w:eastAsia="zh-CN"/>
        </w:rPr>
        <w:t>W=ΦFH</w:t>
      </w:r>
      <w:r>
        <w:rPr>
          <w:rFonts w:hint="eastAsia"/>
          <w:lang w:val="en-US" w:eastAsia="zh-CN"/>
        </w:rPr>
        <w:t>（</w:t>
      </w:r>
      <w:r>
        <w:rPr>
          <w:rFonts w:hint="default"/>
          <w:lang w:val="en-US" w:eastAsia="zh-CN"/>
        </w:rPr>
        <w:t>1-S</w:t>
      </w:r>
      <w:r>
        <w:rPr>
          <w:rFonts w:hint="eastAsia"/>
          <w:lang w:val="en-US" w:eastAsia="zh-CN"/>
        </w:rPr>
        <w:t>）</w:t>
      </w:r>
    </w:p>
    <w:p w14:paraId="0344592C">
      <w:pPr>
        <w:pStyle w:val="5"/>
        <w:bidi w:val="0"/>
        <w:rPr>
          <w:rFonts w:hint="default"/>
          <w:lang w:val="en-US" w:eastAsia="zh-CN"/>
        </w:rPr>
      </w:pPr>
      <w:r>
        <w:rPr>
          <w:rFonts w:hint="default"/>
          <w:lang w:val="en-US" w:eastAsia="zh-CN"/>
        </w:rPr>
        <w:t>式中：</w:t>
      </w:r>
    </w:p>
    <w:p w14:paraId="06DFD794">
      <w:pPr>
        <w:pStyle w:val="5"/>
        <w:bidi w:val="0"/>
        <w:ind w:firstLine="968" w:firstLineChars="400"/>
        <w:rPr>
          <w:rFonts w:hint="eastAsia"/>
          <w:lang w:val="en-US" w:eastAsia="zh-CN"/>
        </w:rPr>
      </w:pPr>
      <w:r>
        <w:rPr>
          <w:rFonts w:hint="default"/>
          <w:lang w:val="en-US" w:eastAsia="zh-CN"/>
        </w:rPr>
        <w:t>W——地表径流污染负荷（t/a）</w:t>
      </w:r>
      <w:r>
        <w:rPr>
          <w:rFonts w:hint="eastAsia"/>
          <w:lang w:val="en-US" w:eastAsia="zh-CN"/>
        </w:rPr>
        <w:t>；</w:t>
      </w:r>
    </w:p>
    <w:p w14:paraId="0F232F9B">
      <w:pPr>
        <w:pStyle w:val="5"/>
        <w:bidi w:val="0"/>
        <w:ind w:firstLine="968" w:firstLineChars="400"/>
        <w:rPr>
          <w:rFonts w:hint="default"/>
          <w:lang w:val="en-US" w:eastAsia="zh-CN"/>
        </w:rPr>
      </w:pPr>
      <w:r>
        <w:rPr>
          <w:rFonts w:hint="default"/>
          <w:lang w:val="en-US" w:eastAsia="zh-CN"/>
        </w:rPr>
        <w:t>Φ——城镇综合径流系数</w:t>
      </w:r>
      <w:r>
        <w:rPr>
          <w:rFonts w:hint="eastAsia"/>
          <w:lang w:val="en-US" w:eastAsia="zh-CN"/>
        </w:rPr>
        <w:t>；</w:t>
      </w:r>
    </w:p>
    <w:p w14:paraId="66C7A1BC">
      <w:pPr>
        <w:pStyle w:val="5"/>
        <w:bidi w:val="0"/>
        <w:ind w:firstLine="968" w:firstLineChars="400"/>
        <w:rPr>
          <w:rFonts w:hint="eastAsia"/>
          <w:lang w:val="en-US" w:eastAsia="zh-CN"/>
        </w:rPr>
      </w:pPr>
      <w:r>
        <w:rPr>
          <w:rFonts w:hint="default"/>
          <w:lang w:val="en-US" w:eastAsia="zh-CN"/>
        </w:rPr>
        <w:t>F——城镇建成区面积（km</w:t>
      </w:r>
      <w:r>
        <w:rPr>
          <w:rFonts w:hint="default"/>
          <w:vertAlign w:val="superscript"/>
          <w:lang w:val="en-US" w:eastAsia="zh-CN"/>
        </w:rPr>
        <w:t>2</w:t>
      </w:r>
      <w:r>
        <w:rPr>
          <w:rFonts w:hint="default"/>
          <w:lang w:val="en-US" w:eastAsia="zh-CN"/>
        </w:rPr>
        <w:t>）</w:t>
      </w:r>
      <w:r>
        <w:rPr>
          <w:rFonts w:hint="eastAsia"/>
          <w:lang w:val="en-US" w:eastAsia="zh-CN"/>
        </w:rPr>
        <w:t>；</w:t>
      </w:r>
    </w:p>
    <w:p w14:paraId="6C72C239">
      <w:pPr>
        <w:pStyle w:val="5"/>
        <w:bidi w:val="0"/>
        <w:ind w:firstLine="968" w:firstLineChars="400"/>
        <w:rPr>
          <w:rFonts w:hint="eastAsia"/>
          <w:lang w:val="en-US" w:eastAsia="zh-CN"/>
        </w:rPr>
      </w:pPr>
      <w:r>
        <w:rPr>
          <w:rFonts w:hint="default"/>
          <w:lang w:val="en-US" w:eastAsia="zh-CN"/>
        </w:rPr>
        <w:t>H——多年平均降雨量（mm）</w:t>
      </w:r>
      <w:r>
        <w:rPr>
          <w:rFonts w:hint="eastAsia"/>
          <w:lang w:val="en-US" w:eastAsia="zh-CN"/>
        </w:rPr>
        <w:t>；</w:t>
      </w:r>
    </w:p>
    <w:p w14:paraId="31132526">
      <w:pPr>
        <w:pStyle w:val="5"/>
        <w:bidi w:val="0"/>
        <w:ind w:firstLine="968" w:firstLineChars="400"/>
        <w:rPr>
          <w:rFonts w:hint="default"/>
          <w:lang w:val="en-US" w:eastAsia="zh-CN"/>
        </w:rPr>
      </w:pPr>
      <w:r>
        <w:rPr>
          <w:rFonts w:hint="default"/>
          <w:lang w:val="en-US" w:eastAsia="zh-CN"/>
        </w:rPr>
        <w:t>S——雨水进入截污箱涵的比例</w:t>
      </w:r>
      <w:r>
        <w:rPr>
          <w:rFonts w:hint="eastAsia"/>
          <w:lang w:val="en-US" w:eastAsia="zh-CN"/>
        </w:rPr>
        <w:t>。</w:t>
      </w:r>
    </w:p>
    <w:p w14:paraId="03760499">
      <w:pPr>
        <w:pStyle w:val="5"/>
        <w:bidi w:val="0"/>
        <w:rPr>
          <w:rFonts w:hint="default"/>
          <w:lang w:val="en-US" w:eastAsia="zh-CN"/>
        </w:rPr>
      </w:pPr>
      <w:r>
        <w:rPr>
          <w:rFonts w:hint="eastAsia"/>
          <w:lang w:val="en-US" w:eastAsia="zh-CN"/>
        </w:rPr>
        <w:t>石耶镇</w:t>
      </w:r>
      <w:r>
        <w:rPr>
          <w:rFonts w:hint="default"/>
          <w:lang w:val="en-US" w:eastAsia="zh-CN"/>
        </w:rPr>
        <w:t>属于亚热带季风气候区，流域多年平均降雨量</w:t>
      </w:r>
      <w:r>
        <w:rPr>
          <w:rFonts w:hint="default" w:ascii="Times New Roman" w:hAnsi="Times New Roman" w:cs="Times New Roman"/>
          <w:b w:val="0"/>
          <w:bCs w:val="0"/>
          <w:i w:val="0"/>
          <w:iCs w:val="0"/>
          <w:caps w:val="0"/>
          <w:color w:val="auto"/>
          <w:spacing w:val="0"/>
          <w:sz w:val="24"/>
          <w:szCs w:val="24"/>
          <w:shd w:val="clear" w:fill="FFFFFF"/>
          <w:lang w:val="en-US" w:eastAsia="zh-CN"/>
        </w:rPr>
        <w:t>1242.6</w:t>
      </w:r>
      <w:r>
        <w:rPr>
          <w:rFonts w:hint="default"/>
          <w:color w:val="auto"/>
          <w:lang w:val="en-US" w:eastAsia="zh-CN"/>
        </w:rPr>
        <w:t>mm。</w:t>
      </w:r>
      <w:r>
        <w:rPr>
          <w:rFonts w:hint="default"/>
          <w:lang w:val="en-US" w:eastAsia="zh-CN"/>
        </w:rPr>
        <w:t>计算结果如表</w:t>
      </w:r>
      <w:r>
        <w:rPr>
          <w:rFonts w:hint="eastAsia"/>
          <w:lang w:val="en-US" w:eastAsia="zh-CN"/>
        </w:rPr>
        <w:t>3.2-13</w:t>
      </w:r>
      <w:r>
        <w:rPr>
          <w:rFonts w:hint="default"/>
          <w:lang w:val="en-US" w:eastAsia="zh-CN"/>
        </w:rPr>
        <w:t>所示，</w:t>
      </w:r>
      <w:r>
        <w:rPr>
          <w:rFonts w:hint="eastAsia"/>
          <w:lang w:val="en-US" w:eastAsia="zh-CN"/>
        </w:rPr>
        <w:t>石耶镇</w:t>
      </w:r>
      <w:r>
        <w:rPr>
          <w:rFonts w:hint="default"/>
          <w:lang w:val="en-US" w:eastAsia="zh-CN"/>
        </w:rPr>
        <w:t>城镇地表径流的污染负荷为COD</w:t>
      </w:r>
      <w:r>
        <w:rPr>
          <w:rFonts w:hint="eastAsia"/>
          <w:lang w:val="en-US" w:eastAsia="zh-CN"/>
        </w:rPr>
        <w:t>：15.72</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：0.29</w:t>
      </w:r>
      <w:r>
        <w:rPr>
          <w:rFonts w:hint="default"/>
          <w:lang w:val="en-US" w:eastAsia="zh-CN"/>
        </w:rPr>
        <w:t>t/a、TP：</w:t>
      </w:r>
      <w:r>
        <w:rPr>
          <w:rFonts w:hint="eastAsia"/>
          <w:lang w:val="en-US" w:eastAsia="zh-CN"/>
        </w:rPr>
        <w:t>0.10</w:t>
      </w:r>
      <w:r>
        <w:rPr>
          <w:rFonts w:hint="default"/>
          <w:lang w:val="en-US" w:eastAsia="zh-CN"/>
        </w:rPr>
        <w:t>t/a。</w:t>
      </w:r>
    </w:p>
    <w:p w14:paraId="79C52C53">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3.2-13  石耶镇</w:t>
      </w:r>
      <w:r>
        <w:rPr>
          <w:rFonts w:hint="default"/>
          <w:color w:val="auto"/>
          <w:highlight w:val="none"/>
          <w:lang w:val="en-US" w:eastAsia="zh-CN"/>
        </w:rPr>
        <w:t>城镇地表径流污染负荷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0"/>
        <w:gridCol w:w="1352"/>
        <w:gridCol w:w="1771"/>
        <w:gridCol w:w="1540"/>
        <w:gridCol w:w="1540"/>
        <w:gridCol w:w="1550"/>
      </w:tblGrid>
      <w:tr w14:paraId="277169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760" w:type="dxa"/>
            <w:vMerge w:val="restart"/>
            <w:tcBorders>
              <w:tl2br w:val="nil"/>
              <w:tr2bl w:val="nil"/>
            </w:tcBorders>
            <w:shd w:val="clear" w:color="auto" w:fill="auto"/>
            <w:vAlign w:val="center"/>
          </w:tcPr>
          <w:p w14:paraId="2A59FD3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352" w:type="dxa"/>
            <w:vMerge w:val="restart"/>
            <w:tcBorders>
              <w:tl2br w:val="nil"/>
              <w:tr2bl w:val="nil"/>
            </w:tcBorders>
            <w:shd w:val="clear" w:color="auto" w:fill="auto"/>
            <w:vAlign w:val="center"/>
          </w:tcPr>
          <w:p w14:paraId="78B85CB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71" w:type="dxa"/>
            <w:vMerge w:val="restart"/>
            <w:tcBorders>
              <w:tl2br w:val="nil"/>
              <w:tr2bl w:val="nil"/>
            </w:tcBorders>
            <w:shd w:val="clear" w:color="auto" w:fill="auto"/>
            <w:vAlign w:val="center"/>
          </w:tcPr>
          <w:p w14:paraId="3B60F58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城镇面积（km</w:t>
            </w:r>
            <w:r>
              <w:rPr>
                <w:rFonts w:hint="default" w:ascii="Times New Roman" w:hAnsi="Times New Roman" w:eastAsia="宋体" w:cs="Times New Roman"/>
                <w:b w:val="0"/>
                <w:bCs/>
                <w:color w:val="auto"/>
                <w:sz w:val="21"/>
                <w:szCs w:val="21"/>
                <w:highlight w:val="none"/>
                <w:vertAlign w:val="superscript"/>
                <w:lang w:val="en-US" w:eastAsia="zh-CN"/>
              </w:rPr>
              <w:t>2</w:t>
            </w:r>
            <w:r>
              <w:rPr>
                <w:rFonts w:hint="default" w:ascii="Times New Roman" w:hAnsi="Times New Roman" w:eastAsia="宋体" w:cs="Times New Roman"/>
                <w:b w:val="0"/>
                <w:bCs/>
                <w:color w:val="auto"/>
                <w:sz w:val="21"/>
                <w:szCs w:val="21"/>
                <w:highlight w:val="none"/>
                <w:lang w:val="en-US" w:eastAsia="zh-CN"/>
              </w:rPr>
              <w:t>）</w:t>
            </w:r>
          </w:p>
        </w:tc>
        <w:tc>
          <w:tcPr>
            <w:tcW w:w="4630" w:type="dxa"/>
            <w:gridSpan w:val="3"/>
            <w:tcBorders>
              <w:tl2br w:val="nil"/>
              <w:tr2bl w:val="nil"/>
            </w:tcBorders>
            <w:shd w:val="clear" w:color="auto" w:fill="auto"/>
            <w:vAlign w:val="center"/>
          </w:tcPr>
          <w:p w14:paraId="4310CFD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7B5B1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760" w:type="dxa"/>
            <w:vMerge w:val="continue"/>
            <w:tcBorders>
              <w:tl2br w:val="nil"/>
              <w:tr2bl w:val="nil"/>
            </w:tcBorders>
            <w:shd w:val="clear" w:color="auto" w:fill="auto"/>
            <w:vAlign w:val="center"/>
          </w:tcPr>
          <w:p w14:paraId="18DBB3A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52" w:type="dxa"/>
            <w:vMerge w:val="continue"/>
            <w:tcBorders>
              <w:tl2br w:val="nil"/>
              <w:tr2bl w:val="nil"/>
            </w:tcBorders>
            <w:shd w:val="clear" w:color="auto" w:fill="auto"/>
            <w:vAlign w:val="center"/>
          </w:tcPr>
          <w:p w14:paraId="299A7ED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71" w:type="dxa"/>
            <w:vMerge w:val="continue"/>
            <w:tcBorders>
              <w:tl2br w:val="nil"/>
              <w:tr2bl w:val="nil"/>
            </w:tcBorders>
            <w:shd w:val="clear" w:color="auto" w:fill="auto"/>
            <w:vAlign w:val="center"/>
          </w:tcPr>
          <w:p w14:paraId="5652E9F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540" w:type="dxa"/>
            <w:tcBorders>
              <w:tl2br w:val="nil"/>
              <w:tr2bl w:val="nil"/>
            </w:tcBorders>
            <w:shd w:val="clear" w:color="auto" w:fill="auto"/>
            <w:vAlign w:val="center"/>
          </w:tcPr>
          <w:p w14:paraId="22683E5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540" w:type="dxa"/>
            <w:tcBorders>
              <w:tl2br w:val="nil"/>
              <w:tr2bl w:val="nil"/>
            </w:tcBorders>
            <w:shd w:val="clear" w:color="auto" w:fill="auto"/>
            <w:vAlign w:val="center"/>
          </w:tcPr>
          <w:p w14:paraId="7AF3572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550" w:type="dxa"/>
            <w:tcBorders>
              <w:tl2br w:val="nil"/>
              <w:tr2bl w:val="nil"/>
            </w:tcBorders>
            <w:shd w:val="clear" w:color="auto" w:fill="auto"/>
            <w:vAlign w:val="center"/>
          </w:tcPr>
          <w:p w14:paraId="1C8FF89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195EBE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760" w:type="dxa"/>
            <w:tcBorders>
              <w:tl2br w:val="nil"/>
              <w:tr2bl w:val="nil"/>
            </w:tcBorders>
            <w:shd w:val="clear" w:color="auto" w:fill="auto"/>
            <w:vAlign w:val="center"/>
          </w:tcPr>
          <w:p w14:paraId="74122CB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352" w:type="dxa"/>
            <w:tcBorders>
              <w:tl2br w:val="nil"/>
              <w:tr2bl w:val="nil"/>
            </w:tcBorders>
            <w:shd w:val="clear" w:color="auto" w:fill="auto"/>
            <w:vAlign w:val="center"/>
          </w:tcPr>
          <w:p w14:paraId="5D75F15E">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71" w:type="dxa"/>
            <w:tcBorders>
              <w:tl2br w:val="nil"/>
              <w:tr2bl w:val="nil"/>
            </w:tcBorders>
            <w:shd w:val="clear" w:color="auto" w:fill="auto"/>
            <w:vAlign w:val="center"/>
          </w:tcPr>
          <w:p w14:paraId="78C07EFC">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0.62</w:t>
            </w:r>
          </w:p>
        </w:tc>
        <w:tc>
          <w:tcPr>
            <w:tcW w:w="1540" w:type="dxa"/>
            <w:tcBorders>
              <w:tl2br w:val="nil"/>
              <w:tr2bl w:val="nil"/>
            </w:tcBorders>
            <w:shd w:val="clear" w:color="auto" w:fill="auto"/>
            <w:vAlign w:val="center"/>
          </w:tcPr>
          <w:p w14:paraId="66FED045">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540" w:type="dxa"/>
            <w:tcBorders>
              <w:tl2br w:val="nil"/>
              <w:tr2bl w:val="nil"/>
            </w:tcBorders>
            <w:shd w:val="clear" w:color="auto" w:fill="auto"/>
            <w:vAlign w:val="center"/>
          </w:tcPr>
          <w:p w14:paraId="6A1CD4CF">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0.29 </w:t>
            </w:r>
          </w:p>
        </w:tc>
        <w:tc>
          <w:tcPr>
            <w:tcW w:w="1550" w:type="dxa"/>
            <w:tcBorders>
              <w:tl2br w:val="nil"/>
              <w:tr2bl w:val="nil"/>
            </w:tcBorders>
            <w:shd w:val="clear" w:color="auto" w:fill="auto"/>
            <w:vAlign w:val="center"/>
          </w:tcPr>
          <w:p w14:paraId="4E3B3CDB">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0.10 </w:t>
            </w:r>
          </w:p>
        </w:tc>
      </w:tr>
    </w:tbl>
    <w:p w14:paraId="0663D91E">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农村生活污水污染</w:t>
      </w:r>
    </w:p>
    <w:p w14:paraId="180BB03C">
      <w:pPr>
        <w:pStyle w:val="5"/>
        <w:bidi w:val="0"/>
        <w:rPr>
          <w:rFonts w:hint="default"/>
          <w:lang w:val="en-US" w:eastAsia="zh-CN"/>
        </w:rPr>
      </w:pPr>
      <w:r>
        <w:rPr>
          <w:rFonts w:hint="default"/>
          <w:lang w:val="en-US" w:eastAsia="zh-CN"/>
        </w:rPr>
        <w:t>农村生活污水一般来源于以下三方面：一是厨房污水，多以洗碗水、刷锅水、淘米水、洗菜水组成。淘米洗菜水肿含有米糠菜屑等有机物，其他污水中含有大量的动植物脂肪和钠、醋酸、氯、碘等多种元素；二是生活洗涤污水，洗涤用品含有大量</w:t>
      </w:r>
      <w:r>
        <w:rPr>
          <w:rFonts w:hint="eastAsia"/>
          <w:lang w:val="en-US" w:eastAsia="zh-CN"/>
        </w:rPr>
        <w:t>化学</w:t>
      </w:r>
      <w:r>
        <w:rPr>
          <w:rFonts w:hint="default"/>
          <w:lang w:val="en-US" w:eastAsia="zh-CN"/>
        </w:rPr>
        <w:t>成分，三是冲厕水。</w:t>
      </w:r>
    </w:p>
    <w:p w14:paraId="1EAA0004">
      <w:pPr>
        <w:pStyle w:val="5"/>
        <w:bidi w:val="0"/>
        <w:rPr>
          <w:rFonts w:hint="default"/>
          <w:lang w:val="en-US" w:eastAsia="zh-CN"/>
        </w:rPr>
      </w:pPr>
      <w:r>
        <w:rPr>
          <w:rFonts w:hint="default"/>
          <w:lang w:val="en-US" w:eastAsia="zh-CN"/>
        </w:rPr>
        <w:t>根据调查，</w:t>
      </w:r>
      <w:r>
        <w:rPr>
          <w:rFonts w:hint="eastAsia"/>
          <w:lang w:val="en-US" w:eastAsia="zh-CN"/>
        </w:rPr>
        <w:t>石耶镇辖区内</w:t>
      </w:r>
      <w:r>
        <w:rPr>
          <w:rFonts w:hint="default"/>
          <w:lang w:val="en-US" w:eastAsia="zh-CN"/>
        </w:rPr>
        <w:t>农村生活污水一部分还田利用或就地排放，相对缺乏污水处理设施，流域农村人口总数</w:t>
      </w:r>
      <w:r>
        <w:rPr>
          <w:rFonts w:hint="eastAsia" w:cstheme="minorBidi"/>
          <w:color w:val="auto"/>
          <w:kern w:val="2"/>
          <w:sz w:val="24"/>
          <w:szCs w:val="24"/>
          <w:lang w:val="en-US" w:eastAsia="zh-CN" w:bidi="ar-SA"/>
        </w:rPr>
        <w:t>5480</w:t>
      </w:r>
      <w:r>
        <w:rPr>
          <w:rFonts w:hint="default"/>
          <w:lang w:val="en-US" w:eastAsia="zh-CN"/>
        </w:rPr>
        <w:t>人。</w:t>
      </w:r>
    </w:p>
    <w:p w14:paraId="4D54BE5F">
      <w:pPr>
        <w:pStyle w:val="5"/>
        <w:bidi w:val="0"/>
        <w:rPr>
          <w:rFonts w:hint="default"/>
          <w:lang w:val="en-US" w:eastAsia="zh-CN"/>
        </w:rPr>
      </w:pPr>
      <w:r>
        <w:rPr>
          <w:rFonts w:hint="default"/>
          <w:lang w:val="en-US" w:eastAsia="zh-CN"/>
        </w:rPr>
        <w:t>因此本方案采用以下公式进行测算：</w:t>
      </w:r>
    </w:p>
    <w:p w14:paraId="65D43481">
      <w:pPr>
        <w:pStyle w:val="5"/>
        <w:bidi w:val="0"/>
        <w:ind w:left="0" w:leftChars="0" w:firstLine="0" w:firstLineChars="0"/>
        <w:jc w:val="center"/>
        <w:rPr>
          <w:rFonts w:hint="default"/>
          <w:lang w:val="en-US" w:eastAsia="zh-CN"/>
        </w:rPr>
      </w:pPr>
      <w:r>
        <w:rPr>
          <w:rFonts w:hint="default"/>
          <w:lang w:val="en-US" w:eastAsia="zh-CN"/>
        </w:rPr>
        <w:t>W=P×Q×S×C×D×10-5</w:t>
      </w:r>
    </w:p>
    <w:p w14:paraId="526B1D9A">
      <w:pPr>
        <w:pStyle w:val="5"/>
        <w:bidi w:val="0"/>
        <w:rPr>
          <w:rFonts w:hint="default"/>
          <w:lang w:val="en-US" w:eastAsia="zh-CN"/>
        </w:rPr>
      </w:pPr>
    </w:p>
    <w:p w14:paraId="2B1EBE58">
      <w:pPr>
        <w:pStyle w:val="5"/>
        <w:bidi w:val="0"/>
        <w:rPr>
          <w:rFonts w:hint="default"/>
          <w:lang w:val="en-US" w:eastAsia="zh-CN"/>
        </w:rPr>
      </w:pPr>
      <w:r>
        <w:rPr>
          <w:rFonts w:hint="default"/>
          <w:lang w:val="en-US" w:eastAsia="zh-CN"/>
        </w:rPr>
        <w:t>式中：</w:t>
      </w:r>
    </w:p>
    <w:p w14:paraId="654A4DD6">
      <w:pPr>
        <w:pStyle w:val="5"/>
        <w:bidi w:val="0"/>
        <w:ind w:firstLine="968" w:firstLineChars="400"/>
        <w:rPr>
          <w:rFonts w:hint="default"/>
          <w:lang w:val="en-US" w:eastAsia="zh-CN"/>
        </w:rPr>
      </w:pPr>
      <w:r>
        <w:rPr>
          <w:rFonts w:hint="default"/>
          <w:lang w:val="en-US" w:eastAsia="zh-CN"/>
        </w:rPr>
        <w:t>W——直排的农村生活污水污染负荷，t/a；</w:t>
      </w:r>
    </w:p>
    <w:p w14:paraId="382F78DE">
      <w:pPr>
        <w:pStyle w:val="5"/>
        <w:bidi w:val="0"/>
        <w:ind w:firstLine="968" w:firstLineChars="400"/>
        <w:rPr>
          <w:rFonts w:hint="default"/>
          <w:lang w:val="en-US" w:eastAsia="zh-CN"/>
        </w:rPr>
      </w:pPr>
      <w:r>
        <w:rPr>
          <w:rFonts w:hint="default"/>
          <w:lang w:val="en-US" w:eastAsia="zh-CN"/>
        </w:rPr>
        <w:t>P——农村人口数，万人；</w:t>
      </w:r>
    </w:p>
    <w:p w14:paraId="1239F2ED">
      <w:pPr>
        <w:pStyle w:val="5"/>
        <w:bidi w:val="0"/>
        <w:ind w:firstLine="968" w:firstLineChars="400"/>
        <w:rPr>
          <w:rFonts w:hint="default"/>
          <w:lang w:val="en-US" w:eastAsia="zh-CN"/>
        </w:rPr>
      </w:pPr>
      <w:r>
        <w:rPr>
          <w:rFonts w:hint="default"/>
          <w:lang w:val="en-US" w:eastAsia="zh-CN"/>
        </w:rPr>
        <w:t>Q——每日农村生活污水单位排放量，参照《重庆市农村环境连片整治示范项目技术指南》以及《次级河流污染综合整治实施方案编制指南》相关规定，农村居民用水量按95L/人</w:t>
      </w:r>
      <w:r>
        <w:rPr>
          <w:rFonts w:hint="eastAsia"/>
          <w:lang w:val="en-US" w:eastAsia="zh-CN"/>
        </w:rPr>
        <w:t>·</w:t>
      </w:r>
      <w:r>
        <w:rPr>
          <w:rFonts w:hint="default"/>
          <w:lang w:val="en-US" w:eastAsia="zh-CN"/>
        </w:rPr>
        <w:t>天计，排污系数为0.7；</w:t>
      </w:r>
    </w:p>
    <w:p w14:paraId="3408D12B">
      <w:pPr>
        <w:pStyle w:val="5"/>
        <w:bidi w:val="0"/>
        <w:ind w:firstLine="968" w:firstLineChars="400"/>
        <w:rPr>
          <w:rFonts w:hint="default"/>
          <w:lang w:val="en-US" w:eastAsia="zh-CN"/>
        </w:rPr>
      </w:pPr>
      <w:r>
        <w:rPr>
          <w:rFonts w:hint="default"/>
          <w:lang w:val="en-US" w:eastAsia="zh-CN"/>
        </w:rPr>
        <w:t>C——农村生活污水中污染物浓度，考虑COD浓度为300mg/L、NH</w:t>
      </w:r>
      <w:r>
        <w:rPr>
          <w:rFonts w:hint="default"/>
          <w:vertAlign w:val="subscript"/>
          <w:lang w:val="en-US" w:eastAsia="zh-CN"/>
        </w:rPr>
        <w:t>3</w:t>
      </w:r>
      <w:r>
        <w:rPr>
          <w:rFonts w:hint="default"/>
          <w:lang w:val="en-US" w:eastAsia="zh-CN"/>
        </w:rPr>
        <w:t>-N浓度为24.5mg/L、TP浓度为3.5mg/L；</w:t>
      </w:r>
    </w:p>
    <w:p w14:paraId="55DD52AF">
      <w:pPr>
        <w:pStyle w:val="5"/>
        <w:bidi w:val="0"/>
        <w:ind w:firstLine="968" w:firstLineChars="400"/>
        <w:rPr>
          <w:rFonts w:hint="default"/>
          <w:lang w:val="en-US" w:eastAsia="zh-CN"/>
        </w:rPr>
      </w:pPr>
      <w:r>
        <w:rPr>
          <w:rFonts w:hint="default"/>
          <w:lang w:val="en-US" w:eastAsia="zh-CN"/>
        </w:rPr>
        <w:t>S——农村生活污水入河系数，取0.</w:t>
      </w:r>
      <w:r>
        <w:rPr>
          <w:rFonts w:hint="eastAsia"/>
          <w:lang w:val="en-US" w:eastAsia="zh-CN"/>
        </w:rPr>
        <w:t>2</w:t>
      </w:r>
      <w:r>
        <w:rPr>
          <w:rFonts w:hint="default"/>
          <w:lang w:val="en-US" w:eastAsia="zh-CN"/>
        </w:rPr>
        <w:t>；</w:t>
      </w:r>
    </w:p>
    <w:p w14:paraId="1E2954B0">
      <w:pPr>
        <w:pStyle w:val="5"/>
        <w:bidi w:val="0"/>
        <w:ind w:firstLine="968" w:firstLineChars="400"/>
        <w:rPr>
          <w:rFonts w:hint="eastAsia"/>
          <w:lang w:val="en-US" w:eastAsia="zh-CN"/>
        </w:rPr>
      </w:pPr>
      <w:r>
        <w:rPr>
          <w:rFonts w:hint="default"/>
          <w:lang w:val="en-US" w:eastAsia="zh-CN"/>
        </w:rPr>
        <w:t>D——天数，年度核算为全年天数，取365天</w:t>
      </w:r>
      <w:r>
        <w:rPr>
          <w:rFonts w:hint="eastAsia"/>
          <w:lang w:val="en-US" w:eastAsia="zh-CN"/>
        </w:rPr>
        <w:t>。</w:t>
      </w:r>
    </w:p>
    <w:p w14:paraId="2E82A85F">
      <w:pPr>
        <w:pStyle w:val="5"/>
        <w:bidi w:val="0"/>
        <w:rPr>
          <w:rFonts w:hint="default"/>
          <w:color w:val="auto"/>
          <w:sz w:val="24"/>
          <w:szCs w:val="24"/>
          <w:highlight w:val="none"/>
          <w:lang w:val="en-US" w:eastAsia="zh-CN"/>
        </w:rPr>
      </w:pPr>
      <w:r>
        <w:rPr>
          <w:rFonts w:hint="eastAsia"/>
          <w:lang w:val="en-US" w:eastAsia="zh-CN"/>
        </w:rPr>
        <w:t>根据计算结果</w:t>
      </w:r>
      <w:r>
        <w:rPr>
          <w:rFonts w:hint="default"/>
          <w:lang w:val="en-US" w:eastAsia="zh-CN"/>
        </w:rPr>
        <w:t>，</w:t>
      </w:r>
      <w:r>
        <w:rPr>
          <w:rFonts w:hint="eastAsia"/>
          <w:lang w:val="en-US" w:eastAsia="zh-CN"/>
        </w:rPr>
        <w:t>石耶镇辖区</w:t>
      </w:r>
      <w:r>
        <w:rPr>
          <w:rFonts w:hint="default"/>
          <w:lang w:val="en-US" w:eastAsia="zh-CN"/>
        </w:rPr>
        <w:t>内农村生活污水产生量</w:t>
      </w:r>
      <w:r>
        <w:rPr>
          <w:rFonts w:hint="eastAsia" w:cstheme="minorBidi"/>
          <w:color w:val="auto"/>
          <w:kern w:val="2"/>
          <w:sz w:val="24"/>
          <w:szCs w:val="24"/>
          <w:lang w:val="en-US" w:eastAsia="zh-CN" w:bidi="ar-SA"/>
        </w:rPr>
        <w:t>2.66</w:t>
      </w:r>
      <w:r>
        <w:rPr>
          <w:rFonts w:hint="default" w:cstheme="minorBidi"/>
          <w:color w:val="auto"/>
          <w:kern w:val="2"/>
          <w:sz w:val="24"/>
          <w:szCs w:val="24"/>
          <w:lang w:val="en-US" w:eastAsia="zh-CN" w:bidi="ar-SA"/>
        </w:rPr>
        <w:t xml:space="preserve"> </w:t>
      </w:r>
      <w:r>
        <w:rPr>
          <w:rFonts w:hint="default"/>
          <w:sz w:val="24"/>
          <w:szCs w:val="24"/>
          <w:lang w:val="en-US" w:eastAsia="zh-CN"/>
        </w:rPr>
        <w:t>万m</w:t>
      </w:r>
      <w:r>
        <w:rPr>
          <w:rFonts w:hint="default"/>
          <w:sz w:val="24"/>
          <w:szCs w:val="24"/>
          <w:vertAlign w:val="superscript"/>
          <w:lang w:val="en-US" w:eastAsia="zh-CN"/>
        </w:rPr>
        <w:t>3</w:t>
      </w:r>
      <w:r>
        <w:rPr>
          <w:rFonts w:hint="default"/>
          <w:sz w:val="24"/>
          <w:szCs w:val="24"/>
          <w:lang w:val="en-US" w:eastAsia="zh-CN"/>
        </w:rPr>
        <w:t>/a；产生的污染负荷COD</w:t>
      </w:r>
      <w:r>
        <w:rPr>
          <w:rFonts w:hint="eastAsia"/>
          <w:sz w:val="24"/>
          <w:szCs w:val="24"/>
          <w:lang w:val="en-US" w:eastAsia="zh-CN"/>
        </w:rPr>
        <w:t>：</w:t>
      </w:r>
      <w:r>
        <w:rPr>
          <w:rFonts w:hint="eastAsia" w:cstheme="minorBidi"/>
          <w:color w:val="auto"/>
          <w:kern w:val="2"/>
          <w:sz w:val="24"/>
          <w:szCs w:val="24"/>
          <w:lang w:val="en-US" w:eastAsia="zh-CN" w:bidi="ar-SA"/>
        </w:rPr>
        <w:t>7.98</w:t>
      </w:r>
      <w:r>
        <w:rPr>
          <w:rFonts w:hint="default" w:cstheme="minorBidi"/>
          <w:color w:val="auto"/>
          <w:kern w:val="2"/>
          <w:sz w:val="24"/>
          <w:szCs w:val="24"/>
          <w:lang w:val="en-US" w:eastAsia="zh-CN" w:bidi="ar-SA"/>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heme="minorBidi"/>
          <w:color w:val="auto"/>
          <w:kern w:val="2"/>
          <w:sz w:val="24"/>
          <w:szCs w:val="24"/>
          <w:lang w:val="en-US" w:eastAsia="zh-CN" w:bidi="ar-SA"/>
        </w:rPr>
        <w:t>0.65</w:t>
      </w:r>
      <w:r>
        <w:rPr>
          <w:rFonts w:hint="default" w:cstheme="minorBidi"/>
          <w:color w:val="auto"/>
          <w:kern w:val="2"/>
          <w:sz w:val="24"/>
          <w:szCs w:val="24"/>
          <w:lang w:val="en-US" w:eastAsia="zh-CN" w:bidi="ar-SA"/>
        </w:rPr>
        <w:t xml:space="preserve"> </w:t>
      </w:r>
      <w:r>
        <w:rPr>
          <w:rFonts w:hint="default"/>
          <w:sz w:val="24"/>
          <w:szCs w:val="24"/>
          <w:lang w:val="en-US" w:eastAsia="zh-CN"/>
        </w:rPr>
        <w:t>t/a，TP</w:t>
      </w:r>
      <w:r>
        <w:rPr>
          <w:rFonts w:hint="eastAsia"/>
          <w:sz w:val="24"/>
          <w:szCs w:val="24"/>
          <w:lang w:val="en-US" w:eastAsia="zh-CN"/>
        </w:rPr>
        <w:t>：</w:t>
      </w:r>
      <w:r>
        <w:rPr>
          <w:rFonts w:hint="default" w:cstheme="minorBidi"/>
          <w:color w:val="auto"/>
          <w:kern w:val="2"/>
          <w:sz w:val="24"/>
          <w:szCs w:val="24"/>
          <w:lang w:val="en-US" w:eastAsia="zh-CN" w:bidi="ar-SA"/>
        </w:rPr>
        <w:t>0.</w:t>
      </w:r>
      <w:r>
        <w:rPr>
          <w:rFonts w:hint="eastAsia" w:cstheme="minorBidi"/>
          <w:color w:val="auto"/>
          <w:kern w:val="2"/>
          <w:sz w:val="24"/>
          <w:szCs w:val="24"/>
          <w:lang w:val="en-US" w:eastAsia="zh-CN" w:bidi="ar-SA"/>
        </w:rPr>
        <w:t>09</w:t>
      </w:r>
      <w:r>
        <w:rPr>
          <w:rFonts w:hint="default" w:cstheme="minorBidi"/>
          <w:color w:val="auto"/>
          <w:kern w:val="2"/>
          <w:sz w:val="24"/>
          <w:szCs w:val="24"/>
          <w:lang w:val="en-US" w:eastAsia="zh-CN" w:bidi="ar-SA"/>
        </w:rPr>
        <w:t xml:space="preserve"> </w:t>
      </w:r>
      <w:r>
        <w:rPr>
          <w:rFonts w:hint="default"/>
          <w:sz w:val="24"/>
          <w:szCs w:val="24"/>
          <w:lang w:val="en-US" w:eastAsia="zh-CN"/>
        </w:rPr>
        <w:t>t/a。</w:t>
      </w:r>
    </w:p>
    <w:p w14:paraId="58446055">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3.2-14  石耶镇</w:t>
      </w:r>
      <w:r>
        <w:rPr>
          <w:rFonts w:hint="default"/>
          <w:color w:val="auto"/>
          <w:highlight w:val="none"/>
          <w:lang w:val="en-US" w:eastAsia="zh-CN"/>
        </w:rPr>
        <w:t>农村生活污水污染负荷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67"/>
        <w:gridCol w:w="1231"/>
        <w:gridCol w:w="1172"/>
        <w:gridCol w:w="1427"/>
        <w:gridCol w:w="1269"/>
        <w:gridCol w:w="1269"/>
        <w:gridCol w:w="1278"/>
      </w:tblGrid>
      <w:tr w14:paraId="402176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67" w:type="dxa"/>
            <w:vMerge w:val="restart"/>
            <w:tcBorders>
              <w:tl2br w:val="nil"/>
              <w:tr2bl w:val="nil"/>
            </w:tcBorders>
            <w:shd w:val="clear" w:color="auto" w:fill="auto"/>
            <w:vAlign w:val="center"/>
          </w:tcPr>
          <w:p w14:paraId="4AD1762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31" w:type="dxa"/>
            <w:vMerge w:val="restart"/>
            <w:tcBorders>
              <w:tl2br w:val="nil"/>
              <w:tr2bl w:val="nil"/>
            </w:tcBorders>
            <w:shd w:val="clear" w:color="auto" w:fill="auto"/>
            <w:vAlign w:val="center"/>
          </w:tcPr>
          <w:p w14:paraId="72D4270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172" w:type="dxa"/>
            <w:vMerge w:val="restart"/>
            <w:tcBorders>
              <w:tl2br w:val="nil"/>
              <w:tr2bl w:val="nil"/>
            </w:tcBorders>
            <w:shd w:val="clear" w:color="auto" w:fill="auto"/>
            <w:vAlign w:val="center"/>
          </w:tcPr>
          <w:p w14:paraId="615B760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农村人口（人）</w:t>
            </w:r>
          </w:p>
        </w:tc>
        <w:tc>
          <w:tcPr>
            <w:tcW w:w="1427" w:type="dxa"/>
            <w:vMerge w:val="restart"/>
            <w:tcBorders>
              <w:tl2br w:val="nil"/>
              <w:tr2bl w:val="nil"/>
            </w:tcBorders>
            <w:shd w:val="clear" w:color="auto" w:fill="auto"/>
            <w:vAlign w:val="center"/>
          </w:tcPr>
          <w:p w14:paraId="2DA4BD4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污水入河量（万m</w:t>
            </w:r>
            <w:r>
              <w:rPr>
                <w:rFonts w:hint="default" w:ascii="Times New Roman" w:hAnsi="Times New Roman" w:eastAsia="宋体" w:cs="Times New Roman"/>
                <w:b w:val="0"/>
                <w:bCs/>
                <w:color w:val="auto"/>
                <w:sz w:val="21"/>
                <w:szCs w:val="21"/>
                <w:highlight w:val="none"/>
                <w:vertAlign w:val="superscript"/>
                <w:lang w:val="en-US" w:eastAsia="zh-CN"/>
              </w:rPr>
              <w:t>3</w:t>
            </w:r>
            <w:r>
              <w:rPr>
                <w:rFonts w:hint="default" w:ascii="Times New Roman" w:hAnsi="Times New Roman" w:eastAsia="宋体" w:cs="Times New Roman"/>
                <w:b w:val="0"/>
                <w:bCs/>
                <w:color w:val="auto"/>
                <w:sz w:val="21"/>
                <w:szCs w:val="21"/>
                <w:highlight w:val="none"/>
                <w:lang w:val="en-US" w:eastAsia="zh-CN"/>
              </w:rPr>
              <w:t>/a）</w:t>
            </w:r>
          </w:p>
        </w:tc>
        <w:tc>
          <w:tcPr>
            <w:tcW w:w="3816" w:type="dxa"/>
            <w:gridSpan w:val="3"/>
            <w:tcBorders>
              <w:tl2br w:val="nil"/>
              <w:tr2bl w:val="nil"/>
            </w:tcBorders>
            <w:shd w:val="clear" w:color="auto" w:fill="auto"/>
            <w:vAlign w:val="center"/>
          </w:tcPr>
          <w:p w14:paraId="37D9A29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57F8F7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dxa"/>
            <w:vMerge w:val="continue"/>
            <w:tcBorders>
              <w:tl2br w:val="nil"/>
              <w:tr2bl w:val="nil"/>
            </w:tcBorders>
            <w:shd w:val="clear" w:color="auto" w:fill="auto"/>
            <w:vAlign w:val="center"/>
          </w:tcPr>
          <w:p w14:paraId="6F1CBF4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31" w:type="dxa"/>
            <w:vMerge w:val="continue"/>
            <w:tcBorders>
              <w:tl2br w:val="nil"/>
              <w:tr2bl w:val="nil"/>
            </w:tcBorders>
            <w:shd w:val="clear" w:color="auto" w:fill="auto"/>
            <w:vAlign w:val="center"/>
          </w:tcPr>
          <w:p w14:paraId="7BE27F2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172" w:type="dxa"/>
            <w:vMerge w:val="continue"/>
            <w:tcBorders>
              <w:tl2br w:val="nil"/>
              <w:tr2bl w:val="nil"/>
            </w:tcBorders>
            <w:shd w:val="clear" w:color="auto" w:fill="auto"/>
            <w:vAlign w:val="center"/>
          </w:tcPr>
          <w:p w14:paraId="527F6F2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427" w:type="dxa"/>
            <w:vMerge w:val="continue"/>
            <w:tcBorders>
              <w:tl2br w:val="nil"/>
              <w:tr2bl w:val="nil"/>
            </w:tcBorders>
            <w:shd w:val="clear" w:color="auto" w:fill="auto"/>
            <w:vAlign w:val="center"/>
          </w:tcPr>
          <w:p w14:paraId="2DD60B7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269" w:type="dxa"/>
            <w:tcBorders>
              <w:tl2br w:val="nil"/>
              <w:tr2bl w:val="nil"/>
            </w:tcBorders>
            <w:shd w:val="clear" w:color="auto" w:fill="auto"/>
            <w:vAlign w:val="center"/>
          </w:tcPr>
          <w:p w14:paraId="04D932E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269" w:type="dxa"/>
            <w:tcBorders>
              <w:tl2br w:val="nil"/>
              <w:tr2bl w:val="nil"/>
            </w:tcBorders>
            <w:shd w:val="clear" w:color="auto" w:fill="auto"/>
            <w:vAlign w:val="center"/>
          </w:tcPr>
          <w:p w14:paraId="041D206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278" w:type="dxa"/>
            <w:tcBorders>
              <w:tl2br w:val="nil"/>
              <w:tr2bl w:val="nil"/>
            </w:tcBorders>
            <w:shd w:val="clear" w:color="auto" w:fill="auto"/>
            <w:vAlign w:val="center"/>
          </w:tcPr>
          <w:p w14:paraId="69B77CD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2FB3C5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67" w:type="dxa"/>
            <w:tcBorders>
              <w:tl2br w:val="nil"/>
              <w:tr2bl w:val="nil"/>
            </w:tcBorders>
            <w:shd w:val="clear" w:color="auto" w:fill="auto"/>
            <w:vAlign w:val="center"/>
          </w:tcPr>
          <w:p w14:paraId="5BB7CAB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31" w:type="dxa"/>
            <w:tcBorders>
              <w:tl2br w:val="nil"/>
              <w:tr2bl w:val="nil"/>
            </w:tcBorders>
            <w:shd w:val="clear" w:color="auto" w:fill="auto"/>
            <w:vAlign w:val="center"/>
          </w:tcPr>
          <w:p w14:paraId="489D118C">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172" w:type="dxa"/>
            <w:tcBorders>
              <w:tl2br w:val="nil"/>
              <w:tr2bl w:val="nil"/>
            </w:tcBorders>
            <w:shd w:val="clear" w:color="auto" w:fill="auto"/>
            <w:vAlign w:val="center"/>
          </w:tcPr>
          <w:p w14:paraId="1F47FC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eastAsia" w:cstheme="minorBidi"/>
                <w:color w:val="auto"/>
                <w:kern w:val="2"/>
                <w:sz w:val="21"/>
                <w:szCs w:val="24"/>
                <w:lang w:val="en-US" w:eastAsia="zh-CN" w:bidi="ar-SA"/>
              </w:rPr>
              <w:t>5480</w:t>
            </w:r>
          </w:p>
        </w:tc>
        <w:tc>
          <w:tcPr>
            <w:tcW w:w="1427" w:type="dxa"/>
            <w:tcBorders>
              <w:tl2br w:val="nil"/>
              <w:tr2bl w:val="nil"/>
            </w:tcBorders>
            <w:shd w:val="clear" w:color="auto" w:fill="auto"/>
            <w:vAlign w:val="center"/>
          </w:tcPr>
          <w:p w14:paraId="08AF21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2.66 </w:t>
            </w:r>
          </w:p>
        </w:tc>
        <w:tc>
          <w:tcPr>
            <w:tcW w:w="1269" w:type="dxa"/>
            <w:tcBorders>
              <w:tl2br w:val="nil"/>
              <w:tr2bl w:val="nil"/>
            </w:tcBorders>
            <w:shd w:val="clear" w:color="auto" w:fill="auto"/>
            <w:vAlign w:val="center"/>
          </w:tcPr>
          <w:p w14:paraId="6748DC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269" w:type="dxa"/>
            <w:tcBorders>
              <w:tl2br w:val="nil"/>
              <w:tr2bl w:val="nil"/>
            </w:tcBorders>
            <w:shd w:val="clear" w:color="auto" w:fill="auto"/>
            <w:vAlign w:val="center"/>
          </w:tcPr>
          <w:p w14:paraId="16057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0.65 </w:t>
            </w:r>
          </w:p>
        </w:tc>
        <w:tc>
          <w:tcPr>
            <w:tcW w:w="1278" w:type="dxa"/>
            <w:tcBorders>
              <w:tl2br w:val="nil"/>
              <w:tr2bl w:val="nil"/>
            </w:tcBorders>
            <w:shd w:val="clear" w:color="auto" w:fill="auto"/>
            <w:vAlign w:val="center"/>
          </w:tcPr>
          <w:p w14:paraId="20AEAA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0.09 </w:t>
            </w:r>
          </w:p>
        </w:tc>
      </w:tr>
    </w:tbl>
    <w:p w14:paraId="15600536">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农业种植面源污染</w:t>
      </w:r>
    </w:p>
    <w:p w14:paraId="7CAA6863">
      <w:pPr>
        <w:pStyle w:val="5"/>
        <w:bidi w:val="0"/>
        <w:rPr>
          <w:rFonts w:hint="default"/>
          <w:lang w:val="en-US" w:eastAsia="zh-CN"/>
        </w:rPr>
      </w:pPr>
      <w:r>
        <w:rPr>
          <w:rFonts w:hint="default"/>
          <w:lang w:val="en-US" w:eastAsia="zh-CN"/>
        </w:rPr>
        <w:t>因种植业的化肥、农药等要素的施用以及养殖业畜禽粪便的排放超过了农田的养分负荷，出现了氮、磷、钾等养分的过剩，这些遗留在土壤中的过剩养分在雨水等作用下进入水体，从而产生了地表水的污染。</w:t>
      </w:r>
    </w:p>
    <w:p w14:paraId="3C622E05">
      <w:pPr>
        <w:pStyle w:val="5"/>
        <w:bidi w:val="0"/>
        <w:rPr>
          <w:rFonts w:hint="default"/>
          <w:lang w:val="en-US" w:eastAsia="zh-CN"/>
        </w:rPr>
      </w:pPr>
      <w:r>
        <w:rPr>
          <w:rFonts w:hint="eastAsia"/>
          <w:lang w:val="en-US" w:eastAsia="zh-CN"/>
        </w:rPr>
        <w:t>石耶镇辖区</w:t>
      </w:r>
      <w:r>
        <w:rPr>
          <w:rFonts w:hint="default"/>
          <w:lang w:val="en-US" w:eastAsia="zh-CN"/>
        </w:rPr>
        <w:t>内</w:t>
      </w:r>
      <w:r>
        <w:rPr>
          <w:rFonts w:hint="eastAsia"/>
          <w:lang w:val="en-US" w:eastAsia="zh-CN"/>
        </w:rPr>
        <w:t>现有</w:t>
      </w:r>
      <w:r>
        <w:rPr>
          <w:rFonts w:hint="default"/>
          <w:lang w:val="en-US" w:eastAsia="zh-CN"/>
        </w:rPr>
        <w:t>耕地面积</w:t>
      </w:r>
      <w:r>
        <w:rPr>
          <w:rFonts w:hint="eastAsia"/>
          <w:sz w:val="24"/>
          <w:szCs w:val="24"/>
          <w:lang w:val="en-US" w:eastAsia="zh-CN"/>
        </w:rPr>
        <w:t>约</w:t>
      </w:r>
      <w:r>
        <w:rPr>
          <w:rFonts w:hint="eastAsia" w:cs="Times New Roman"/>
          <w:b w:val="0"/>
          <w:bCs/>
          <w:color w:val="auto"/>
          <w:sz w:val="24"/>
          <w:szCs w:val="24"/>
          <w:lang w:val="en-US" w:eastAsia="zh-CN"/>
        </w:rPr>
        <w:t>15132.1</w:t>
      </w:r>
      <w:r>
        <w:rPr>
          <w:rFonts w:hint="default"/>
          <w:lang w:val="en-US" w:eastAsia="zh-CN"/>
        </w:rPr>
        <w:t>亩，以种植水稻、玉米、红薯、蔬菜为主。</w:t>
      </w:r>
    </w:p>
    <w:p w14:paraId="6342554F">
      <w:pPr>
        <w:pStyle w:val="5"/>
        <w:bidi w:val="0"/>
        <w:rPr>
          <w:rFonts w:hint="default"/>
          <w:lang w:val="en-US" w:eastAsia="zh-CN"/>
        </w:rPr>
      </w:pPr>
      <w:r>
        <w:rPr>
          <w:rFonts w:hint="default"/>
          <w:lang w:val="en-US" w:eastAsia="zh-CN"/>
        </w:rPr>
        <w:t>农田污染物入河量按以下方法计算</w:t>
      </w:r>
      <w:r>
        <w:rPr>
          <w:rFonts w:hint="eastAsia"/>
          <w:lang w:val="en-US" w:eastAsia="zh-CN"/>
        </w:rPr>
        <w:t>：</w:t>
      </w:r>
      <w:r>
        <w:rPr>
          <w:rFonts w:hint="default"/>
          <w:lang w:val="en-US" w:eastAsia="zh-CN"/>
        </w:rPr>
        <w:t></w:t>
      </w:r>
    </w:p>
    <w:p w14:paraId="3D7146E3">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=W</w:t>
      </w:r>
      <w:r>
        <w:rPr>
          <w:rFonts w:hint="default" w:ascii="Times New Roman" w:hAnsi="Times New Roman" w:cs="Times New Roman"/>
          <w:vertAlign w:val="subscript"/>
          <w:lang w:val="en-US" w:eastAsia="zh-CN"/>
        </w:rPr>
        <w:t>农</w:t>
      </w:r>
      <w:r>
        <w:rPr>
          <w:rFonts w:hint="default"/>
          <w:lang w:val="en-US" w:eastAsia="zh-CN"/>
        </w:rPr>
        <w:t>p×β</w:t>
      </w:r>
    </w:p>
    <w:p w14:paraId="40E5D66A">
      <w:pPr>
        <w:pStyle w:val="5"/>
        <w:bidi w:val="0"/>
        <w:ind w:left="0" w:leftChars="0" w:firstLine="0" w:firstLineChars="0"/>
        <w:jc w:val="center"/>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=M×ɑ</w:t>
      </w:r>
    </w:p>
    <w:p w14:paraId="641E74AF">
      <w:pPr>
        <w:pStyle w:val="5"/>
        <w:bidi w:val="0"/>
        <w:rPr>
          <w:rFonts w:hint="default"/>
          <w:lang w:val="en-US" w:eastAsia="zh-CN"/>
        </w:rPr>
      </w:pPr>
      <w:r>
        <w:rPr>
          <w:rFonts w:hint="default"/>
          <w:lang w:val="en-US" w:eastAsia="zh-CN"/>
        </w:rPr>
        <w:t>式中：</w:t>
      </w:r>
    </w:p>
    <w:p w14:paraId="5A36899C">
      <w:pPr>
        <w:pStyle w:val="5"/>
        <w:bidi w:val="0"/>
        <w:ind w:firstLine="968" w:firstLineChars="400"/>
        <w:rPr>
          <w:rFonts w:hint="default"/>
          <w:lang w:val="en-US" w:eastAsia="zh-CN"/>
        </w:rPr>
      </w:pPr>
      <w:r>
        <w:rPr>
          <w:rFonts w:hint="default"/>
          <w:lang w:val="en-US" w:eastAsia="zh-CN"/>
        </w:rPr>
        <w:t>W</w:t>
      </w:r>
      <w:r>
        <w:rPr>
          <w:rFonts w:hint="default"/>
          <w:vertAlign w:val="subscript"/>
          <w:lang w:val="en-US" w:eastAsia="zh-CN"/>
        </w:rPr>
        <w:t>农</w:t>
      </w:r>
      <w:r>
        <w:rPr>
          <w:rFonts w:hint="default"/>
          <w:lang w:val="en-US" w:eastAsia="zh-CN"/>
        </w:rPr>
        <w:t>——农田污染物入河量；</w:t>
      </w:r>
    </w:p>
    <w:p w14:paraId="2CAC33B3">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农p</w:t>
      </w:r>
      <w:r>
        <w:rPr>
          <w:rFonts w:hint="default"/>
          <w:lang w:val="en-US" w:eastAsia="zh-CN"/>
        </w:rPr>
        <w:t>——农田污染物排放量；</w:t>
      </w:r>
    </w:p>
    <w:p w14:paraId="55A35918">
      <w:pPr>
        <w:pStyle w:val="5"/>
        <w:bidi w:val="0"/>
        <w:ind w:firstLine="968" w:firstLineChars="400"/>
        <w:rPr>
          <w:rFonts w:hint="default"/>
          <w:lang w:val="en-US" w:eastAsia="zh-CN"/>
        </w:rPr>
      </w:pPr>
      <w:r>
        <w:rPr>
          <w:rFonts w:hint="default"/>
          <w:lang w:val="en-US" w:eastAsia="zh-CN"/>
        </w:rPr>
        <w:t>β——农田污染物入河系；</w:t>
      </w:r>
    </w:p>
    <w:p w14:paraId="741DB931">
      <w:pPr>
        <w:pStyle w:val="5"/>
        <w:bidi w:val="0"/>
        <w:ind w:firstLine="968" w:firstLineChars="400"/>
        <w:rPr>
          <w:rFonts w:hint="default"/>
          <w:lang w:val="en-US" w:eastAsia="zh-CN"/>
        </w:rPr>
      </w:pPr>
      <w:r>
        <w:rPr>
          <w:rFonts w:hint="default"/>
          <w:lang w:val="en-US" w:eastAsia="zh-CN"/>
        </w:rPr>
        <w:t>M——耕地面积；</w:t>
      </w:r>
    </w:p>
    <w:p w14:paraId="418E7A49">
      <w:pPr>
        <w:pStyle w:val="5"/>
        <w:bidi w:val="0"/>
        <w:ind w:firstLine="968" w:firstLineChars="400"/>
        <w:rPr>
          <w:rFonts w:hint="default"/>
          <w:lang w:val="en-US" w:eastAsia="zh-CN"/>
        </w:rPr>
      </w:pPr>
      <w:r>
        <w:rPr>
          <w:rFonts w:hint="default"/>
          <w:lang w:val="en-US" w:eastAsia="zh-CN"/>
        </w:rPr>
        <w:t>ɑ——农田排污系数。</w:t>
      </w:r>
    </w:p>
    <w:p w14:paraId="431810BD">
      <w:pPr>
        <w:pStyle w:val="5"/>
        <w:bidi w:val="0"/>
        <w:rPr>
          <w:rFonts w:hint="default"/>
          <w:lang w:val="en-US" w:eastAsia="zh-CN"/>
        </w:rPr>
      </w:pPr>
      <w:r>
        <w:rPr>
          <w:rFonts w:hint="default"/>
          <w:lang w:val="en-US" w:eastAsia="zh-CN"/>
        </w:rPr>
        <w:t>根据相关文献，取农田排污系数：COD：10kg/亩•年，NH</w:t>
      </w:r>
      <w:r>
        <w:rPr>
          <w:rFonts w:hint="default"/>
          <w:vertAlign w:val="subscript"/>
          <w:lang w:val="en-US" w:eastAsia="zh-CN"/>
        </w:rPr>
        <w:t>3</w:t>
      </w:r>
      <w:r>
        <w:rPr>
          <w:rFonts w:hint="default"/>
          <w:lang w:val="en-US" w:eastAsia="zh-CN"/>
        </w:rPr>
        <w:t>-N：2kg/亩•年，TP：0.5kg/亩•年。</w:t>
      </w:r>
    </w:p>
    <w:p w14:paraId="03CECE82">
      <w:pPr>
        <w:pStyle w:val="5"/>
        <w:bidi w:val="0"/>
        <w:rPr>
          <w:rFonts w:hint="default"/>
          <w:lang w:val="en-US" w:eastAsia="zh-CN"/>
        </w:rPr>
      </w:pPr>
      <w:r>
        <w:rPr>
          <w:rFonts w:hint="default"/>
          <w:lang w:val="en-US" w:eastAsia="zh-CN"/>
        </w:rPr>
        <w:t>根据原国家环保总局《长江三峡工程生态与环境监测公报》对库区化肥施用和流失情况的统计资料，化肥流失率约为8%～10%。根据流域的实际情况，农田污染物入河系数取值为0</w:t>
      </w:r>
      <w:r>
        <w:rPr>
          <w:rFonts w:hint="default" w:ascii="Times New Roman" w:hAnsi="Times New Roman" w:cs="Times New Roman"/>
          <w:lang w:val="en-US" w:eastAsia="zh-CN"/>
        </w:rPr>
        <w:t>.08</w:t>
      </w:r>
      <w:r>
        <w:rPr>
          <w:rFonts w:hint="default"/>
          <w:lang w:val="en-US" w:eastAsia="zh-CN"/>
        </w:rPr>
        <w:t>，计算结果见表</w:t>
      </w:r>
      <w:r>
        <w:rPr>
          <w:rFonts w:hint="eastAsia"/>
          <w:lang w:val="en-US" w:eastAsia="zh-CN"/>
        </w:rPr>
        <w:t>3.2-15</w:t>
      </w:r>
      <w:r>
        <w:rPr>
          <w:rFonts w:hint="default"/>
          <w:lang w:val="en-US" w:eastAsia="zh-CN"/>
        </w:rPr>
        <w:t>。</w:t>
      </w:r>
    </w:p>
    <w:p w14:paraId="02F71D86">
      <w:pPr>
        <w:pStyle w:val="5"/>
        <w:bidi w:val="0"/>
        <w:rPr>
          <w:rFonts w:hint="default"/>
          <w:color w:val="auto"/>
          <w:highlight w:val="none"/>
          <w:lang w:val="en-US" w:eastAsia="zh-CN"/>
        </w:rPr>
      </w:pPr>
      <w:r>
        <w:rPr>
          <w:rFonts w:hint="eastAsia"/>
          <w:lang w:val="en-US" w:eastAsia="zh-CN"/>
        </w:rPr>
        <w:t>石耶镇</w:t>
      </w:r>
      <w:r>
        <w:rPr>
          <w:rFonts w:hint="default"/>
          <w:lang w:val="en-US" w:eastAsia="zh-CN"/>
        </w:rPr>
        <w:t>因农田径流而进入水体的污染负荷为COD：</w:t>
      </w:r>
      <w:r>
        <w:rPr>
          <w:rFonts w:hint="eastAsia"/>
          <w:lang w:val="en-US" w:eastAsia="zh-CN"/>
        </w:rPr>
        <w:t>12.11</w:t>
      </w:r>
      <w:r>
        <w:rPr>
          <w:rFonts w:hint="default"/>
          <w:lang w:val="en-US" w:eastAsia="zh-CN"/>
        </w:rPr>
        <w:t>t/a、NH</w:t>
      </w:r>
      <w:r>
        <w:rPr>
          <w:rFonts w:hint="default"/>
          <w:vertAlign w:val="subscript"/>
          <w:lang w:val="en-US" w:eastAsia="zh-CN"/>
        </w:rPr>
        <w:t>3</w:t>
      </w:r>
      <w:r>
        <w:rPr>
          <w:rFonts w:hint="default"/>
          <w:lang w:val="en-US" w:eastAsia="zh-CN"/>
        </w:rPr>
        <w:t>-N</w:t>
      </w:r>
      <w:r>
        <w:rPr>
          <w:rFonts w:hint="eastAsia"/>
          <w:lang w:val="en-US" w:eastAsia="zh-CN"/>
        </w:rPr>
        <w:t>：2.42</w:t>
      </w:r>
      <w:r>
        <w:rPr>
          <w:rFonts w:hint="default"/>
          <w:lang w:val="en-US" w:eastAsia="zh-CN"/>
        </w:rPr>
        <w:t>t/a、TP</w:t>
      </w:r>
      <w:r>
        <w:rPr>
          <w:rFonts w:hint="eastAsia"/>
          <w:lang w:val="en-US" w:eastAsia="zh-CN"/>
        </w:rPr>
        <w:t>：0.61</w:t>
      </w:r>
      <w:r>
        <w:rPr>
          <w:rFonts w:hint="default"/>
          <w:lang w:val="en-US" w:eastAsia="zh-CN"/>
        </w:rPr>
        <w:t>t/a。</w:t>
      </w:r>
    </w:p>
    <w:p w14:paraId="6BEB05F6">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3.2-15  石耶镇</w:t>
      </w:r>
      <w:r>
        <w:rPr>
          <w:rFonts w:hint="default"/>
          <w:color w:val="auto"/>
          <w:highlight w:val="none"/>
          <w:lang w:val="en-US" w:eastAsia="zh-CN"/>
        </w:rPr>
        <w:t>农业</w:t>
      </w:r>
      <w:r>
        <w:rPr>
          <w:rFonts w:hint="eastAsia"/>
          <w:color w:val="auto"/>
          <w:highlight w:val="none"/>
          <w:lang w:val="en-US" w:eastAsia="zh-CN"/>
        </w:rPr>
        <w:t>种植</w:t>
      </w:r>
      <w:r>
        <w:rPr>
          <w:rFonts w:hint="default"/>
          <w:color w:val="auto"/>
          <w:highlight w:val="none"/>
          <w:lang w:val="en-US" w:eastAsia="zh-CN"/>
        </w:rPr>
        <w:t>面源污染负荷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1"/>
        <w:gridCol w:w="1683"/>
        <w:gridCol w:w="1708"/>
        <w:gridCol w:w="1386"/>
        <w:gridCol w:w="1386"/>
        <w:gridCol w:w="1389"/>
      </w:tblGrid>
      <w:tr w14:paraId="1B2E20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61" w:type="dxa"/>
            <w:vMerge w:val="restart"/>
            <w:tcBorders>
              <w:tl2br w:val="nil"/>
              <w:tr2bl w:val="nil"/>
            </w:tcBorders>
            <w:shd w:val="clear" w:color="auto" w:fill="auto"/>
            <w:vAlign w:val="center"/>
          </w:tcPr>
          <w:p w14:paraId="216A937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83" w:type="dxa"/>
            <w:vMerge w:val="restart"/>
            <w:tcBorders>
              <w:tl2br w:val="nil"/>
              <w:tr2bl w:val="nil"/>
            </w:tcBorders>
            <w:shd w:val="clear" w:color="auto" w:fill="auto"/>
            <w:vAlign w:val="center"/>
          </w:tcPr>
          <w:p w14:paraId="4C84801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708" w:type="dxa"/>
            <w:vMerge w:val="restart"/>
            <w:tcBorders>
              <w:tl2br w:val="nil"/>
              <w:tr2bl w:val="nil"/>
            </w:tcBorders>
            <w:shd w:val="clear" w:color="auto" w:fill="auto"/>
            <w:vAlign w:val="center"/>
          </w:tcPr>
          <w:p w14:paraId="704B452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耕地面积（亩）</w:t>
            </w:r>
          </w:p>
        </w:tc>
        <w:tc>
          <w:tcPr>
            <w:tcW w:w="4161" w:type="dxa"/>
            <w:gridSpan w:val="3"/>
            <w:tcBorders>
              <w:tl2br w:val="nil"/>
              <w:tr2bl w:val="nil"/>
            </w:tcBorders>
            <w:shd w:val="clear" w:color="auto" w:fill="auto"/>
            <w:vAlign w:val="center"/>
          </w:tcPr>
          <w:p w14:paraId="7776BE0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0A36A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61" w:type="dxa"/>
            <w:vMerge w:val="continue"/>
            <w:tcBorders>
              <w:tl2br w:val="nil"/>
              <w:tr2bl w:val="nil"/>
            </w:tcBorders>
            <w:shd w:val="clear" w:color="auto" w:fill="auto"/>
            <w:vAlign w:val="center"/>
          </w:tcPr>
          <w:p w14:paraId="642DE6B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83" w:type="dxa"/>
            <w:vMerge w:val="continue"/>
            <w:tcBorders>
              <w:tl2br w:val="nil"/>
              <w:tr2bl w:val="nil"/>
            </w:tcBorders>
            <w:shd w:val="clear" w:color="auto" w:fill="auto"/>
            <w:vAlign w:val="center"/>
          </w:tcPr>
          <w:p w14:paraId="3163B45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708" w:type="dxa"/>
            <w:vMerge w:val="continue"/>
            <w:tcBorders>
              <w:tl2br w:val="nil"/>
              <w:tr2bl w:val="nil"/>
            </w:tcBorders>
            <w:shd w:val="clear" w:color="auto" w:fill="auto"/>
            <w:vAlign w:val="center"/>
          </w:tcPr>
          <w:p w14:paraId="6DF6314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386" w:type="dxa"/>
            <w:tcBorders>
              <w:tl2br w:val="nil"/>
              <w:tr2bl w:val="nil"/>
            </w:tcBorders>
            <w:shd w:val="clear" w:color="auto" w:fill="auto"/>
            <w:vAlign w:val="center"/>
          </w:tcPr>
          <w:p w14:paraId="1541E8E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86" w:type="dxa"/>
            <w:tcBorders>
              <w:tl2br w:val="nil"/>
              <w:tr2bl w:val="nil"/>
            </w:tcBorders>
            <w:shd w:val="clear" w:color="auto" w:fill="auto"/>
            <w:vAlign w:val="center"/>
          </w:tcPr>
          <w:p w14:paraId="704B949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389" w:type="dxa"/>
            <w:tcBorders>
              <w:tl2br w:val="nil"/>
              <w:tr2bl w:val="nil"/>
            </w:tcBorders>
            <w:shd w:val="clear" w:color="auto" w:fill="auto"/>
            <w:vAlign w:val="center"/>
          </w:tcPr>
          <w:p w14:paraId="2AFD33C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22B3CF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61" w:type="dxa"/>
            <w:tcBorders>
              <w:tl2br w:val="nil"/>
              <w:tr2bl w:val="nil"/>
            </w:tcBorders>
            <w:shd w:val="clear" w:color="auto" w:fill="auto"/>
            <w:vAlign w:val="center"/>
          </w:tcPr>
          <w:p w14:paraId="4BC7670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83" w:type="dxa"/>
            <w:tcBorders>
              <w:tl2br w:val="nil"/>
              <w:tr2bl w:val="nil"/>
            </w:tcBorders>
            <w:shd w:val="clear" w:color="auto" w:fill="auto"/>
            <w:vAlign w:val="center"/>
          </w:tcPr>
          <w:p w14:paraId="37B80B00">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708" w:type="dxa"/>
            <w:tcBorders>
              <w:tl2br w:val="nil"/>
              <w:tr2bl w:val="nil"/>
            </w:tcBorders>
            <w:shd w:val="clear" w:color="auto" w:fill="auto"/>
            <w:vAlign w:val="center"/>
          </w:tcPr>
          <w:p w14:paraId="776F321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15132.1</w:t>
            </w:r>
          </w:p>
        </w:tc>
        <w:tc>
          <w:tcPr>
            <w:tcW w:w="1386" w:type="dxa"/>
            <w:tcBorders>
              <w:tl2br w:val="nil"/>
              <w:tr2bl w:val="nil"/>
            </w:tcBorders>
            <w:shd w:val="clear" w:color="auto" w:fill="auto"/>
            <w:vAlign w:val="center"/>
          </w:tcPr>
          <w:p w14:paraId="3D9E13C2">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386" w:type="dxa"/>
            <w:tcBorders>
              <w:tl2br w:val="nil"/>
              <w:tr2bl w:val="nil"/>
            </w:tcBorders>
            <w:shd w:val="clear" w:color="auto" w:fill="auto"/>
            <w:vAlign w:val="center"/>
          </w:tcPr>
          <w:p w14:paraId="74A2F57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389" w:type="dxa"/>
            <w:tcBorders>
              <w:tl2br w:val="nil"/>
              <w:tr2bl w:val="nil"/>
            </w:tcBorders>
            <w:shd w:val="clear" w:color="auto" w:fill="auto"/>
            <w:vAlign w:val="center"/>
          </w:tcPr>
          <w:p w14:paraId="4C34800F">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0.61 </w:t>
            </w:r>
          </w:p>
        </w:tc>
      </w:tr>
    </w:tbl>
    <w:p w14:paraId="7118B7E5">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畜禽养殖污染</w:t>
      </w:r>
    </w:p>
    <w:p w14:paraId="1CE2002E">
      <w:pPr>
        <w:pStyle w:val="5"/>
        <w:bidi w:val="0"/>
        <w:rPr>
          <w:rFonts w:hint="default"/>
          <w:lang w:val="en-US" w:eastAsia="zh-CN"/>
        </w:rPr>
      </w:pPr>
      <w:r>
        <w:rPr>
          <w:rFonts w:hint="default"/>
          <w:lang w:val="en-US" w:eastAsia="zh-CN"/>
        </w:rPr>
        <w:t>通过2018-2020年的整治，</w:t>
      </w:r>
      <w:r>
        <w:rPr>
          <w:rFonts w:hint="eastAsia"/>
          <w:lang w:val="en-US" w:eastAsia="zh-CN"/>
        </w:rPr>
        <w:t>石耶镇</w:t>
      </w:r>
      <w:r>
        <w:rPr>
          <w:rFonts w:hint="default"/>
          <w:lang w:val="en-US" w:eastAsia="zh-CN"/>
        </w:rPr>
        <w:t>禁养区内的养殖场、养殖专业户已全部关闭完毕。但</w:t>
      </w:r>
      <w:r>
        <w:rPr>
          <w:rFonts w:hint="eastAsia"/>
          <w:lang w:val="en-US" w:eastAsia="zh-CN"/>
        </w:rPr>
        <w:t>石耶镇</w:t>
      </w:r>
      <w:r>
        <w:rPr>
          <w:rFonts w:hint="default"/>
          <w:lang w:val="en-US" w:eastAsia="zh-CN"/>
        </w:rPr>
        <w:t>在禁养区外仍存在大量的养殖场、养殖专业户，主要养殖猪、牛和家禽，养殖方式以规模化养殖为主。</w:t>
      </w:r>
    </w:p>
    <w:p w14:paraId="4009CBFB">
      <w:pPr>
        <w:pStyle w:val="5"/>
        <w:bidi w:val="0"/>
        <w:rPr>
          <w:rFonts w:hint="eastAsia"/>
          <w:color w:val="auto"/>
          <w:highlight w:val="none"/>
          <w:lang w:val="en-US" w:eastAsia="zh-CN"/>
        </w:rPr>
      </w:pPr>
      <w:r>
        <w:rPr>
          <w:rFonts w:hint="eastAsia"/>
          <w:lang w:val="en-US" w:eastAsia="zh-CN"/>
        </w:rPr>
        <w:t>石耶镇畜禽</w:t>
      </w:r>
      <w:r>
        <w:rPr>
          <w:rFonts w:hint="default"/>
          <w:lang w:val="en-US" w:eastAsia="zh-CN"/>
        </w:rPr>
        <w:t>存栏</w:t>
      </w:r>
      <w:r>
        <w:rPr>
          <w:rFonts w:hint="eastAsia"/>
          <w:lang w:val="en-US" w:eastAsia="zh-CN"/>
        </w:rPr>
        <w:t>量</w:t>
      </w:r>
      <w:r>
        <w:rPr>
          <w:rFonts w:hint="default"/>
          <w:lang w:val="en-US" w:eastAsia="zh-CN"/>
        </w:rPr>
        <w:t>：</w:t>
      </w:r>
      <w:r>
        <w:rPr>
          <w:rFonts w:hint="eastAsia"/>
          <w:lang w:val="en-US" w:eastAsia="zh-CN"/>
        </w:rPr>
        <w:t>牛720头，</w:t>
      </w:r>
      <w:r>
        <w:rPr>
          <w:rFonts w:hint="default"/>
          <w:lang w:val="en-US" w:eastAsia="zh-CN"/>
        </w:rPr>
        <w:t>猪</w:t>
      </w:r>
      <w:r>
        <w:rPr>
          <w:rFonts w:hint="eastAsia"/>
          <w:lang w:val="en-US" w:eastAsia="zh-CN"/>
        </w:rPr>
        <w:t>2561</w:t>
      </w:r>
      <w:r>
        <w:rPr>
          <w:rFonts w:hint="default"/>
          <w:lang w:val="en-US" w:eastAsia="zh-CN"/>
        </w:rPr>
        <w:t>头，羊</w:t>
      </w:r>
      <w:r>
        <w:rPr>
          <w:rFonts w:hint="eastAsia"/>
          <w:lang w:val="en-US" w:eastAsia="zh-CN"/>
        </w:rPr>
        <w:t>597头</w:t>
      </w:r>
      <w:r>
        <w:rPr>
          <w:rFonts w:hint="default"/>
          <w:lang w:val="en-US" w:eastAsia="zh-CN"/>
        </w:rPr>
        <w:t>，</w:t>
      </w:r>
      <w:r>
        <w:rPr>
          <w:rFonts w:hint="eastAsia"/>
          <w:lang w:val="en-US" w:eastAsia="zh-CN"/>
        </w:rPr>
        <w:t>家禽19232</w:t>
      </w:r>
      <w:r>
        <w:rPr>
          <w:rFonts w:hint="default"/>
          <w:lang w:val="en-US" w:eastAsia="zh-CN"/>
        </w:rPr>
        <w:t>只。</w:t>
      </w:r>
      <w:r>
        <w:rPr>
          <w:rFonts w:hint="eastAsia"/>
          <w:lang w:val="en-US" w:eastAsia="zh-CN"/>
        </w:rPr>
        <w:t>畜禽养殖</w:t>
      </w:r>
      <w:r>
        <w:rPr>
          <w:rFonts w:hint="default"/>
          <w:lang w:val="en-US" w:eastAsia="zh-CN"/>
        </w:rPr>
        <w:t>现状统计见</w:t>
      </w:r>
      <w:r>
        <w:rPr>
          <w:rFonts w:hint="eastAsia"/>
          <w:lang w:val="en-US" w:eastAsia="zh-CN"/>
        </w:rPr>
        <w:t>下表。</w:t>
      </w:r>
    </w:p>
    <w:p w14:paraId="5764AAE9">
      <w:pPr>
        <w:pStyle w:val="56"/>
        <w:bidi w:val="0"/>
        <w:rPr>
          <w:rFonts w:hint="default"/>
          <w:color w:val="auto"/>
          <w:highlight w:val="none"/>
          <w:lang w:val="en-US" w:eastAsia="zh-CN"/>
        </w:rPr>
      </w:pPr>
      <w:r>
        <w:rPr>
          <w:rFonts w:hint="eastAsia"/>
          <w:color w:val="auto"/>
          <w:highlight w:val="none"/>
          <w:lang w:val="en-US" w:eastAsia="zh-CN"/>
        </w:rPr>
        <w:t>表3.2-16  石耶镇畜禽养殖现状统计表</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54"/>
        <w:gridCol w:w="1203"/>
        <w:gridCol w:w="1614"/>
        <w:gridCol w:w="1614"/>
        <w:gridCol w:w="1614"/>
        <w:gridCol w:w="1614"/>
      </w:tblGrid>
      <w:tr w14:paraId="5DF81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14:paraId="3FF074E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03" w:type="dxa"/>
            <w:tcBorders>
              <w:tl2br w:val="nil"/>
              <w:tr2bl w:val="nil"/>
            </w:tcBorders>
            <w:shd w:val="clear" w:color="auto" w:fill="auto"/>
            <w:vAlign w:val="center"/>
          </w:tcPr>
          <w:p w14:paraId="1485898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1614" w:type="dxa"/>
            <w:tcBorders>
              <w:tl2br w:val="nil"/>
              <w:tr2bl w:val="nil"/>
            </w:tcBorders>
            <w:shd w:val="clear" w:color="auto" w:fill="auto"/>
            <w:vAlign w:val="center"/>
          </w:tcPr>
          <w:p w14:paraId="61776A0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牛（头）</w:t>
            </w:r>
          </w:p>
        </w:tc>
        <w:tc>
          <w:tcPr>
            <w:tcW w:w="1614" w:type="dxa"/>
            <w:tcBorders>
              <w:tl2br w:val="nil"/>
              <w:tr2bl w:val="nil"/>
            </w:tcBorders>
            <w:shd w:val="clear" w:color="auto" w:fill="auto"/>
            <w:vAlign w:val="center"/>
          </w:tcPr>
          <w:p w14:paraId="315A65A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猪（头）</w:t>
            </w:r>
          </w:p>
        </w:tc>
        <w:tc>
          <w:tcPr>
            <w:tcW w:w="1614" w:type="dxa"/>
            <w:tcBorders>
              <w:tl2br w:val="nil"/>
              <w:tr2bl w:val="nil"/>
            </w:tcBorders>
            <w:shd w:val="clear" w:color="auto" w:fill="auto"/>
            <w:vAlign w:val="center"/>
          </w:tcPr>
          <w:p w14:paraId="19E9DD8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羊（头）</w:t>
            </w:r>
          </w:p>
        </w:tc>
        <w:tc>
          <w:tcPr>
            <w:tcW w:w="1614" w:type="dxa"/>
            <w:tcBorders>
              <w:tl2br w:val="nil"/>
              <w:tr2bl w:val="nil"/>
            </w:tcBorders>
            <w:shd w:val="clear" w:color="auto" w:fill="auto"/>
            <w:vAlign w:val="center"/>
          </w:tcPr>
          <w:p w14:paraId="022BAAD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家禽（只）</w:t>
            </w:r>
          </w:p>
        </w:tc>
      </w:tr>
      <w:tr w14:paraId="7BDED2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854" w:type="dxa"/>
            <w:tcBorders>
              <w:tl2br w:val="nil"/>
              <w:tr2bl w:val="nil"/>
            </w:tcBorders>
            <w:shd w:val="clear" w:color="auto" w:fill="auto"/>
            <w:vAlign w:val="center"/>
          </w:tcPr>
          <w:p w14:paraId="130E75C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203" w:type="dxa"/>
            <w:tcBorders>
              <w:tl2br w:val="nil"/>
              <w:tr2bl w:val="nil"/>
            </w:tcBorders>
            <w:shd w:val="clear" w:color="auto" w:fill="auto"/>
            <w:vAlign w:val="center"/>
          </w:tcPr>
          <w:p w14:paraId="59E0FBD5">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614" w:type="dxa"/>
            <w:tcBorders>
              <w:tl2br w:val="nil"/>
              <w:tr2bl w:val="nil"/>
            </w:tcBorders>
            <w:shd w:val="clear" w:color="auto" w:fill="auto"/>
            <w:vAlign w:val="center"/>
          </w:tcPr>
          <w:p w14:paraId="06591C5C">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720</w:t>
            </w:r>
          </w:p>
        </w:tc>
        <w:tc>
          <w:tcPr>
            <w:tcW w:w="1614" w:type="dxa"/>
            <w:tcBorders>
              <w:tl2br w:val="nil"/>
              <w:tr2bl w:val="nil"/>
            </w:tcBorders>
            <w:shd w:val="clear" w:color="auto" w:fill="auto"/>
            <w:vAlign w:val="center"/>
          </w:tcPr>
          <w:p w14:paraId="58F40969">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2561</w:t>
            </w:r>
          </w:p>
        </w:tc>
        <w:tc>
          <w:tcPr>
            <w:tcW w:w="1614" w:type="dxa"/>
            <w:tcBorders>
              <w:tl2br w:val="nil"/>
              <w:tr2bl w:val="nil"/>
            </w:tcBorders>
            <w:shd w:val="clear" w:color="auto" w:fill="auto"/>
            <w:vAlign w:val="center"/>
          </w:tcPr>
          <w:p w14:paraId="2BFB5051">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597</w:t>
            </w:r>
          </w:p>
        </w:tc>
        <w:tc>
          <w:tcPr>
            <w:tcW w:w="1614" w:type="dxa"/>
            <w:tcBorders>
              <w:tl2br w:val="nil"/>
              <w:tr2bl w:val="nil"/>
            </w:tcBorders>
            <w:shd w:val="clear" w:color="auto" w:fill="auto"/>
            <w:vAlign w:val="center"/>
          </w:tcPr>
          <w:p w14:paraId="4E3CD2D0">
            <w:pPr>
              <w:pStyle w:val="29"/>
              <w:keepNext w:val="0"/>
              <w:keepLines w:val="0"/>
              <w:suppressLineNumbers w:val="0"/>
              <w:bidi w:val="0"/>
              <w:spacing w:before="0" w:beforeAutospacing="0" w:after="0" w:afterAutospacing="0"/>
              <w:ind w:left="-53" w:leftChars="-25" w:right="-53" w:rightChars="-25" w:firstLine="0" w:firstLineChars="0"/>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highlight w:val="none"/>
                <w:lang w:val="en-US" w:eastAsia="zh-CN"/>
              </w:rPr>
              <w:t>19232</w:t>
            </w:r>
          </w:p>
        </w:tc>
      </w:tr>
    </w:tbl>
    <w:p w14:paraId="6EC686E8">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color w:val="auto"/>
          <w:highlight w:val="none"/>
          <w:lang w:val="en-US" w:eastAsia="zh-CN"/>
        </w:rPr>
      </w:pPr>
      <w:r>
        <w:rPr>
          <w:rFonts w:hint="default"/>
          <w:lang w:val="en-US" w:eastAsia="zh-CN"/>
        </w:rPr>
        <w:t>根据国家环保总局《关于减免家禽业排污费等有关问题的通知》（环发</w:t>
      </w:r>
      <w:r>
        <w:rPr>
          <w:rFonts w:hint="eastAsia"/>
          <w:lang w:val="en-US" w:eastAsia="zh-CN"/>
        </w:rPr>
        <w:t>〔</w:t>
      </w:r>
      <w:r>
        <w:rPr>
          <w:rFonts w:hint="default"/>
          <w:lang w:val="en-US" w:eastAsia="zh-CN"/>
        </w:rPr>
        <w:t>2004</w:t>
      </w:r>
      <w:r>
        <w:rPr>
          <w:rFonts w:hint="eastAsia"/>
          <w:lang w:val="en-US" w:eastAsia="zh-CN"/>
        </w:rPr>
        <w:t>〕43</w:t>
      </w:r>
      <w:r>
        <w:rPr>
          <w:rFonts w:hint="default"/>
          <w:lang w:val="en-US" w:eastAsia="zh-CN"/>
        </w:rPr>
        <w:t>号），禽粪便排泄系数表和禽畜粪便中的污染物平均含量，家禽的排泄量和粪便中污染物含量以鸡鸭的平均值计。畜禽粪便排泄系数及粪便中污染物平均含量见表所示。</w:t>
      </w:r>
    </w:p>
    <w:p w14:paraId="2BC90A94">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 xml:space="preserve">3.2-17   </w:t>
      </w:r>
      <w:r>
        <w:rPr>
          <w:rFonts w:hint="default"/>
          <w:color w:val="auto"/>
          <w:highlight w:val="none"/>
          <w:lang w:val="en-US" w:eastAsia="zh-CN"/>
        </w:rPr>
        <w:t>禽畜粪便排泄系数</w:t>
      </w:r>
    </w:p>
    <w:tbl>
      <w:tblPr>
        <w:tblStyle w:val="23"/>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191"/>
        <w:gridCol w:w="1244"/>
        <w:gridCol w:w="1245"/>
        <w:gridCol w:w="1245"/>
        <w:gridCol w:w="1245"/>
        <w:gridCol w:w="1127"/>
      </w:tblGrid>
      <w:tr w14:paraId="240BE04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91" w:type="dxa"/>
            <w:tcBorders>
              <w:tl2br w:val="nil"/>
              <w:tr2bl w:val="nil"/>
            </w:tcBorders>
            <w:vAlign w:val="center"/>
          </w:tcPr>
          <w:p w14:paraId="0035892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1244" w:type="dxa"/>
            <w:tcBorders>
              <w:tl2br w:val="nil"/>
              <w:tr2bl w:val="nil"/>
            </w:tcBorders>
            <w:vAlign w:val="center"/>
          </w:tcPr>
          <w:p w14:paraId="5919ACA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w:t>
            </w:r>
          </w:p>
        </w:tc>
        <w:tc>
          <w:tcPr>
            <w:tcW w:w="1245" w:type="dxa"/>
            <w:tcBorders>
              <w:tl2br w:val="nil"/>
              <w:tr2bl w:val="nil"/>
            </w:tcBorders>
            <w:vAlign w:val="center"/>
          </w:tcPr>
          <w:p w14:paraId="58607C8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w:t>
            </w:r>
          </w:p>
        </w:tc>
        <w:tc>
          <w:tcPr>
            <w:tcW w:w="1245" w:type="dxa"/>
            <w:tcBorders>
              <w:tl2br w:val="nil"/>
              <w:tr2bl w:val="nil"/>
            </w:tcBorders>
            <w:vAlign w:val="center"/>
          </w:tcPr>
          <w:p w14:paraId="11149F0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w:t>
            </w:r>
          </w:p>
        </w:tc>
        <w:tc>
          <w:tcPr>
            <w:tcW w:w="1245" w:type="dxa"/>
            <w:tcBorders>
              <w:tl2br w:val="nil"/>
              <w:tr2bl w:val="nil"/>
            </w:tcBorders>
            <w:vAlign w:val="center"/>
          </w:tcPr>
          <w:p w14:paraId="551C969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w:t>
            </w:r>
          </w:p>
        </w:tc>
        <w:tc>
          <w:tcPr>
            <w:tcW w:w="1127" w:type="dxa"/>
            <w:tcBorders>
              <w:tl2br w:val="nil"/>
              <w:tr2bl w:val="nil"/>
            </w:tcBorders>
            <w:vAlign w:val="center"/>
          </w:tcPr>
          <w:p w14:paraId="704645D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w:t>
            </w:r>
          </w:p>
        </w:tc>
      </w:tr>
      <w:tr w14:paraId="481C4EC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91" w:type="dxa"/>
            <w:tcBorders>
              <w:tl2br w:val="nil"/>
              <w:tr2bl w:val="nil"/>
            </w:tcBorders>
            <w:vAlign w:val="center"/>
          </w:tcPr>
          <w:p w14:paraId="067AA8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粪（kg/a）</w:t>
            </w:r>
          </w:p>
        </w:tc>
        <w:tc>
          <w:tcPr>
            <w:tcW w:w="1244" w:type="dxa"/>
            <w:tcBorders>
              <w:tl2br w:val="nil"/>
              <w:tr2bl w:val="nil"/>
            </w:tcBorders>
            <w:vAlign w:val="center"/>
          </w:tcPr>
          <w:p w14:paraId="31143E8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398</w:t>
            </w:r>
          </w:p>
        </w:tc>
        <w:tc>
          <w:tcPr>
            <w:tcW w:w="1245" w:type="dxa"/>
            <w:tcBorders>
              <w:tl2br w:val="nil"/>
              <w:tr2bl w:val="nil"/>
            </w:tcBorders>
            <w:vAlign w:val="center"/>
          </w:tcPr>
          <w:p w14:paraId="547FD7F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7300</w:t>
            </w:r>
          </w:p>
        </w:tc>
        <w:tc>
          <w:tcPr>
            <w:tcW w:w="1245" w:type="dxa"/>
            <w:tcBorders>
              <w:tl2br w:val="nil"/>
              <w:tr2bl w:val="nil"/>
            </w:tcBorders>
            <w:vAlign w:val="center"/>
          </w:tcPr>
          <w:p w14:paraId="22F4DB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950</w:t>
            </w:r>
          </w:p>
        </w:tc>
        <w:tc>
          <w:tcPr>
            <w:tcW w:w="1245" w:type="dxa"/>
            <w:tcBorders>
              <w:tl2br w:val="nil"/>
              <w:tr2bl w:val="nil"/>
            </w:tcBorders>
            <w:vAlign w:val="center"/>
          </w:tcPr>
          <w:p w14:paraId="7862D56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25.2</w:t>
            </w:r>
          </w:p>
        </w:tc>
        <w:tc>
          <w:tcPr>
            <w:tcW w:w="1127" w:type="dxa"/>
            <w:tcBorders>
              <w:tl2br w:val="nil"/>
              <w:tr2bl w:val="nil"/>
            </w:tcBorders>
            <w:vAlign w:val="center"/>
          </w:tcPr>
          <w:p w14:paraId="3E203E1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27.3</w:t>
            </w:r>
          </w:p>
        </w:tc>
      </w:tr>
      <w:tr w14:paraId="4B815AB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191" w:type="dxa"/>
            <w:tcBorders>
              <w:tl2br w:val="nil"/>
              <w:tr2bl w:val="nil"/>
            </w:tcBorders>
            <w:vAlign w:val="center"/>
          </w:tcPr>
          <w:p w14:paraId="3351662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尿（kg/a）</w:t>
            </w:r>
          </w:p>
        </w:tc>
        <w:tc>
          <w:tcPr>
            <w:tcW w:w="1244" w:type="dxa"/>
            <w:tcBorders>
              <w:tl2br w:val="nil"/>
              <w:tr2bl w:val="nil"/>
            </w:tcBorders>
            <w:vAlign w:val="center"/>
          </w:tcPr>
          <w:p w14:paraId="158990B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657</w:t>
            </w:r>
          </w:p>
        </w:tc>
        <w:tc>
          <w:tcPr>
            <w:tcW w:w="1245" w:type="dxa"/>
            <w:tcBorders>
              <w:tl2br w:val="nil"/>
              <w:tr2bl w:val="nil"/>
            </w:tcBorders>
            <w:vAlign w:val="center"/>
          </w:tcPr>
          <w:p w14:paraId="0DBF8DD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3650</w:t>
            </w:r>
          </w:p>
        </w:tc>
        <w:tc>
          <w:tcPr>
            <w:tcW w:w="1245" w:type="dxa"/>
            <w:tcBorders>
              <w:tl2br w:val="nil"/>
              <w:tr2bl w:val="nil"/>
            </w:tcBorders>
            <w:vAlign w:val="center"/>
          </w:tcPr>
          <w:p w14:paraId="1BA9EE3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245" w:type="dxa"/>
            <w:tcBorders>
              <w:tl2br w:val="nil"/>
              <w:tr2bl w:val="nil"/>
            </w:tcBorders>
            <w:vAlign w:val="center"/>
          </w:tcPr>
          <w:p w14:paraId="4308449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1127" w:type="dxa"/>
            <w:tcBorders>
              <w:tl2br w:val="nil"/>
              <w:tr2bl w:val="nil"/>
            </w:tcBorders>
            <w:vAlign w:val="center"/>
          </w:tcPr>
          <w:p w14:paraId="2DDDBC7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r>
    </w:tbl>
    <w:p w14:paraId="47FB7F83">
      <w:pPr>
        <w:pStyle w:val="56"/>
        <w:bidi w:val="0"/>
        <w:rPr>
          <w:color w:val="auto"/>
          <w:highlight w:val="none"/>
        </w:rPr>
      </w:pPr>
      <w:r>
        <w:rPr>
          <w:color w:val="auto"/>
          <w:highlight w:val="none"/>
        </w:rPr>
        <w:t>表</w:t>
      </w:r>
      <w:r>
        <w:rPr>
          <w:rFonts w:hint="eastAsia"/>
          <w:color w:val="auto"/>
          <w:highlight w:val="none"/>
          <w:lang w:val="en-US" w:eastAsia="zh-CN"/>
        </w:rPr>
        <w:t xml:space="preserve">3.2-18   </w:t>
      </w:r>
      <w:r>
        <w:rPr>
          <w:color w:val="auto"/>
          <w:highlight w:val="none"/>
        </w:rPr>
        <w:t>禽畜粪便中污染物平均含量</w:t>
      </w:r>
    </w:p>
    <w:tbl>
      <w:tblPr>
        <w:tblStyle w:val="23"/>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668"/>
        <w:gridCol w:w="2209"/>
        <w:gridCol w:w="2209"/>
        <w:gridCol w:w="2211"/>
      </w:tblGrid>
      <w:tr w14:paraId="25832801">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blHeader/>
        </w:trPr>
        <w:tc>
          <w:tcPr>
            <w:tcW w:w="1668" w:type="dxa"/>
            <w:tcBorders>
              <w:tl2br w:val="nil"/>
              <w:tr2bl w:val="nil"/>
            </w:tcBorders>
            <w:vAlign w:val="center"/>
          </w:tcPr>
          <w:p w14:paraId="3032F65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项目</w:t>
            </w:r>
          </w:p>
        </w:tc>
        <w:tc>
          <w:tcPr>
            <w:tcW w:w="2209" w:type="dxa"/>
            <w:tcBorders>
              <w:tl2br w:val="nil"/>
              <w:tr2bl w:val="nil"/>
            </w:tcBorders>
            <w:vAlign w:val="center"/>
          </w:tcPr>
          <w:p w14:paraId="6680DDC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COD（kg/t）</w:t>
            </w:r>
          </w:p>
        </w:tc>
        <w:tc>
          <w:tcPr>
            <w:tcW w:w="2209" w:type="dxa"/>
            <w:tcBorders>
              <w:tl2br w:val="nil"/>
              <w:tr2bl w:val="nil"/>
            </w:tcBorders>
            <w:vAlign w:val="center"/>
          </w:tcPr>
          <w:p w14:paraId="4AA1918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-N（kg/t）</w:t>
            </w:r>
          </w:p>
        </w:tc>
        <w:tc>
          <w:tcPr>
            <w:tcW w:w="2211" w:type="dxa"/>
            <w:tcBorders>
              <w:tl2br w:val="nil"/>
              <w:tr2bl w:val="nil"/>
            </w:tcBorders>
            <w:vAlign w:val="center"/>
          </w:tcPr>
          <w:p w14:paraId="6A61F1F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TP（kg/t）</w:t>
            </w:r>
          </w:p>
        </w:tc>
      </w:tr>
      <w:tr w14:paraId="3BC6E31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0AAB1B6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牛粪</w:t>
            </w:r>
          </w:p>
        </w:tc>
        <w:tc>
          <w:tcPr>
            <w:tcW w:w="2209" w:type="dxa"/>
            <w:tcBorders>
              <w:tl2br w:val="nil"/>
              <w:tr2bl w:val="nil"/>
            </w:tcBorders>
            <w:vAlign w:val="center"/>
          </w:tcPr>
          <w:p w14:paraId="611B523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09" w:type="dxa"/>
            <w:tcBorders>
              <w:tl2br w:val="nil"/>
              <w:tr2bl w:val="nil"/>
            </w:tcBorders>
            <w:vAlign w:val="center"/>
          </w:tcPr>
          <w:p w14:paraId="59CC319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1.7</w:t>
            </w:r>
          </w:p>
        </w:tc>
        <w:tc>
          <w:tcPr>
            <w:tcW w:w="2211" w:type="dxa"/>
            <w:tcBorders>
              <w:tl2br w:val="nil"/>
              <w:tr2bl w:val="nil"/>
            </w:tcBorders>
            <w:vAlign w:val="center"/>
          </w:tcPr>
          <w:p w14:paraId="1CA0058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1.18</w:t>
            </w:r>
          </w:p>
        </w:tc>
      </w:tr>
      <w:tr w14:paraId="6AA3CB4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3452017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牛尿</w:t>
            </w:r>
          </w:p>
        </w:tc>
        <w:tc>
          <w:tcPr>
            <w:tcW w:w="2209" w:type="dxa"/>
            <w:tcBorders>
              <w:tl2br w:val="nil"/>
              <w:tr2bl w:val="nil"/>
            </w:tcBorders>
            <w:vAlign w:val="center"/>
          </w:tcPr>
          <w:p w14:paraId="54BA186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w:t>
            </w:r>
          </w:p>
        </w:tc>
        <w:tc>
          <w:tcPr>
            <w:tcW w:w="2209" w:type="dxa"/>
            <w:tcBorders>
              <w:tl2br w:val="nil"/>
              <w:tr2bl w:val="nil"/>
            </w:tcBorders>
            <w:vAlign w:val="center"/>
          </w:tcPr>
          <w:p w14:paraId="3CC4281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3.5</w:t>
            </w:r>
          </w:p>
        </w:tc>
        <w:tc>
          <w:tcPr>
            <w:tcW w:w="2211" w:type="dxa"/>
            <w:tcBorders>
              <w:tl2br w:val="nil"/>
              <w:tr2bl w:val="nil"/>
            </w:tcBorders>
            <w:vAlign w:val="center"/>
          </w:tcPr>
          <w:p w14:paraId="34FED0C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0.4</w:t>
            </w:r>
          </w:p>
        </w:tc>
      </w:tr>
      <w:tr w14:paraId="6E4CEA88">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1F2EE5E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猪粪</w:t>
            </w:r>
          </w:p>
        </w:tc>
        <w:tc>
          <w:tcPr>
            <w:tcW w:w="2209" w:type="dxa"/>
            <w:tcBorders>
              <w:tl2br w:val="nil"/>
              <w:tr2bl w:val="nil"/>
            </w:tcBorders>
            <w:vAlign w:val="center"/>
          </w:tcPr>
          <w:p w14:paraId="52D5C2E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52</w:t>
            </w:r>
          </w:p>
        </w:tc>
        <w:tc>
          <w:tcPr>
            <w:tcW w:w="2209" w:type="dxa"/>
            <w:tcBorders>
              <w:tl2br w:val="nil"/>
              <w:tr2bl w:val="nil"/>
            </w:tcBorders>
            <w:vAlign w:val="center"/>
          </w:tcPr>
          <w:p w14:paraId="24C2818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3.1</w:t>
            </w:r>
          </w:p>
        </w:tc>
        <w:tc>
          <w:tcPr>
            <w:tcW w:w="2211" w:type="dxa"/>
            <w:tcBorders>
              <w:tl2br w:val="nil"/>
              <w:tr2bl w:val="nil"/>
            </w:tcBorders>
            <w:vAlign w:val="center"/>
          </w:tcPr>
          <w:p w14:paraId="7333CDC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3.41</w:t>
            </w:r>
          </w:p>
        </w:tc>
      </w:tr>
      <w:tr w14:paraId="52E1BC0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6EB5BBD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猪尿</w:t>
            </w:r>
          </w:p>
        </w:tc>
        <w:tc>
          <w:tcPr>
            <w:tcW w:w="2209" w:type="dxa"/>
            <w:tcBorders>
              <w:tl2br w:val="nil"/>
              <w:tr2bl w:val="nil"/>
            </w:tcBorders>
            <w:vAlign w:val="center"/>
          </w:tcPr>
          <w:p w14:paraId="6FB9220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9</w:t>
            </w:r>
          </w:p>
        </w:tc>
        <w:tc>
          <w:tcPr>
            <w:tcW w:w="2209" w:type="dxa"/>
            <w:tcBorders>
              <w:tl2br w:val="nil"/>
              <w:tr2bl w:val="nil"/>
            </w:tcBorders>
            <w:vAlign w:val="center"/>
          </w:tcPr>
          <w:p w14:paraId="0FFF1D1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1.4</w:t>
            </w:r>
          </w:p>
        </w:tc>
        <w:tc>
          <w:tcPr>
            <w:tcW w:w="2211" w:type="dxa"/>
            <w:tcBorders>
              <w:tl2br w:val="nil"/>
              <w:tr2bl w:val="nil"/>
            </w:tcBorders>
            <w:vAlign w:val="center"/>
          </w:tcPr>
          <w:p w14:paraId="7332FEE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0.52</w:t>
            </w:r>
          </w:p>
        </w:tc>
      </w:tr>
      <w:tr w14:paraId="09C76B6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237DEC9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羊粪</w:t>
            </w:r>
          </w:p>
        </w:tc>
        <w:tc>
          <w:tcPr>
            <w:tcW w:w="2209" w:type="dxa"/>
            <w:tcBorders>
              <w:tl2br w:val="nil"/>
              <w:tr2bl w:val="nil"/>
            </w:tcBorders>
            <w:vAlign w:val="center"/>
          </w:tcPr>
          <w:p w14:paraId="6C9E139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41.5</w:t>
            </w:r>
          </w:p>
        </w:tc>
        <w:tc>
          <w:tcPr>
            <w:tcW w:w="2209" w:type="dxa"/>
            <w:tcBorders>
              <w:tl2br w:val="nil"/>
              <w:tr2bl w:val="nil"/>
            </w:tcBorders>
            <w:vAlign w:val="center"/>
          </w:tcPr>
          <w:p w14:paraId="449A26C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w:t>
            </w:r>
          </w:p>
        </w:tc>
        <w:tc>
          <w:tcPr>
            <w:tcW w:w="2211" w:type="dxa"/>
            <w:tcBorders>
              <w:tl2br w:val="nil"/>
              <w:tr2bl w:val="nil"/>
            </w:tcBorders>
            <w:vAlign w:val="center"/>
          </w:tcPr>
          <w:p w14:paraId="6E4CD8D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3</w:t>
            </w:r>
          </w:p>
        </w:tc>
      </w:tr>
      <w:tr w14:paraId="6CD7A7C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45B1A5D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鸡粪</w:t>
            </w:r>
          </w:p>
        </w:tc>
        <w:tc>
          <w:tcPr>
            <w:tcW w:w="2209" w:type="dxa"/>
            <w:tcBorders>
              <w:tl2br w:val="nil"/>
              <w:tr2bl w:val="nil"/>
            </w:tcBorders>
            <w:vAlign w:val="center"/>
          </w:tcPr>
          <w:p w14:paraId="040526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45</w:t>
            </w:r>
          </w:p>
        </w:tc>
        <w:tc>
          <w:tcPr>
            <w:tcW w:w="2209" w:type="dxa"/>
            <w:tcBorders>
              <w:tl2br w:val="nil"/>
              <w:tr2bl w:val="nil"/>
            </w:tcBorders>
            <w:vAlign w:val="center"/>
          </w:tcPr>
          <w:p w14:paraId="2454FCA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4.78</w:t>
            </w:r>
          </w:p>
        </w:tc>
        <w:tc>
          <w:tcPr>
            <w:tcW w:w="2211" w:type="dxa"/>
            <w:tcBorders>
              <w:tl2br w:val="nil"/>
              <w:tr2bl w:val="nil"/>
            </w:tcBorders>
            <w:vAlign w:val="center"/>
          </w:tcPr>
          <w:p w14:paraId="34B511F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5.37</w:t>
            </w:r>
          </w:p>
        </w:tc>
      </w:tr>
      <w:tr w14:paraId="5388155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668" w:type="dxa"/>
            <w:tcBorders>
              <w:tl2br w:val="nil"/>
              <w:tr2bl w:val="nil"/>
            </w:tcBorders>
            <w:vAlign w:val="center"/>
          </w:tcPr>
          <w:p w14:paraId="7CE46C0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鸭鹅粪</w:t>
            </w:r>
          </w:p>
        </w:tc>
        <w:tc>
          <w:tcPr>
            <w:tcW w:w="2209" w:type="dxa"/>
            <w:tcBorders>
              <w:tl2br w:val="nil"/>
              <w:tr2bl w:val="nil"/>
            </w:tcBorders>
            <w:vAlign w:val="center"/>
          </w:tcPr>
          <w:p w14:paraId="0833BA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46.3</w:t>
            </w:r>
          </w:p>
        </w:tc>
        <w:tc>
          <w:tcPr>
            <w:tcW w:w="2209" w:type="dxa"/>
            <w:tcBorders>
              <w:tl2br w:val="nil"/>
              <w:tr2bl w:val="nil"/>
            </w:tcBorders>
            <w:vAlign w:val="center"/>
          </w:tcPr>
          <w:p w14:paraId="4E082EC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0.8</w:t>
            </w:r>
          </w:p>
        </w:tc>
        <w:tc>
          <w:tcPr>
            <w:tcW w:w="2211" w:type="dxa"/>
            <w:tcBorders>
              <w:tl2br w:val="nil"/>
              <w:tr2bl w:val="nil"/>
            </w:tcBorders>
            <w:vAlign w:val="center"/>
          </w:tcPr>
          <w:p w14:paraId="72B3461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6.2</w:t>
            </w:r>
          </w:p>
        </w:tc>
      </w:tr>
    </w:tbl>
    <w:p w14:paraId="397A41DB">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根据调研及</w:t>
      </w:r>
      <w:r>
        <w:rPr>
          <w:rFonts w:hint="eastAsia"/>
          <w:lang w:val="en-US" w:eastAsia="zh-CN"/>
        </w:rPr>
        <w:t>资料查询</w:t>
      </w:r>
      <w:r>
        <w:rPr>
          <w:rFonts w:hint="default"/>
          <w:lang w:val="en-US" w:eastAsia="zh-CN"/>
        </w:rPr>
        <w:t>，大部分养殖场建有配套的化粪池、沼气池，粪尿储存池以及还田管网，养殖废水最终去向以种养结合，还田还土资源化利用为主。污染物入河系数参照三峡库区禽畜粪便污染物负荷流失率：COD：12.3%、NH3-N：2.86%、TP：2.84%。</w:t>
      </w:r>
    </w:p>
    <w:p w14:paraId="3B77F5E8">
      <w:pPr>
        <w:pStyle w:val="5"/>
        <w:bidi w:val="0"/>
        <w:rPr>
          <w:rFonts w:hint="default"/>
          <w:color w:val="auto"/>
          <w:sz w:val="24"/>
          <w:szCs w:val="24"/>
          <w:highlight w:val="none"/>
          <w:lang w:val="en-US" w:eastAsia="zh-CN"/>
        </w:rPr>
      </w:pPr>
      <w:r>
        <w:rPr>
          <w:rFonts w:hint="default"/>
          <w:lang w:val="en-US" w:eastAsia="zh-CN"/>
        </w:rPr>
        <w:t>计算得到</w:t>
      </w:r>
      <w:r>
        <w:rPr>
          <w:rFonts w:hint="eastAsia"/>
          <w:lang w:val="en-US" w:eastAsia="zh-CN"/>
        </w:rPr>
        <w:t>石耶镇辖区</w:t>
      </w:r>
      <w:r>
        <w:rPr>
          <w:rFonts w:hint="default"/>
          <w:lang w:val="en-US" w:eastAsia="zh-CN"/>
        </w:rPr>
        <w:t>内畜禽养殖污染负荷COD：</w:t>
      </w:r>
      <w:r>
        <w:rPr>
          <w:rFonts w:hint="eastAsia"/>
          <w:lang w:val="en-US" w:eastAsia="zh-CN"/>
        </w:rPr>
        <w:t>34.46</w:t>
      </w:r>
      <w:r>
        <w:rPr>
          <w:rFonts w:hint="eastAsia" w:ascii="宋体" w:hAnsi="宋体" w:eastAsia="宋体" w:cs="宋体"/>
          <w:b w:val="0"/>
          <w:bCs/>
          <w:color w:val="auto"/>
          <w:sz w:val="24"/>
          <w:szCs w:val="24"/>
          <w:lang w:val="en-US" w:eastAsia="zh-CN"/>
        </w:rPr>
        <w:t xml:space="preserve"> </w:t>
      </w:r>
      <w:r>
        <w:rPr>
          <w:rFonts w:hint="default"/>
          <w:sz w:val="24"/>
          <w:szCs w:val="24"/>
          <w:lang w:val="en-US" w:eastAsia="zh-CN"/>
        </w:rPr>
        <w:t>t/a，NH</w:t>
      </w:r>
      <w:r>
        <w:rPr>
          <w:rFonts w:hint="default"/>
          <w:sz w:val="24"/>
          <w:szCs w:val="24"/>
          <w:vertAlign w:val="subscript"/>
          <w:lang w:val="en-US" w:eastAsia="zh-CN"/>
        </w:rPr>
        <w:t>3</w:t>
      </w:r>
      <w:r>
        <w:rPr>
          <w:rFonts w:hint="default"/>
          <w:sz w:val="24"/>
          <w:szCs w:val="24"/>
          <w:lang w:val="en-US" w:eastAsia="zh-CN"/>
        </w:rPr>
        <w:t>-N：</w:t>
      </w:r>
      <w:r>
        <w:rPr>
          <w:rFonts w:hint="eastAsia" w:cs="Times New Roman"/>
          <w:b w:val="0"/>
          <w:bCs/>
          <w:color w:val="auto"/>
          <w:sz w:val="24"/>
          <w:szCs w:val="24"/>
          <w:lang w:val="en-US" w:eastAsia="zh-CN"/>
        </w:rPr>
        <w:t>0.53</w:t>
      </w:r>
      <w:r>
        <w:rPr>
          <w:rFonts w:hint="default" w:ascii="Times New Roman" w:hAnsi="Times New Roman" w:eastAsia="宋体" w:cs="Times New Roman"/>
          <w:b w:val="0"/>
          <w:bCs/>
          <w:color w:val="auto"/>
          <w:sz w:val="24"/>
          <w:szCs w:val="24"/>
          <w:lang w:val="en-US" w:eastAsia="zh-CN"/>
        </w:rPr>
        <w:t xml:space="preserve"> </w:t>
      </w:r>
      <w:r>
        <w:rPr>
          <w:rFonts w:hint="default"/>
          <w:sz w:val="24"/>
          <w:szCs w:val="24"/>
          <w:lang w:val="en-US" w:eastAsia="zh-CN"/>
        </w:rPr>
        <w:t>t/a，TP</w:t>
      </w:r>
      <w:r>
        <w:rPr>
          <w:rFonts w:hint="eastAsia"/>
          <w:sz w:val="24"/>
          <w:szCs w:val="24"/>
          <w:lang w:val="en-US" w:eastAsia="zh-CN"/>
        </w:rPr>
        <w:t>：</w:t>
      </w:r>
      <w:r>
        <w:rPr>
          <w:rFonts w:hint="eastAsia" w:cs="Times New Roman"/>
          <w:b w:val="0"/>
          <w:bCs/>
          <w:color w:val="auto"/>
          <w:sz w:val="24"/>
          <w:szCs w:val="24"/>
          <w:lang w:val="en-US" w:eastAsia="zh-CN"/>
        </w:rPr>
        <w:t>0.43</w:t>
      </w:r>
      <w:r>
        <w:rPr>
          <w:rFonts w:hint="default"/>
          <w:sz w:val="24"/>
          <w:szCs w:val="24"/>
          <w:lang w:val="en-US" w:eastAsia="zh-CN"/>
        </w:rPr>
        <w:t>t/a。</w:t>
      </w:r>
    </w:p>
    <w:p w14:paraId="0CA0AC47">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3.2-19  石耶镇畜禽</w:t>
      </w:r>
      <w:r>
        <w:rPr>
          <w:rFonts w:hint="default"/>
          <w:color w:val="auto"/>
          <w:highlight w:val="none"/>
          <w:lang w:val="en-US" w:eastAsia="zh-CN"/>
        </w:rPr>
        <w:t>养殖污染负荷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7"/>
        <w:gridCol w:w="1620"/>
        <w:gridCol w:w="1989"/>
        <w:gridCol w:w="1991"/>
        <w:gridCol w:w="1996"/>
      </w:tblGrid>
      <w:tr w14:paraId="79BA52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917" w:type="dxa"/>
            <w:vMerge w:val="restart"/>
            <w:tcBorders>
              <w:tl2br w:val="nil"/>
              <w:tr2bl w:val="nil"/>
            </w:tcBorders>
            <w:shd w:val="clear" w:color="auto" w:fill="auto"/>
            <w:vAlign w:val="center"/>
          </w:tcPr>
          <w:p w14:paraId="3318DF4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14:paraId="04A4633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6" w:type="dxa"/>
            <w:gridSpan w:val="3"/>
            <w:tcBorders>
              <w:tl2br w:val="nil"/>
              <w:tr2bl w:val="nil"/>
            </w:tcBorders>
            <w:shd w:val="clear" w:color="auto" w:fill="auto"/>
            <w:vAlign w:val="center"/>
          </w:tcPr>
          <w:p w14:paraId="6C95348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4A7F2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17" w:type="dxa"/>
            <w:vMerge w:val="continue"/>
            <w:tcBorders>
              <w:tl2br w:val="nil"/>
              <w:tr2bl w:val="nil"/>
            </w:tcBorders>
            <w:shd w:val="clear" w:color="auto" w:fill="auto"/>
            <w:vAlign w:val="center"/>
          </w:tcPr>
          <w:p w14:paraId="1FE3756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14:paraId="4386328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14:paraId="02FAABF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14:paraId="423B8A5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w:t>
            </w:r>
          </w:p>
        </w:tc>
        <w:tc>
          <w:tcPr>
            <w:tcW w:w="1996" w:type="dxa"/>
            <w:tcBorders>
              <w:tl2br w:val="nil"/>
              <w:tr2bl w:val="nil"/>
            </w:tcBorders>
            <w:shd w:val="clear" w:color="auto" w:fill="auto"/>
            <w:vAlign w:val="center"/>
          </w:tcPr>
          <w:p w14:paraId="1C1568A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607E6E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17" w:type="dxa"/>
            <w:tcBorders>
              <w:tl2br w:val="nil"/>
              <w:tr2bl w:val="nil"/>
            </w:tcBorders>
            <w:shd w:val="clear" w:color="auto" w:fill="auto"/>
            <w:vAlign w:val="center"/>
          </w:tcPr>
          <w:p w14:paraId="5643415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14:paraId="408E8D84">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14:paraId="2BE4E77F">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34.46 </w:t>
            </w:r>
          </w:p>
        </w:tc>
        <w:tc>
          <w:tcPr>
            <w:tcW w:w="1991" w:type="dxa"/>
            <w:tcBorders>
              <w:tl2br w:val="nil"/>
              <w:tr2bl w:val="nil"/>
            </w:tcBorders>
            <w:shd w:val="clear" w:color="auto" w:fill="auto"/>
            <w:vAlign w:val="center"/>
          </w:tcPr>
          <w:p w14:paraId="166E35EA">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0.53 </w:t>
            </w:r>
          </w:p>
        </w:tc>
        <w:tc>
          <w:tcPr>
            <w:tcW w:w="1996" w:type="dxa"/>
            <w:tcBorders>
              <w:tl2br w:val="nil"/>
              <w:tr2bl w:val="nil"/>
            </w:tcBorders>
            <w:shd w:val="clear" w:color="auto" w:fill="auto"/>
            <w:vAlign w:val="center"/>
          </w:tcPr>
          <w:p w14:paraId="5D13910A">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r>
    </w:tbl>
    <w:p w14:paraId="3C7C98E6">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（5）</w:t>
      </w:r>
      <w:r>
        <w:rPr>
          <w:rFonts w:hint="default"/>
          <w:color w:val="auto"/>
          <w:highlight w:val="none"/>
          <w:lang w:val="en-US" w:eastAsia="zh-CN"/>
        </w:rPr>
        <w:t>水产养殖污染</w:t>
      </w:r>
    </w:p>
    <w:p w14:paraId="7791927F">
      <w:pPr>
        <w:pStyle w:val="5"/>
        <w:bidi w:val="0"/>
        <w:rPr>
          <w:rFonts w:hint="eastAsia"/>
          <w:color w:val="auto"/>
          <w:highlight w:val="none"/>
          <w:lang w:val="en-US" w:eastAsia="zh-CN"/>
        </w:rPr>
      </w:pPr>
      <w:r>
        <w:rPr>
          <w:rFonts w:hint="eastAsia"/>
          <w:lang w:val="en-US" w:eastAsia="zh-CN"/>
        </w:rPr>
        <w:t>石耶镇辖区</w:t>
      </w:r>
      <w:r>
        <w:rPr>
          <w:rFonts w:hint="default"/>
          <w:lang w:val="en-US" w:eastAsia="zh-CN"/>
        </w:rPr>
        <w:t>内水产养殖</w:t>
      </w:r>
      <w:r>
        <w:rPr>
          <w:rFonts w:hint="eastAsia"/>
          <w:lang w:val="en-US" w:eastAsia="zh-CN"/>
        </w:rPr>
        <w:t>面积140.5亩，淡水鱼年生产能力70.25t。石耶镇</w:t>
      </w:r>
      <w:r>
        <w:rPr>
          <w:rFonts w:hint="default"/>
          <w:lang w:val="en-US" w:eastAsia="zh-CN"/>
        </w:rPr>
        <w:t>水产养殖现状统计见</w:t>
      </w:r>
      <w:r>
        <w:rPr>
          <w:rFonts w:hint="eastAsia"/>
          <w:lang w:val="en-US" w:eastAsia="zh-CN"/>
        </w:rPr>
        <w:t>下表。</w:t>
      </w:r>
    </w:p>
    <w:p w14:paraId="61CA671D">
      <w:pPr>
        <w:pStyle w:val="56"/>
        <w:bidi w:val="0"/>
        <w:rPr>
          <w:rFonts w:hint="eastAsia"/>
          <w:color w:val="auto"/>
          <w:highlight w:val="none"/>
          <w:lang w:val="en-US" w:eastAsia="zh-CN"/>
        </w:rPr>
      </w:pPr>
      <w:r>
        <w:rPr>
          <w:rFonts w:hint="eastAsia"/>
          <w:color w:val="auto"/>
          <w:highlight w:val="none"/>
          <w:lang w:val="en-US" w:eastAsia="zh-CN"/>
        </w:rPr>
        <w:t>表3.2-20  石耶镇水产养殖现状统计表</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89"/>
        <w:gridCol w:w="1926"/>
        <w:gridCol w:w="2599"/>
        <w:gridCol w:w="2599"/>
      </w:tblGrid>
      <w:tr w14:paraId="64DC79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14:paraId="742F664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926" w:type="dxa"/>
            <w:tcBorders>
              <w:tl2br w:val="nil"/>
              <w:tr2bl w:val="nil"/>
            </w:tcBorders>
            <w:shd w:val="clear" w:color="auto" w:fill="auto"/>
            <w:vAlign w:val="center"/>
          </w:tcPr>
          <w:p w14:paraId="3D9E24A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2599" w:type="dxa"/>
            <w:tcBorders>
              <w:tl2br w:val="nil"/>
              <w:tr2bl w:val="nil"/>
            </w:tcBorders>
            <w:shd w:val="clear" w:color="auto" w:fill="auto"/>
            <w:vAlign w:val="center"/>
          </w:tcPr>
          <w:p w14:paraId="674C0D4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养殖面积（亩）</w:t>
            </w:r>
          </w:p>
        </w:tc>
        <w:tc>
          <w:tcPr>
            <w:tcW w:w="2599" w:type="dxa"/>
            <w:tcBorders>
              <w:tl2br w:val="nil"/>
              <w:tr2bl w:val="nil"/>
            </w:tcBorders>
            <w:shd w:val="clear" w:color="auto" w:fill="auto"/>
            <w:vAlign w:val="center"/>
          </w:tcPr>
          <w:p w14:paraId="6F25EB3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淡水鱼年生产能力（t）</w:t>
            </w:r>
          </w:p>
        </w:tc>
      </w:tr>
      <w:tr w14:paraId="321B92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389" w:type="dxa"/>
            <w:tcBorders>
              <w:tl2br w:val="nil"/>
              <w:tr2bl w:val="nil"/>
            </w:tcBorders>
            <w:shd w:val="clear" w:color="auto" w:fill="auto"/>
            <w:vAlign w:val="center"/>
          </w:tcPr>
          <w:p w14:paraId="5EDAECD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926" w:type="dxa"/>
            <w:tcBorders>
              <w:tl2br w:val="nil"/>
              <w:tr2bl w:val="nil"/>
            </w:tcBorders>
            <w:shd w:val="clear" w:color="auto" w:fill="auto"/>
            <w:vAlign w:val="center"/>
          </w:tcPr>
          <w:p w14:paraId="504949F9">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99" w:type="dxa"/>
            <w:tcBorders>
              <w:tl2br w:val="nil"/>
              <w:tr2bl w:val="nil"/>
            </w:tcBorders>
            <w:shd w:val="clear" w:color="auto" w:fill="auto"/>
            <w:vAlign w:val="center"/>
          </w:tcPr>
          <w:p w14:paraId="564588D3">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140.5</w:t>
            </w:r>
          </w:p>
        </w:tc>
        <w:tc>
          <w:tcPr>
            <w:tcW w:w="2599" w:type="dxa"/>
            <w:tcBorders>
              <w:tl2br w:val="nil"/>
              <w:tr2bl w:val="nil"/>
            </w:tcBorders>
            <w:shd w:val="clear" w:color="auto" w:fill="auto"/>
            <w:vAlign w:val="center"/>
          </w:tcPr>
          <w:p w14:paraId="1E1F8C8B">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default" w:ascii="Times New Roman" w:hAnsi="Times New Roman" w:cs="Times New Roman"/>
                <w:b w:val="0"/>
                <w:bCs/>
                <w:color w:val="auto"/>
                <w:sz w:val="21"/>
                <w:szCs w:val="21"/>
                <w:lang w:val="en-US" w:eastAsia="zh-CN"/>
              </w:rPr>
              <w:t>70.25</w:t>
            </w:r>
          </w:p>
        </w:tc>
      </w:tr>
    </w:tbl>
    <w:p w14:paraId="39D40389">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根据《第一次全国污染源普查水产养殖业污染源产排污系数手册》，水产养殖的污染物排放量计算方法为：</w:t>
      </w:r>
    </w:p>
    <w:p w14:paraId="0CA4B434">
      <w:pPr>
        <w:pStyle w:val="5"/>
        <w:bidi w:val="0"/>
        <w:rPr>
          <w:rFonts w:hint="default"/>
          <w:lang w:val="en-US" w:eastAsia="zh-CN"/>
        </w:rPr>
      </w:pPr>
      <w:r>
        <w:rPr>
          <w:rFonts w:hint="default"/>
          <w:lang w:val="en-US" w:eastAsia="zh-CN"/>
        </w:rPr>
        <w:t>污染物排放量=排污系数×养殖增产量</w:t>
      </w:r>
    </w:p>
    <w:p w14:paraId="747B086D">
      <w:pPr>
        <w:pStyle w:val="5"/>
        <w:bidi w:val="0"/>
        <w:rPr>
          <w:rFonts w:hint="default"/>
          <w:lang w:val="en-US" w:eastAsia="zh-CN"/>
        </w:rPr>
      </w:pPr>
      <w:r>
        <w:rPr>
          <w:rFonts w:hint="eastAsia"/>
          <w:lang w:val="en-US" w:eastAsia="zh-CN"/>
        </w:rPr>
        <w:t>石耶镇</w:t>
      </w:r>
      <w:r>
        <w:rPr>
          <w:rFonts w:hint="default"/>
          <w:lang w:val="en-US" w:eastAsia="zh-CN"/>
        </w:rPr>
        <w:t>养殖产品为成鱼养殖，养殖水体类型为淡水，养殖模式为池塘养殖和水库养殖，养殖品种主要为草鱼、鲢鱼、鲫鱼</w:t>
      </w:r>
      <w:r>
        <w:rPr>
          <w:rFonts w:hint="eastAsia"/>
          <w:lang w:val="en-US" w:eastAsia="zh-CN"/>
        </w:rPr>
        <w:t>、小龙虾</w:t>
      </w:r>
      <w:r>
        <w:rPr>
          <w:rFonts w:hint="default"/>
          <w:lang w:val="en-US" w:eastAsia="zh-CN"/>
        </w:rPr>
        <w:t>。查手册：</w:t>
      </w:r>
    </w:p>
    <w:p w14:paraId="4AD45A31">
      <w:pPr>
        <w:pStyle w:val="5"/>
        <w:bidi w:val="0"/>
        <w:rPr>
          <w:rFonts w:hint="default"/>
          <w:lang w:val="en-US" w:eastAsia="zh-CN"/>
        </w:rPr>
      </w:pPr>
      <w:r>
        <w:rPr>
          <w:rFonts w:hint="default"/>
          <w:lang w:val="en-US" w:eastAsia="zh-CN"/>
        </w:rPr>
        <w:t>池塘养殖草鱼的排污系数</w:t>
      </w:r>
      <w:r>
        <w:rPr>
          <w:rFonts w:hint="eastAsia"/>
          <w:lang w:val="en-US" w:eastAsia="zh-CN"/>
        </w:rPr>
        <w:t>，</w:t>
      </w:r>
      <w:r>
        <w:rPr>
          <w:rFonts w:hint="default"/>
          <w:lang w:val="en-US" w:eastAsia="zh-CN"/>
        </w:rPr>
        <w:t>COD</w:t>
      </w:r>
      <w:r>
        <w:rPr>
          <w:rFonts w:hint="eastAsia"/>
          <w:lang w:val="en-US" w:eastAsia="zh-CN"/>
        </w:rPr>
        <w:t>：</w:t>
      </w:r>
      <w:r>
        <w:rPr>
          <w:rFonts w:hint="default"/>
          <w:lang w:val="en-US" w:eastAsia="zh-CN"/>
        </w:rPr>
        <w:t>90.877g/kg、TP</w:t>
      </w:r>
      <w:r>
        <w:rPr>
          <w:rFonts w:hint="eastAsia"/>
          <w:lang w:val="en-US" w:eastAsia="zh-CN"/>
        </w:rPr>
        <w:t>：</w:t>
      </w:r>
      <w:r>
        <w:rPr>
          <w:rFonts w:hint="default"/>
          <w:lang w:val="en-US" w:eastAsia="zh-CN"/>
        </w:rPr>
        <w:t xml:space="preserve">1.569g/kg； </w:t>
      </w:r>
    </w:p>
    <w:p w14:paraId="1E15D546">
      <w:pPr>
        <w:pStyle w:val="5"/>
        <w:bidi w:val="0"/>
        <w:rPr>
          <w:rFonts w:hint="default"/>
          <w:lang w:val="en-US" w:eastAsia="zh-CN"/>
        </w:rPr>
      </w:pPr>
      <w:r>
        <w:rPr>
          <w:rFonts w:hint="default"/>
          <w:lang w:val="en-US" w:eastAsia="zh-CN"/>
        </w:rPr>
        <w:t>池塘养殖鲢鱼的排污系数，COD</w:t>
      </w:r>
      <w:r>
        <w:rPr>
          <w:rFonts w:hint="eastAsia"/>
          <w:lang w:val="en-US" w:eastAsia="zh-CN"/>
        </w:rPr>
        <w:t>：</w:t>
      </w:r>
      <w:r>
        <w:rPr>
          <w:rFonts w:hint="default"/>
          <w:lang w:val="en-US" w:eastAsia="zh-CN"/>
        </w:rPr>
        <w:t>26.462g/kg、TP</w:t>
      </w:r>
      <w:r>
        <w:rPr>
          <w:rFonts w:hint="eastAsia"/>
          <w:lang w:val="en-US" w:eastAsia="zh-CN"/>
        </w:rPr>
        <w:t>：</w:t>
      </w:r>
      <w:r>
        <w:rPr>
          <w:rFonts w:hint="default"/>
          <w:lang w:val="en-US" w:eastAsia="zh-CN"/>
        </w:rPr>
        <w:t>0.607g/kg；</w:t>
      </w:r>
    </w:p>
    <w:p w14:paraId="29579928">
      <w:pPr>
        <w:pStyle w:val="5"/>
        <w:bidi w:val="0"/>
        <w:rPr>
          <w:rFonts w:hint="default"/>
          <w:lang w:val="en-US" w:eastAsia="zh-CN"/>
        </w:rPr>
      </w:pPr>
      <w:r>
        <w:rPr>
          <w:rFonts w:hint="default"/>
          <w:lang w:val="en-US" w:eastAsia="zh-CN"/>
        </w:rPr>
        <w:t>池塘养殖</w:t>
      </w:r>
      <w:r>
        <w:rPr>
          <w:rFonts w:hint="eastAsia"/>
          <w:lang w:val="en-US" w:eastAsia="zh-CN"/>
        </w:rPr>
        <w:t>鲫鱼</w:t>
      </w:r>
      <w:r>
        <w:rPr>
          <w:rFonts w:hint="default"/>
          <w:lang w:val="en-US" w:eastAsia="zh-CN"/>
        </w:rPr>
        <w:t>的排污系数，COD</w:t>
      </w:r>
      <w:r>
        <w:rPr>
          <w:rFonts w:hint="eastAsia"/>
          <w:lang w:val="en-US" w:eastAsia="zh-CN"/>
        </w:rPr>
        <w:t>：24.18</w:t>
      </w:r>
      <w:r>
        <w:rPr>
          <w:rFonts w:hint="default"/>
          <w:lang w:val="en-US" w:eastAsia="zh-CN"/>
        </w:rPr>
        <w:t>g/kg、TP</w:t>
      </w:r>
      <w:r>
        <w:rPr>
          <w:rFonts w:hint="eastAsia"/>
          <w:lang w:val="en-US" w:eastAsia="zh-CN"/>
        </w:rPr>
        <w:t>：1.809</w:t>
      </w:r>
      <w:r>
        <w:rPr>
          <w:rFonts w:hint="default"/>
          <w:lang w:val="en-US" w:eastAsia="zh-CN"/>
        </w:rPr>
        <w:t>g/kg；</w:t>
      </w:r>
    </w:p>
    <w:p w14:paraId="4E261B4C">
      <w:pPr>
        <w:pStyle w:val="5"/>
        <w:bidi w:val="0"/>
        <w:rPr>
          <w:rFonts w:hint="eastAsia"/>
          <w:lang w:val="en-US" w:eastAsia="zh-CN"/>
        </w:rPr>
      </w:pPr>
      <w:r>
        <w:rPr>
          <w:rFonts w:hint="default"/>
          <w:lang w:val="en-US" w:eastAsia="zh-CN"/>
        </w:rPr>
        <w:t>池塘养殖</w:t>
      </w:r>
      <w:r>
        <w:rPr>
          <w:rFonts w:hint="eastAsia"/>
          <w:lang w:val="en-US" w:eastAsia="zh-CN"/>
        </w:rPr>
        <w:t>小龙虾</w:t>
      </w:r>
      <w:r>
        <w:rPr>
          <w:rFonts w:hint="default"/>
          <w:lang w:val="en-US" w:eastAsia="zh-CN"/>
        </w:rPr>
        <w:t>的排污系数，COD</w:t>
      </w:r>
      <w:r>
        <w:rPr>
          <w:rFonts w:hint="eastAsia"/>
          <w:lang w:val="en-US" w:eastAsia="zh-CN"/>
        </w:rPr>
        <w:t>：2.54</w:t>
      </w:r>
      <w:r>
        <w:rPr>
          <w:rFonts w:hint="default"/>
          <w:lang w:val="en-US" w:eastAsia="zh-CN"/>
        </w:rPr>
        <w:t>g/kg、TP</w:t>
      </w:r>
      <w:r>
        <w:rPr>
          <w:rFonts w:hint="eastAsia"/>
          <w:lang w:val="en-US" w:eastAsia="zh-CN"/>
        </w:rPr>
        <w:t>：0.577</w:t>
      </w:r>
      <w:r>
        <w:rPr>
          <w:rFonts w:hint="default"/>
          <w:lang w:val="en-US" w:eastAsia="zh-CN"/>
        </w:rPr>
        <w:t>g/kg</w:t>
      </w:r>
      <w:r>
        <w:rPr>
          <w:rFonts w:hint="eastAsia"/>
          <w:lang w:val="en-US" w:eastAsia="zh-CN"/>
        </w:rPr>
        <w:t>。</w:t>
      </w:r>
    </w:p>
    <w:p w14:paraId="311D0850">
      <w:pPr>
        <w:pStyle w:val="5"/>
        <w:bidi w:val="0"/>
        <w:rPr>
          <w:rFonts w:hint="default"/>
          <w:color w:val="auto"/>
          <w:highlight w:val="none"/>
          <w:lang w:val="en-US" w:eastAsia="zh-CN"/>
        </w:rPr>
      </w:pPr>
      <w:r>
        <w:rPr>
          <w:rFonts w:hint="eastAsia"/>
          <w:lang w:val="en-US" w:eastAsia="zh-CN"/>
        </w:rPr>
        <w:t>计算得石耶镇</w:t>
      </w:r>
      <w:r>
        <w:rPr>
          <w:rFonts w:hint="default"/>
          <w:lang w:val="en-US" w:eastAsia="zh-CN"/>
        </w:rPr>
        <w:t>水产养殖污染负荷，COD：</w:t>
      </w:r>
      <w:r>
        <w:rPr>
          <w:rFonts w:hint="eastAsia"/>
          <w:lang w:val="en-US" w:eastAsia="zh-CN"/>
        </w:rPr>
        <w:t>3.31</w:t>
      </w:r>
      <w:r>
        <w:rPr>
          <w:rFonts w:hint="default"/>
          <w:lang w:val="en-US" w:eastAsia="zh-CN"/>
        </w:rPr>
        <w:t>t/a，TP</w:t>
      </w:r>
      <w:r>
        <w:rPr>
          <w:rFonts w:hint="eastAsia"/>
          <w:lang w:val="en-US" w:eastAsia="zh-CN"/>
        </w:rPr>
        <w:t>：0.08</w:t>
      </w:r>
      <w:r>
        <w:rPr>
          <w:rFonts w:hint="default"/>
          <w:lang w:val="en-US" w:eastAsia="zh-CN"/>
        </w:rPr>
        <w:t>t/a。</w:t>
      </w:r>
    </w:p>
    <w:p w14:paraId="1CCC7479">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3.2-21  石耶镇</w:t>
      </w:r>
      <w:r>
        <w:rPr>
          <w:rFonts w:hint="default"/>
          <w:color w:val="auto"/>
          <w:highlight w:val="none"/>
          <w:lang w:val="en-US" w:eastAsia="zh-CN"/>
        </w:rPr>
        <w:t>水产养殖污染负荷</w:t>
      </w:r>
    </w:p>
    <w:tbl>
      <w:tblPr>
        <w:tblStyle w:val="23"/>
        <w:tblW w:w="851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257"/>
        <w:gridCol w:w="2211"/>
        <w:gridCol w:w="2523"/>
        <w:gridCol w:w="2525"/>
      </w:tblGrid>
      <w:tr w14:paraId="4B107B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57" w:type="dxa"/>
            <w:vMerge w:val="restart"/>
            <w:tcBorders>
              <w:tl2br w:val="nil"/>
              <w:tr2bl w:val="nil"/>
            </w:tcBorders>
            <w:shd w:val="clear" w:color="auto" w:fill="auto"/>
            <w:vAlign w:val="center"/>
          </w:tcPr>
          <w:p w14:paraId="43A53A97">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2211" w:type="dxa"/>
            <w:vMerge w:val="restart"/>
            <w:tcBorders>
              <w:tl2br w:val="nil"/>
              <w:tr2bl w:val="nil"/>
            </w:tcBorders>
            <w:shd w:val="clear" w:color="auto" w:fill="auto"/>
            <w:vAlign w:val="center"/>
          </w:tcPr>
          <w:p w14:paraId="3123FF3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048" w:type="dxa"/>
            <w:gridSpan w:val="2"/>
            <w:tcBorders>
              <w:tl2br w:val="nil"/>
              <w:tr2bl w:val="nil"/>
            </w:tcBorders>
            <w:shd w:val="clear" w:color="auto" w:fill="auto"/>
            <w:vAlign w:val="center"/>
          </w:tcPr>
          <w:p w14:paraId="70F50C9B">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4B3F0D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57" w:type="dxa"/>
            <w:vMerge w:val="continue"/>
            <w:tcBorders>
              <w:tl2br w:val="nil"/>
              <w:tr2bl w:val="nil"/>
            </w:tcBorders>
            <w:shd w:val="clear" w:color="auto" w:fill="auto"/>
            <w:vAlign w:val="center"/>
          </w:tcPr>
          <w:p w14:paraId="2F25A44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211" w:type="dxa"/>
            <w:vMerge w:val="continue"/>
            <w:tcBorders>
              <w:tl2br w:val="nil"/>
              <w:tr2bl w:val="nil"/>
            </w:tcBorders>
            <w:shd w:val="clear" w:color="auto" w:fill="auto"/>
            <w:vAlign w:val="center"/>
          </w:tcPr>
          <w:p w14:paraId="2A5110B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523" w:type="dxa"/>
            <w:tcBorders>
              <w:tl2br w:val="nil"/>
              <w:tr2bl w:val="nil"/>
            </w:tcBorders>
            <w:shd w:val="clear" w:color="auto" w:fill="auto"/>
            <w:vAlign w:val="center"/>
          </w:tcPr>
          <w:p w14:paraId="251404B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2525" w:type="dxa"/>
            <w:tcBorders>
              <w:tl2br w:val="nil"/>
              <w:tr2bl w:val="nil"/>
            </w:tcBorders>
            <w:shd w:val="clear" w:color="auto" w:fill="auto"/>
            <w:vAlign w:val="center"/>
          </w:tcPr>
          <w:p w14:paraId="607AEBA4">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405FF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257" w:type="dxa"/>
            <w:tcBorders>
              <w:tl2br w:val="nil"/>
              <w:tr2bl w:val="nil"/>
            </w:tcBorders>
            <w:shd w:val="clear" w:color="auto" w:fill="auto"/>
            <w:vAlign w:val="center"/>
          </w:tcPr>
          <w:p w14:paraId="4418093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2211" w:type="dxa"/>
            <w:tcBorders>
              <w:tl2br w:val="nil"/>
              <w:tr2bl w:val="nil"/>
            </w:tcBorders>
            <w:shd w:val="clear" w:color="auto" w:fill="auto"/>
            <w:vAlign w:val="center"/>
          </w:tcPr>
          <w:p w14:paraId="1458D504">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2523" w:type="dxa"/>
            <w:tcBorders>
              <w:tl2br w:val="nil"/>
              <w:tr2bl w:val="nil"/>
            </w:tcBorders>
            <w:shd w:val="clear" w:color="auto" w:fill="auto"/>
            <w:vAlign w:val="center"/>
          </w:tcPr>
          <w:p w14:paraId="008106B7">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3.31 </w:t>
            </w:r>
          </w:p>
        </w:tc>
        <w:tc>
          <w:tcPr>
            <w:tcW w:w="2525" w:type="dxa"/>
            <w:tcBorders>
              <w:tl2br w:val="nil"/>
              <w:tr2bl w:val="nil"/>
            </w:tcBorders>
            <w:shd w:val="clear" w:color="auto" w:fill="auto"/>
            <w:vAlign w:val="center"/>
          </w:tcPr>
          <w:p w14:paraId="66674AF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p>
        </w:tc>
      </w:tr>
    </w:tbl>
    <w:p w14:paraId="2B09DABA">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（6）</w:t>
      </w:r>
      <w:r>
        <w:rPr>
          <w:rFonts w:hint="default"/>
          <w:color w:val="auto"/>
          <w:highlight w:val="none"/>
          <w:lang w:val="en-US" w:eastAsia="zh-CN"/>
        </w:rPr>
        <w:t>水土流失污染</w:t>
      </w:r>
    </w:p>
    <w:p w14:paraId="21432C1D">
      <w:pPr>
        <w:pStyle w:val="5"/>
        <w:bidi w:val="0"/>
        <w:rPr>
          <w:rFonts w:hint="default"/>
          <w:lang w:val="en-US" w:eastAsia="zh-CN"/>
        </w:rPr>
      </w:pPr>
      <w:r>
        <w:rPr>
          <w:rFonts w:hint="default"/>
          <w:lang w:val="en-US" w:eastAsia="zh-CN"/>
        </w:rPr>
        <w:t>水土流失影响生态平衡。水土流失是水质污染的一个重要原因。水土流失产生的泥沙与流失的养分及化学农药等有机污染物，引起水库、湖泊、河流等水体的富营养化，破坏了水体的生态平衡。</w:t>
      </w:r>
    </w:p>
    <w:p w14:paraId="1283618C">
      <w:pPr>
        <w:pStyle w:val="5"/>
        <w:bidi w:val="0"/>
        <w:rPr>
          <w:rFonts w:hint="eastAsia"/>
          <w:color w:val="auto"/>
          <w:highlight w:val="none"/>
          <w:lang w:val="en-US" w:eastAsia="zh-CN"/>
        </w:rPr>
      </w:pPr>
      <w:r>
        <w:rPr>
          <w:rFonts w:hint="eastAsia"/>
          <w:lang w:val="en-US" w:eastAsia="zh-CN"/>
        </w:rPr>
        <w:t>根据《重庆市秀山县水土保持规划（2018-2030年）》，秀山县</w:t>
      </w:r>
      <w:r>
        <w:rPr>
          <w:rFonts w:hint="default"/>
          <w:lang w:val="en-US" w:eastAsia="zh-CN"/>
        </w:rPr>
        <w:t>土壤年均侵蚀模数</w:t>
      </w:r>
      <w:r>
        <w:rPr>
          <w:rFonts w:hint="eastAsia"/>
          <w:lang w:val="en-US" w:eastAsia="zh-CN"/>
        </w:rPr>
        <w:t>2950</w:t>
      </w:r>
      <w:r>
        <w:rPr>
          <w:rFonts w:hint="default"/>
          <w:lang w:val="en-US" w:eastAsia="zh-CN"/>
        </w:rPr>
        <w:t>t/km</w:t>
      </w:r>
      <w:r>
        <w:rPr>
          <w:rFonts w:hint="default"/>
          <w:vertAlign w:val="superscript"/>
          <w:lang w:val="en-US" w:eastAsia="zh-CN"/>
        </w:rPr>
        <w:t>2</w:t>
      </w:r>
      <w:r>
        <w:rPr>
          <w:rFonts w:hint="default"/>
          <w:lang w:val="en-US" w:eastAsia="zh-CN"/>
        </w:rPr>
        <w:t>·a</w:t>
      </w:r>
      <w:r>
        <w:rPr>
          <w:rFonts w:hint="eastAsia"/>
          <w:lang w:val="en-US" w:eastAsia="zh-CN"/>
        </w:rPr>
        <w:t>，石耶镇</w:t>
      </w:r>
      <w:r>
        <w:rPr>
          <w:rFonts w:hint="default"/>
          <w:lang w:val="en-US" w:eastAsia="zh-CN"/>
        </w:rPr>
        <w:t>水土流失面积</w:t>
      </w:r>
      <w:r>
        <w:rPr>
          <w:rFonts w:hint="eastAsia"/>
          <w:lang w:val="en-US" w:eastAsia="zh-CN"/>
        </w:rPr>
        <w:t>15.44</w:t>
      </w:r>
      <w:r>
        <w:rPr>
          <w:rFonts w:hint="default"/>
          <w:lang w:val="en-US" w:eastAsia="zh-CN"/>
        </w:rPr>
        <w:t>km</w:t>
      </w:r>
      <w:r>
        <w:rPr>
          <w:rFonts w:hint="default"/>
          <w:vertAlign w:val="superscript"/>
          <w:lang w:val="en-US" w:eastAsia="zh-CN"/>
        </w:rPr>
        <w:t>2</w:t>
      </w:r>
      <w:r>
        <w:rPr>
          <w:rFonts w:hint="default"/>
          <w:lang w:val="en-US" w:eastAsia="zh-CN"/>
        </w:rPr>
        <w:t>，年均侵蚀总量</w:t>
      </w:r>
      <w:r>
        <w:rPr>
          <w:rFonts w:hint="eastAsia" w:cs="Times New Roman"/>
          <w:b w:val="0"/>
          <w:bCs/>
          <w:color w:val="auto"/>
          <w:sz w:val="24"/>
          <w:szCs w:val="24"/>
          <w:lang w:val="en-US" w:eastAsia="zh-CN"/>
        </w:rPr>
        <w:t>4.56</w:t>
      </w:r>
      <w:r>
        <w:rPr>
          <w:rFonts w:hint="eastAsia" w:ascii="Times New Roman" w:hAnsi="Times New Roman" w:cs="Times New Roman"/>
          <w:b w:val="0"/>
          <w:bCs/>
          <w:color w:val="auto"/>
          <w:sz w:val="24"/>
          <w:szCs w:val="24"/>
          <w:lang w:val="en-US" w:eastAsia="zh-CN"/>
        </w:rPr>
        <w:t xml:space="preserve"> </w:t>
      </w:r>
      <w:r>
        <w:rPr>
          <w:rFonts w:hint="default"/>
          <w:lang w:val="en-US" w:eastAsia="zh-CN"/>
        </w:rPr>
        <w:t>万t。</w:t>
      </w:r>
      <w:r>
        <w:rPr>
          <w:rFonts w:hint="eastAsia"/>
          <w:lang w:val="en-US" w:eastAsia="zh-CN"/>
        </w:rPr>
        <w:t>水土流失现状见下表。</w:t>
      </w:r>
    </w:p>
    <w:p w14:paraId="487DD8CC">
      <w:pPr>
        <w:pStyle w:val="56"/>
        <w:bidi w:val="0"/>
        <w:rPr>
          <w:rFonts w:hint="default"/>
          <w:color w:val="auto"/>
          <w:szCs w:val="24"/>
          <w:highlight w:val="none"/>
          <w:lang w:val="en-US" w:eastAsia="zh-CN"/>
        </w:rPr>
      </w:pPr>
      <w:r>
        <w:rPr>
          <w:rFonts w:hint="default"/>
          <w:lang w:val="en-US" w:eastAsia="zh-CN"/>
        </w:rPr>
        <w:t>表</w:t>
      </w:r>
      <w:r>
        <w:rPr>
          <w:rFonts w:hint="eastAsia"/>
          <w:lang w:val="en-US" w:eastAsia="zh-CN"/>
        </w:rPr>
        <w:t>3.2-22  石耶镇水土流失现状统计</w:t>
      </w:r>
    </w:p>
    <w:tbl>
      <w:tblPr>
        <w:tblStyle w:val="23"/>
        <w:tblW w:w="8513" w:type="dxa"/>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702"/>
        <w:gridCol w:w="1266"/>
        <w:gridCol w:w="2233"/>
        <w:gridCol w:w="2513"/>
        <w:gridCol w:w="1799"/>
      </w:tblGrid>
      <w:tr w14:paraId="103936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14:paraId="5A2D4B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lang w:val="en-US"/>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序号</w:t>
            </w:r>
          </w:p>
        </w:tc>
        <w:tc>
          <w:tcPr>
            <w:tcW w:w="1266" w:type="dxa"/>
            <w:tcBorders>
              <w:tl2br w:val="nil"/>
              <w:tr2bl w:val="nil"/>
            </w:tcBorders>
            <w:shd w:val="clear" w:color="auto" w:fill="auto"/>
            <w:vAlign w:val="center"/>
          </w:tcPr>
          <w:p w14:paraId="21259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乡镇、街道</w:t>
            </w:r>
          </w:p>
        </w:tc>
        <w:tc>
          <w:tcPr>
            <w:tcW w:w="2233" w:type="dxa"/>
            <w:tcBorders>
              <w:tl2br w:val="nil"/>
              <w:tr2bl w:val="nil"/>
            </w:tcBorders>
            <w:shd w:val="clear" w:color="auto" w:fill="auto"/>
            <w:vAlign w:val="center"/>
          </w:tcPr>
          <w:p w14:paraId="6F715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水土流失面积（hm</w:t>
            </w:r>
            <w:r>
              <w:rPr>
                <w:rFonts w:hint="default" w:ascii="Times New Roman" w:hAnsi="Times New Roman" w:eastAsia="宋体" w:cs="Times New Roman"/>
                <w:b w:val="0"/>
                <w:bCs w:val="0"/>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2513" w:type="dxa"/>
            <w:tcBorders>
              <w:tl2br w:val="nil"/>
              <w:tr2bl w:val="nil"/>
            </w:tcBorders>
            <w:shd w:val="clear" w:color="auto" w:fill="auto"/>
            <w:vAlign w:val="center"/>
          </w:tcPr>
          <w:p w14:paraId="38B11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年均侵蚀模数（</w:t>
            </w:r>
            <w:r>
              <w:rPr>
                <w:rFonts w:hint="default" w:ascii="Times New Roman" w:hAnsi="Times New Roman" w:eastAsia="宋体" w:cs="Times New Roman"/>
                <w:b w:val="0"/>
                <w:bCs w:val="0"/>
                <w:color w:val="auto"/>
                <w:sz w:val="21"/>
                <w:szCs w:val="21"/>
                <w:highlight w:val="none"/>
                <w:lang w:val="en-US" w:eastAsia="zh-CN"/>
              </w:rPr>
              <w:t>t/km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·a</w:t>
            </w: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799" w:type="dxa"/>
            <w:tcBorders>
              <w:tl2br w:val="nil"/>
              <w:tr2bl w:val="nil"/>
            </w:tcBorders>
            <w:shd w:val="clear" w:color="auto" w:fill="auto"/>
            <w:vAlign w:val="center"/>
          </w:tcPr>
          <w:p w14:paraId="50D43D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sz w:val="21"/>
                <w:szCs w:val="21"/>
                <w:highlight w:val="none"/>
                <w:u w:val="none"/>
                <w:lang w:val="en-US" w:eastAsia="zh-CN"/>
              </w:rPr>
              <w:t>侵蚀总量（万t）</w:t>
            </w:r>
          </w:p>
        </w:tc>
      </w:tr>
      <w:tr w14:paraId="53CEB1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40" w:hRule="atLeast"/>
        </w:trPr>
        <w:tc>
          <w:tcPr>
            <w:tcW w:w="702" w:type="dxa"/>
            <w:tcBorders>
              <w:tl2br w:val="nil"/>
              <w:tr2bl w:val="nil"/>
            </w:tcBorders>
            <w:shd w:val="clear" w:color="auto" w:fill="auto"/>
            <w:vAlign w:val="center"/>
          </w:tcPr>
          <w:p w14:paraId="3768D4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w:t>
            </w:r>
          </w:p>
        </w:tc>
        <w:tc>
          <w:tcPr>
            <w:tcW w:w="1266" w:type="dxa"/>
            <w:tcBorders>
              <w:tl2br w:val="nil"/>
              <w:tr2bl w:val="nil"/>
            </w:tcBorders>
            <w:shd w:val="clear" w:color="auto" w:fill="auto"/>
            <w:vAlign w:val="center"/>
          </w:tcPr>
          <w:p w14:paraId="2C8F42E5">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i w:val="0"/>
                <w:iCs w:val="0"/>
                <w:color w:val="auto"/>
                <w:kern w:val="2"/>
                <w:sz w:val="21"/>
                <w:szCs w:val="21"/>
                <w:highlight w:val="none"/>
                <w:u w:val="none"/>
                <w:lang w:val="en-US" w:eastAsia="zh-CN" w:bidi="ar-SA"/>
              </w:rPr>
            </w:pPr>
            <w:r>
              <w:rPr>
                <w:rFonts w:hint="eastAsia" w:ascii="Times New Roman" w:cs="Times New Roman"/>
                <w:b w:val="0"/>
                <w:bCs w:val="0"/>
                <w:color w:val="auto"/>
                <w:sz w:val="21"/>
                <w:szCs w:val="21"/>
                <w:highlight w:val="none"/>
                <w:lang w:val="en-US" w:eastAsia="zh-CN"/>
              </w:rPr>
              <w:t>石耶镇</w:t>
            </w:r>
          </w:p>
        </w:tc>
        <w:tc>
          <w:tcPr>
            <w:tcW w:w="2233" w:type="dxa"/>
            <w:tcBorders>
              <w:tl2br w:val="nil"/>
              <w:tr2bl w:val="nil"/>
            </w:tcBorders>
            <w:shd w:val="clear" w:color="auto" w:fill="auto"/>
            <w:vAlign w:val="center"/>
          </w:tcPr>
          <w:p w14:paraId="1478F694">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1544.18</w:t>
            </w:r>
          </w:p>
        </w:tc>
        <w:tc>
          <w:tcPr>
            <w:tcW w:w="2513" w:type="dxa"/>
            <w:tcBorders>
              <w:tl2br w:val="nil"/>
              <w:tr2bl w:val="nil"/>
            </w:tcBorders>
            <w:shd w:val="clear" w:color="auto" w:fill="auto"/>
            <w:vAlign w:val="center"/>
          </w:tcPr>
          <w:p w14:paraId="76F4868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2950</w:t>
            </w:r>
          </w:p>
        </w:tc>
        <w:tc>
          <w:tcPr>
            <w:tcW w:w="1799" w:type="dxa"/>
            <w:tcBorders>
              <w:tl2br w:val="nil"/>
              <w:tr2bl w:val="nil"/>
            </w:tcBorders>
            <w:shd w:val="clear" w:color="auto" w:fill="auto"/>
            <w:vAlign w:val="center"/>
          </w:tcPr>
          <w:p w14:paraId="34C18B46">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4.56 </w:t>
            </w:r>
          </w:p>
        </w:tc>
      </w:tr>
    </w:tbl>
    <w:p w14:paraId="538094A1">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default"/>
          <w:lang w:val="en-US" w:eastAsia="zh-CN"/>
        </w:rPr>
        <w:t>因水土流失进入河流的污染负荷可以根据下面公式计算：</w:t>
      </w:r>
    </w:p>
    <w:p w14:paraId="6EDF719B">
      <w:pPr>
        <w:pStyle w:val="5"/>
        <w:bidi w:val="0"/>
        <w:ind w:left="0" w:leftChars="0" w:firstLine="0" w:firstLineChars="0"/>
        <w:jc w:val="center"/>
        <w:rPr>
          <w:rFonts w:hint="default"/>
          <w:lang w:val="en-US" w:eastAsia="zh-CN"/>
        </w:rPr>
      </w:pPr>
      <w:r>
        <w:rPr>
          <w:rFonts w:hint="default"/>
          <w:lang w:val="en-US" w:eastAsia="zh-CN"/>
        </w:rPr>
        <w:t>W</w:t>
      </w:r>
      <w:r>
        <w:rPr>
          <w:rFonts w:hint="default"/>
          <w:vertAlign w:val="subscript"/>
          <w:lang w:val="en-US" w:eastAsia="zh-CN"/>
        </w:rPr>
        <w:t>i</w:t>
      </w:r>
      <w:r>
        <w:rPr>
          <w:rFonts w:hint="default"/>
          <w:lang w:val="en-US" w:eastAsia="zh-CN"/>
        </w:rPr>
        <w:t>=A×S</w:t>
      </w:r>
      <w:r>
        <w:rPr>
          <w:rFonts w:hint="default" w:ascii="Times New Roman" w:hAnsi="Times New Roman" w:cs="Times New Roman"/>
          <w:vertAlign w:val="subscript"/>
          <w:lang w:val="en-US" w:eastAsia="zh-CN"/>
        </w:rPr>
        <w:t>i</w:t>
      </w:r>
      <w:r>
        <w:rPr>
          <w:rFonts w:hint="default"/>
          <w:lang w:val="en-US" w:eastAsia="zh-CN"/>
        </w:rPr>
        <w:t>×DR×C</w:t>
      </w:r>
      <w:r>
        <w:rPr>
          <w:rFonts w:hint="default" w:ascii="Times New Roman" w:hAnsi="Times New Roman" w:cs="Times New Roman"/>
          <w:vertAlign w:val="subscript"/>
          <w:lang w:val="en-US" w:eastAsia="zh-CN"/>
        </w:rPr>
        <w:t>i</w:t>
      </w:r>
      <w:r>
        <w:rPr>
          <w:rFonts w:hint="default"/>
          <w:lang w:val="en-US" w:eastAsia="zh-CN"/>
        </w:rPr>
        <w:t>×10</w:t>
      </w:r>
      <w:r>
        <w:rPr>
          <w:rFonts w:hint="default"/>
          <w:vertAlign w:val="superscript"/>
          <w:lang w:val="en-US" w:eastAsia="zh-CN"/>
        </w:rPr>
        <w:t>-6</w:t>
      </w:r>
    </w:p>
    <w:p w14:paraId="36244221">
      <w:pPr>
        <w:pStyle w:val="5"/>
        <w:bidi w:val="0"/>
        <w:rPr>
          <w:rFonts w:hint="default"/>
          <w:lang w:val="en-US" w:eastAsia="zh-CN"/>
        </w:rPr>
      </w:pPr>
      <w:r>
        <w:rPr>
          <w:rFonts w:hint="default"/>
          <w:lang w:val="en-US" w:eastAsia="zh-CN"/>
        </w:rPr>
        <w:t>式中：</w:t>
      </w:r>
    </w:p>
    <w:p w14:paraId="66A5DECD">
      <w:pPr>
        <w:pStyle w:val="5"/>
        <w:bidi w:val="0"/>
        <w:ind w:firstLine="968" w:firstLineChars="400"/>
        <w:rPr>
          <w:rFonts w:hint="default"/>
          <w:lang w:val="en-US" w:eastAsia="zh-CN"/>
        </w:rPr>
      </w:pPr>
      <w:r>
        <w:rPr>
          <w:rFonts w:hint="default"/>
          <w:lang w:val="en-US" w:eastAsia="zh-CN"/>
        </w:rPr>
        <w:t>W</w:t>
      </w:r>
      <w:r>
        <w:rPr>
          <w:rFonts w:hint="default" w:ascii="Times New Roman" w:hAnsi="Times New Roman" w:cs="Times New Roman"/>
          <w:vertAlign w:val="subscript"/>
          <w:lang w:val="en-US" w:eastAsia="zh-CN"/>
        </w:rPr>
        <w:t>i</w:t>
      </w:r>
      <w:r>
        <w:rPr>
          <w:rFonts w:hint="default"/>
          <w:lang w:val="en-US" w:eastAsia="zh-CN"/>
        </w:rPr>
        <w:t>——水土流失带入流域的污染量，t/a；</w:t>
      </w:r>
    </w:p>
    <w:p w14:paraId="47E13210">
      <w:pPr>
        <w:pStyle w:val="5"/>
        <w:bidi w:val="0"/>
        <w:ind w:firstLine="968" w:firstLineChars="400"/>
        <w:rPr>
          <w:rFonts w:hint="default"/>
          <w:lang w:val="en-US" w:eastAsia="zh-CN"/>
        </w:rPr>
      </w:pPr>
      <w:r>
        <w:rPr>
          <w:rFonts w:hint="default"/>
          <w:lang w:val="en-US" w:eastAsia="zh-CN"/>
        </w:rPr>
        <w:t>A——河流流域水土流失的面积（km</w:t>
      </w:r>
      <w:r>
        <w:rPr>
          <w:rFonts w:hint="default" w:ascii="Times New Roman" w:hAnsi="Times New Roman" w:cs="Times New Roman"/>
          <w:vertAlign w:val="superscript"/>
          <w:lang w:val="en-US" w:eastAsia="zh-CN"/>
        </w:rPr>
        <w:t>2</w:t>
      </w:r>
      <w:r>
        <w:rPr>
          <w:rFonts w:hint="default"/>
          <w:lang w:val="en-US" w:eastAsia="zh-CN"/>
        </w:rPr>
        <w:t>）；</w:t>
      </w:r>
    </w:p>
    <w:p w14:paraId="662ECB3E">
      <w:pPr>
        <w:pStyle w:val="5"/>
        <w:bidi w:val="0"/>
        <w:ind w:firstLine="968" w:firstLineChars="400"/>
        <w:rPr>
          <w:rFonts w:hint="default"/>
          <w:lang w:val="en-US" w:eastAsia="zh-CN"/>
        </w:rPr>
      </w:pPr>
      <w:r>
        <w:rPr>
          <w:rFonts w:hint="default"/>
          <w:lang w:val="en-US" w:eastAsia="zh-CN"/>
        </w:rPr>
        <w:t>S</w:t>
      </w:r>
      <w:r>
        <w:rPr>
          <w:rFonts w:hint="default" w:ascii="Times New Roman" w:hAnsi="Times New Roman" w:cs="Times New Roman"/>
          <w:vertAlign w:val="subscript"/>
          <w:lang w:val="en-US" w:eastAsia="zh-CN"/>
        </w:rPr>
        <w:t>i</w:t>
      </w:r>
      <w:r>
        <w:rPr>
          <w:rFonts w:hint="default"/>
          <w:lang w:val="en-US" w:eastAsia="zh-CN"/>
        </w:rPr>
        <w:t>——河流流域面积上的土壤年均侵蚀模数（t/km</w:t>
      </w:r>
      <w:r>
        <w:rPr>
          <w:rFonts w:hint="default" w:ascii="Times New Roman" w:hAnsi="Times New Roman" w:cs="Times New Roman"/>
          <w:vertAlign w:val="superscript"/>
          <w:lang w:val="en-US" w:eastAsia="zh-CN"/>
        </w:rPr>
        <w:t>2</w:t>
      </w:r>
      <w:r>
        <w:rPr>
          <w:rFonts w:hint="eastAsia"/>
          <w:lang w:val="en-US" w:eastAsia="zh-CN"/>
        </w:rPr>
        <w:t>·</w:t>
      </w:r>
      <w:r>
        <w:rPr>
          <w:rFonts w:hint="default"/>
          <w:lang w:val="en-US" w:eastAsia="zh-CN"/>
        </w:rPr>
        <w:t>a）；</w:t>
      </w:r>
    </w:p>
    <w:p w14:paraId="5CC7F405">
      <w:pPr>
        <w:pStyle w:val="5"/>
        <w:bidi w:val="0"/>
        <w:ind w:firstLine="968" w:firstLineChars="400"/>
        <w:rPr>
          <w:rFonts w:hint="default"/>
          <w:lang w:val="en-US" w:eastAsia="zh-CN"/>
        </w:rPr>
      </w:pPr>
      <w:r>
        <w:rPr>
          <w:rFonts w:hint="default"/>
          <w:lang w:val="en-US" w:eastAsia="zh-CN"/>
        </w:rPr>
        <w:t>DR——河流泥沙输移比，取0.046；</w:t>
      </w:r>
    </w:p>
    <w:p w14:paraId="41096E9E">
      <w:pPr>
        <w:pStyle w:val="5"/>
        <w:bidi w:val="0"/>
        <w:ind w:firstLine="968" w:firstLineChars="400"/>
        <w:rPr>
          <w:rFonts w:hint="default"/>
          <w:lang w:val="en-US" w:eastAsia="zh-CN"/>
        </w:rPr>
      </w:pPr>
      <w:r>
        <w:rPr>
          <w:rFonts w:hint="default"/>
          <w:lang w:val="en-US" w:eastAsia="zh-CN"/>
        </w:rPr>
        <w:t>C</w:t>
      </w:r>
      <w:r>
        <w:rPr>
          <w:rFonts w:hint="default" w:ascii="Times New Roman" w:hAnsi="Times New Roman" w:cs="Times New Roman"/>
          <w:vertAlign w:val="subscript"/>
          <w:lang w:val="en-US" w:eastAsia="zh-CN"/>
        </w:rPr>
        <w:t>i</w:t>
      </w:r>
      <w:r>
        <w:rPr>
          <w:rFonts w:hint="default"/>
          <w:lang w:val="en-US" w:eastAsia="zh-CN"/>
        </w:rPr>
        <w:t>——河流流域面积上的土壤中氮、磷和COD含量。</w:t>
      </w:r>
    </w:p>
    <w:p w14:paraId="266BD600">
      <w:pPr>
        <w:pStyle w:val="5"/>
        <w:bidi w:val="0"/>
        <w:rPr>
          <w:rFonts w:hint="default"/>
          <w:lang w:val="en-US" w:eastAsia="zh-CN"/>
        </w:rPr>
      </w:pPr>
      <w:r>
        <w:rPr>
          <w:rFonts w:hint="default"/>
          <w:lang w:val="en-US" w:eastAsia="zh-CN"/>
        </w:rPr>
        <w:t>参照国内研究成果，土壤中污染物含量为：COD：4612mg/kg、</w:t>
      </w:r>
      <w:r>
        <w:rPr>
          <w:rFonts w:hint="eastAsia"/>
          <w:lang w:val="en-US" w:eastAsia="zh-CN"/>
        </w:rPr>
        <w:t>NH</w:t>
      </w:r>
      <w:r>
        <w:rPr>
          <w:rFonts w:hint="eastAsia"/>
          <w:vertAlign w:val="subscript"/>
          <w:lang w:val="en-US" w:eastAsia="zh-CN"/>
        </w:rPr>
        <w:t>3</w:t>
      </w:r>
      <w:r>
        <w:rPr>
          <w:rFonts w:hint="eastAsia"/>
          <w:lang w:val="en-US" w:eastAsia="zh-CN"/>
        </w:rPr>
        <w:t>-N</w:t>
      </w:r>
      <w:r>
        <w:rPr>
          <w:rFonts w:hint="default"/>
          <w:lang w:val="en-US" w:eastAsia="zh-CN"/>
        </w:rPr>
        <w:t>：105mg/kg、</w:t>
      </w:r>
      <w:r>
        <w:rPr>
          <w:rFonts w:hint="eastAsia"/>
          <w:lang w:val="en-US" w:eastAsia="zh-CN"/>
        </w:rPr>
        <w:t>TP：</w:t>
      </w:r>
      <w:r>
        <w:rPr>
          <w:rFonts w:hint="default"/>
          <w:lang w:val="en-US" w:eastAsia="zh-CN"/>
        </w:rPr>
        <w:t>300mg/kg（重庆市近年调查结果）。</w:t>
      </w:r>
    </w:p>
    <w:p w14:paraId="7163EDBC">
      <w:pPr>
        <w:pStyle w:val="5"/>
        <w:bidi w:val="0"/>
        <w:rPr>
          <w:rFonts w:hint="eastAsia"/>
          <w:color w:val="auto"/>
          <w:highlight w:val="none"/>
          <w:lang w:val="en-US" w:eastAsia="zh-CN"/>
        </w:rPr>
      </w:pPr>
      <w:r>
        <w:rPr>
          <w:rFonts w:hint="eastAsia"/>
          <w:lang w:val="en-US" w:eastAsia="zh-CN"/>
        </w:rPr>
        <w:t>计算得石耶镇水土流失造成的污染负荷为COD：3.66t/a、NH</w:t>
      </w:r>
      <w:r>
        <w:rPr>
          <w:rFonts w:hint="eastAsia"/>
          <w:vertAlign w:val="subscript"/>
          <w:lang w:val="en-US" w:eastAsia="zh-CN"/>
        </w:rPr>
        <w:t>3</w:t>
      </w:r>
      <w:r>
        <w:rPr>
          <w:rFonts w:hint="eastAsia"/>
          <w:lang w:val="en-US" w:eastAsia="zh-CN"/>
        </w:rPr>
        <w:t>-N：0.22/a、TP：0.63t/a。</w:t>
      </w:r>
    </w:p>
    <w:p w14:paraId="22C0D7EB">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3.2-23  石耶镇水土流失</w:t>
      </w:r>
      <w:r>
        <w:rPr>
          <w:rFonts w:hint="default"/>
          <w:color w:val="auto"/>
          <w:highlight w:val="none"/>
          <w:lang w:val="en-US" w:eastAsia="zh-CN"/>
        </w:rPr>
        <w:t>污染负荷</w:t>
      </w:r>
    </w:p>
    <w:tbl>
      <w:tblPr>
        <w:tblStyle w:val="23"/>
        <w:tblW w:w="851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16"/>
        <w:gridCol w:w="1620"/>
        <w:gridCol w:w="1989"/>
        <w:gridCol w:w="1991"/>
        <w:gridCol w:w="1997"/>
      </w:tblGrid>
      <w:tr w14:paraId="2FEF4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16" w:type="dxa"/>
            <w:vMerge w:val="restart"/>
            <w:tcBorders>
              <w:tl2br w:val="nil"/>
              <w:tr2bl w:val="nil"/>
            </w:tcBorders>
            <w:shd w:val="clear" w:color="auto" w:fill="auto"/>
            <w:vAlign w:val="center"/>
          </w:tcPr>
          <w:p w14:paraId="372FFEC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620" w:type="dxa"/>
            <w:vMerge w:val="restart"/>
            <w:tcBorders>
              <w:tl2br w:val="nil"/>
              <w:tr2bl w:val="nil"/>
            </w:tcBorders>
            <w:shd w:val="clear" w:color="auto" w:fill="auto"/>
            <w:vAlign w:val="center"/>
          </w:tcPr>
          <w:p w14:paraId="019FC64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乡镇、街道</w:t>
            </w:r>
          </w:p>
        </w:tc>
        <w:tc>
          <w:tcPr>
            <w:tcW w:w="5977" w:type="dxa"/>
            <w:gridSpan w:val="3"/>
            <w:tcBorders>
              <w:tl2br w:val="nil"/>
              <w:tr2bl w:val="nil"/>
            </w:tcBorders>
            <w:shd w:val="clear" w:color="auto" w:fill="auto"/>
            <w:vAlign w:val="center"/>
          </w:tcPr>
          <w:p w14:paraId="111577D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5E675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16" w:type="dxa"/>
            <w:vMerge w:val="continue"/>
            <w:tcBorders>
              <w:tl2br w:val="nil"/>
              <w:tr2bl w:val="nil"/>
            </w:tcBorders>
            <w:shd w:val="clear" w:color="auto" w:fill="auto"/>
            <w:vAlign w:val="center"/>
          </w:tcPr>
          <w:p w14:paraId="0367E97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620" w:type="dxa"/>
            <w:vMerge w:val="continue"/>
            <w:tcBorders>
              <w:tl2br w:val="nil"/>
              <w:tr2bl w:val="nil"/>
            </w:tcBorders>
            <w:shd w:val="clear" w:color="auto" w:fill="auto"/>
            <w:vAlign w:val="center"/>
          </w:tcPr>
          <w:p w14:paraId="1D0FB50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1989" w:type="dxa"/>
            <w:tcBorders>
              <w:tl2br w:val="nil"/>
              <w:tr2bl w:val="nil"/>
            </w:tcBorders>
            <w:shd w:val="clear" w:color="auto" w:fill="auto"/>
            <w:vAlign w:val="center"/>
          </w:tcPr>
          <w:p w14:paraId="0DF222B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991" w:type="dxa"/>
            <w:tcBorders>
              <w:tl2br w:val="nil"/>
              <w:tr2bl w:val="nil"/>
            </w:tcBorders>
            <w:shd w:val="clear" w:color="auto" w:fill="auto"/>
            <w:vAlign w:val="center"/>
          </w:tcPr>
          <w:p w14:paraId="26448EA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997" w:type="dxa"/>
            <w:tcBorders>
              <w:tl2br w:val="nil"/>
              <w:tr2bl w:val="nil"/>
            </w:tcBorders>
            <w:shd w:val="clear" w:color="auto" w:fill="auto"/>
            <w:vAlign w:val="center"/>
          </w:tcPr>
          <w:p w14:paraId="5BEB1A5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r>
      <w:tr w14:paraId="19DDBB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916" w:type="dxa"/>
            <w:tcBorders>
              <w:tl2br w:val="nil"/>
              <w:tr2bl w:val="nil"/>
            </w:tcBorders>
            <w:shd w:val="clear" w:color="auto" w:fill="auto"/>
            <w:vAlign w:val="center"/>
          </w:tcPr>
          <w:p w14:paraId="1B6EAAC3">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p>
        </w:tc>
        <w:tc>
          <w:tcPr>
            <w:tcW w:w="1620" w:type="dxa"/>
            <w:tcBorders>
              <w:tl2br w:val="nil"/>
              <w:tr2bl w:val="nil"/>
            </w:tcBorders>
            <w:shd w:val="clear" w:color="auto" w:fill="auto"/>
            <w:vAlign w:val="center"/>
          </w:tcPr>
          <w:p w14:paraId="3DC63FF1">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sz w:val="21"/>
                <w:szCs w:val="21"/>
                <w:highlight w:val="none"/>
              </w:rPr>
            </w:pPr>
            <w:r>
              <w:rPr>
                <w:rFonts w:hint="eastAsia" w:ascii="Times New Roman" w:cs="Times New Roman"/>
                <w:b w:val="0"/>
                <w:bCs/>
                <w:color w:val="auto"/>
                <w:sz w:val="21"/>
                <w:szCs w:val="21"/>
                <w:highlight w:val="none"/>
                <w:lang w:val="en-US" w:eastAsia="zh-CN"/>
              </w:rPr>
              <w:t>石耶镇</w:t>
            </w:r>
          </w:p>
        </w:tc>
        <w:tc>
          <w:tcPr>
            <w:tcW w:w="1989" w:type="dxa"/>
            <w:tcBorders>
              <w:tl2br w:val="nil"/>
              <w:tr2bl w:val="nil"/>
            </w:tcBorders>
            <w:shd w:val="clear" w:color="auto" w:fill="auto"/>
            <w:vAlign w:val="center"/>
          </w:tcPr>
          <w:p w14:paraId="575E8FC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9.66 </w:t>
            </w:r>
          </w:p>
        </w:tc>
        <w:tc>
          <w:tcPr>
            <w:tcW w:w="1991" w:type="dxa"/>
            <w:tcBorders>
              <w:tl2br w:val="nil"/>
              <w:tr2bl w:val="nil"/>
            </w:tcBorders>
            <w:shd w:val="clear" w:color="auto" w:fill="auto"/>
            <w:vAlign w:val="center"/>
          </w:tcPr>
          <w:p w14:paraId="23B115D4">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0.22 </w:t>
            </w:r>
          </w:p>
        </w:tc>
        <w:tc>
          <w:tcPr>
            <w:tcW w:w="1997" w:type="dxa"/>
            <w:tcBorders>
              <w:tl2br w:val="nil"/>
              <w:tr2bl w:val="nil"/>
            </w:tcBorders>
            <w:shd w:val="clear" w:color="auto" w:fill="auto"/>
            <w:vAlign w:val="center"/>
          </w:tcPr>
          <w:p w14:paraId="3EF44506">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eastAsia" w:ascii="Times New Roman" w:hAnsi="Times New Roman" w:cs="Times New Roman"/>
                <w:b w:val="0"/>
                <w:bCs/>
                <w:color w:val="auto"/>
                <w:sz w:val="21"/>
                <w:szCs w:val="21"/>
                <w:lang w:val="en-US" w:eastAsia="zh-CN"/>
              </w:rPr>
              <w:t xml:space="preserve">0.63 </w:t>
            </w:r>
          </w:p>
        </w:tc>
      </w:tr>
    </w:tbl>
    <w:p w14:paraId="5ACF0C20">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default"/>
          <w:color w:val="auto"/>
          <w:highlight w:val="none"/>
          <w:lang w:val="en-US" w:eastAsia="zh-CN"/>
        </w:rPr>
      </w:pPr>
      <w:r>
        <w:rPr>
          <w:rFonts w:hint="eastAsia"/>
          <w:color w:val="auto"/>
          <w:highlight w:val="none"/>
          <w:lang w:val="en-US" w:eastAsia="zh-CN"/>
        </w:rPr>
        <w:t>（7）</w:t>
      </w:r>
      <w:r>
        <w:rPr>
          <w:rFonts w:hint="default"/>
          <w:color w:val="auto"/>
          <w:highlight w:val="none"/>
          <w:lang w:val="en-US" w:eastAsia="zh-CN"/>
        </w:rPr>
        <w:t>小结</w:t>
      </w:r>
    </w:p>
    <w:p w14:paraId="4C20E0D0">
      <w:pPr>
        <w:pStyle w:val="5"/>
        <w:bidi w:val="0"/>
        <w:rPr>
          <w:rFonts w:hint="eastAsia"/>
          <w:color w:val="auto"/>
          <w:highlight w:val="none"/>
          <w:lang w:val="en-US" w:eastAsia="zh-CN"/>
        </w:rPr>
      </w:pPr>
      <w:r>
        <w:rPr>
          <w:rFonts w:hint="eastAsia"/>
          <w:lang w:val="en-US" w:eastAsia="zh-CN"/>
        </w:rPr>
        <w:t>对石耶镇所有面源污染负荷进行分析汇总，面源污染总负荷COD：483.24t/a；NH</w:t>
      </w:r>
      <w:r>
        <w:rPr>
          <w:rFonts w:hint="eastAsia"/>
          <w:vertAlign w:val="subscript"/>
          <w:lang w:val="en-US" w:eastAsia="zh-CN"/>
        </w:rPr>
        <w:t>3</w:t>
      </w:r>
      <w:r>
        <w:rPr>
          <w:rFonts w:hint="eastAsia"/>
          <w:lang w:val="en-US" w:eastAsia="zh-CN"/>
        </w:rPr>
        <w:t>-N：4.11t/a；TP：</w:t>
      </w:r>
      <w:r>
        <w:rPr>
          <w:rFonts w:hint="eastAsia" w:cs="Times New Roman"/>
          <w:b w:val="0"/>
          <w:bCs/>
          <w:color w:val="auto"/>
          <w:sz w:val="21"/>
          <w:szCs w:val="21"/>
          <w:highlight w:val="none"/>
          <w:lang w:val="en-US" w:eastAsia="zh-CN"/>
        </w:rPr>
        <w:t>1.94</w:t>
      </w:r>
      <w:r>
        <w:rPr>
          <w:rFonts w:hint="eastAsia"/>
          <w:lang w:val="en-US" w:eastAsia="zh-CN"/>
        </w:rPr>
        <w:t>t/a。各种面源污染负荷所占的比重分析如表3.2-24所示。整个石耶镇畜禽养殖与水土流失产生的COD污染负荷占了面源COD污染负荷的</w:t>
      </w:r>
      <w:r>
        <w:rPr>
          <w:rFonts w:hint="eastAsia"/>
          <w:color w:val="auto"/>
          <w:lang w:val="en-US" w:eastAsia="zh-CN"/>
        </w:rPr>
        <w:t>40</w:t>
      </w:r>
      <w:r>
        <w:rPr>
          <w:rFonts w:hint="eastAsia"/>
          <w:lang w:val="en-US" w:eastAsia="zh-CN"/>
        </w:rPr>
        <w:t>%以上；农业种植与农村生活污水产生的NH</w:t>
      </w:r>
      <w:r>
        <w:rPr>
          <w:rFonts w:hint="eastAsia"/>
          <w:vertAlign w:val="subscript"/>
          <w:lang w:val="en-US" w:eastAsia="zh-CN"/>
        </w:rPr>
        <w:t>3</w:t>
      </w:r>
      <w:r>
        <w:rPr>
          <w:rFonts w:hint="eastAsia"/>
          <w:lang w:val="en-US" w:eastAsia="zh-CN"/>
        </w:rPr>
        <w:t>-N污染负荷占了面源NH</w:t>
      </w:r>
      <w:r>
        <w:rPr>
          <w:rFonts w:hint="eastAsia"/>
          <w:vertAlign w:val="subscript"/>
          <w:lang w:val="en-US" w:eastAsia="zh-CN"/>
        </w:rPr>
        <w:t>3</w:t>
      </w:r>
      <w:r>
        <w:rPr>
          <w:rFonts w:hint="eastAsia"/>
          <w:lang w:val="en-US" w:eastAsia="zh-CN"/>
        </w:rPr>
        <w:t>-N污染负荷的70%以上；水土流失产生的TP污染负荷占了面源TP污染负荷的30%以上。</w:t>
      </w:r>
    </w:p>
    <w:p w14:paraId="01312054">
      <w:pPr>
        <w:pStyle w:val="56"/>
        <w:bidi w:val="0"/>
        <w:rPr>
          <w:color w:val="auto"/>
          <w:highlight w:val="none"/>
        </w:rPr>
      </w:pPr>
      <w:r>
        <w:rPr>
          <w:color w:val="auto"/>
          <w:highlight w:val="none"/>
        </w:rPr>
        <w:t>表</w:t>
      </w:r>
      <w:r>
        <w:rPr>
          <w:rFonts w:hint="eastAsia"/>
          <w:color w:val="auto"/>
          <w:highlight w:val="none"/>
          <w:lang w:val="en-US" w:eastAsia="zh-CN"/>
        </w:rPr>
        <w:t>3.2-24  石耶镇</w:t>
      </w:r>
      <w:r>
        <w:rPr>
          <w:color w:val="auto"/>
          <w:highlight w:val="none"/>
        </w:rPr>
        <w:t>面源污染源构成分析</w:t>
      </w:r>
    </w:p>
    <w:tbl>
      <w:tblPr>
        <w:tblStyle w:val="23"/>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474"/>
        <w:gridCol w:w="1141"/>
        <w:gridCol w:w="1141"/>
        <w:gridCol w:w="1141"/>
        <w:gridCol w:w="1141"/>
        <w:gridCol w:w="1141"/>
        <w:gridCol w:w="1148"/>
      </w:tblGrid>
      <w:tr w14:paraId="5A43F3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1474" w:type="dxa"/>
            <w:vMerge w:val="restart"/>
            <w:tcBorders>
              <w:tl2br w:val="nil"/>
              <w:tr2bl w:val="nil"/>
            </w:tcBorders>
            <w:shd w:val="clear" w:color="auto" w:fill="auto"/>
            <w:tcMar>
              <w:top w:w="15" w:type="dxa"/>
              <w:left w:w="15" w:type="dxa"/>
              <w:right w:w="15" w:type="dxa"/>
            </w:tcMar>
            <w:vAlign w:val="center"/>
          </w:tcPr>
          <w:p w14:paraId="13C76AD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853" w:type="dxa"/>
            <w:gridSpan w:val="6"/>
            <w:tcBorders>
              <w:tl2br w:val="nil"/>
              <w:tr2bl w:val="nil"/>
            </w:tcBorders>
            <w:shd w:val="clear" w:color="auto" w:fill="auto"/>
            <w:tcMar>
              <w:top w:w="15" w:type="dxa"/>
              <w:left w:w="15" w:type="dxa"/>
              <w:right w:w="15" w:type="dxa"/>
            </w:tcMar>
            <w:vAlign w:val="center"/>
          </w:tcPr>
          <w:p w14:paraId="10A43F6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0CE0CF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trPr>
        <w:tc>
          <w:tcPr>
            <w:tcW w:w="1474" w:type="dxa"/>
            <w:vMerge w:val="continue"/>
            <w:tcBorders>
              <w:tl2br w:val="nil"/>
              <w:tr2bl w:val="nil"/>
            </w:tcBorders>
            <w:shd w:val="clear" w:color="auto" w:fill="auto"/>
            <w:tcMar>
              <w:top w:w="15" w:type="dxa"/>
              <w:left w:w="15" w:type="dxa"/>
              <w:right w:w="15" w:type="dxa"/>
            </w:tcMar>
            <w:vAlign w:val="center"/>
          </w:tcPr>
          <w:p w14:paraId="14A697E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141" w:type="dxa"/>
            <w:tcBorders>
              <w:tl2br w:val="nil"/>
              <w:tr2bl w:val="nil"/>
            </w:tcBorders>
            <w:shd w:val="clear" w:color="auto" w:fill="auto"/>
            <w:tcMar>
              <w:top w:w="15" w:type="dxa"/>
              <w:left w:w="15" w:type="dxa"/>
              <w:right w:w="15" w:type="dxa"/>
            </w:tcMar>
            <w:vAlign w:val="center"/>
          </w:tcPr>
          <w:p w14:paraId="74AE1D2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141" w:type="dxa"/>
            <w:tcBorders>
              <w:tl2br w:val="nil"/>
              <w:tr2bl w:val="nil"/>
            </w:tcBorders>
            <w:shd w:val="clear" w:color="auto" w:fill="auto"/>
            <w:tcMar>
              <w:top w:w="15" w:type="dxa"/>
              <w:left w:w="15" w:type="dxa"/>
              <w:right w:w="15" w:type="dxa"/>
            </w:tcMar>
            <w:vAlign w:val="center"/>
          </w:tcPr>
          <w:p w14:paraId="2177AD5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14:paraId="2012031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141" w:type="dxa"/>
            <w:tcBorders>
              <w:tl2br w:val="nil"/>
              <w:tr2bl w:val="nil"/>
            </w:tcBorders>
            <w:shd w:val="clear" w:color="auto" w:fill="auto"/>
            <w:tcMar>
              <w:top w:w="15" w:type="dxa"/>
              <w:left w:w="15" w:type="dxa"/>
              <w:right w:w="15" w:type="dxa"/>
            </w:tcMar>
            <w:vAlign w:val="center"/>
          </w:tcPr>
          <w:p w14:paraId="5F22198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141" w:type="dxa"/>
            <w:tcBorders>
              <w:tl2br w:val="nil"/>
              <w:tr2bl w:val="nil"/>
            </w:tcBorders>
            <w:shd w:val="clear" w:color="auto" w:fill="auto"/>
            <w:tcMar>
              <w:top w:w="15" w:type="dxa"/>
              <w:left w:w="15" w:type="dxa"/>
              <w:right w:w="15" w:type="dxa"/>
            </w:tcMar>
            <w:vAlign w:val="center"/>
          </w:tcPr>
          <w:p w14:paraId="0C0452C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148" w:type="dxa"/>
            <w:tcBorders>
              <w:tl2br w:val="nil"/>
              <w:tr2bl w:val="nil"/>
            </w:tcBorders>
            <w:shd w:val="clear" w:color="auto" w:fill="auto"/>
            <w:tcMar>
              <w:top w:w="15" w:type="dxa"/>
              <w:left w:w="15" w:type="dxa"/>
              <w:right w:w="15" w:type="dxa"/>
            </w:tcMar>
            <w:vAlign w:val="center"/>
          </w:tcPr>
          <w:p w14:paraId="247F57C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14:paraId="20CA3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18CFE71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141" w:type="dxa"/>
            <w:tcBorders>
              <w:tl2br w:val="nil"/>
              <w:tr2bl w:val="nil"/>
            </w:tcBorders>
            <w:shd w:val="clear" w:color="auto" w:fill="auto"/>
            <w:tcMar>
              <w:top w:w="15" w:type="dxa"/>
              <w:left w:w="15" w:type="dxa"/>
              <w:right w:w="15" w:type="dxa"/>
            </w:tcMar>
            <w:vAlign w:val="center"/>
          </w:tcPr>
          <w:p w14:paraId="202E30EC">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15.72 </w:t>
            </w:r>
          </w:p>
        </w:tc>
        <w:tc>
          <w:tcPr>
            <w:tcW w:w="1141" w:type="dxa"/>
            <w:tcBorders>
              <w:tl2br w:val="nil"/>
              <w:tr2bl w:val="nil"/>
            </w:tcBorders>
            <w:shd w:val="clear" w:color="auto" w:fill="auto"/>
            <w:tcMar>
              <w:top w:w="15" w:type="dxa"/>
              <w:left w:w="15" w:type="dxa"/>
              <w:right w:w="15" w:type="dxa"/>
            </w:tcMar>
            <w:vAlign w:val="center"/>
          </w:tcPr>
          <w:p w14:paraId="30E7208E">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18.89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0DD8CADC">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0.29</w:t>
            </w:r>
          </w:p>
        </w:tc>
        <w:tc>
          <w:tcPr>
            <w:tcW w:w="1141" w:type="dxa"/>
            <w:tcBorders>
              <w:tl2br w:val="nil"/>
              <w:tr2bl w:val="nil"/>
            </w:tcBorders>
            <w:shd w:val="clear" w:color="auto" w:fill="auto"/>
            <w:tcMar>
              <w:top w:w="15" w:type="dxa"/>
              <w:left w:w="15" w:type="dxa"/>
              <w:right w:w="15" w:type="dxa"/>
            </w:tcMar>
            <w:vAlign w:val="center"/>
          </w:tcPr>
          <w:p w14:paraId="04D7089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7.06</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111BF0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0.10  </w:t>
            </w:r>
            <w:r>
              <w:rPr>
                <w:rFonts w:hint="default" w:ascii="Times New Roman" w:hAnsi="Times New Roman" w:eastAsia="宋体" w:cs="Times New Roman"/>
                <w:b w:val="0"/>
                <w:bCs/>
                <w:color w:val="auto"/>
                <w:sz w:val="21"/>
                <w:szCs w:val="21"/>
                <w:highlight w:val="none"/>
                <w:lang w:val="en-US" w:eastAsia="zh-CN"/>
              </w:rPr>
              <w:t xml:space="preserve"> </w:t>
            </w:r>
          </w:p>
        </w:tc>
        <w:tc>
          <w:tcPr>
            <w:tcW w:w="1148" w:type="dxa"/>
            <w:tcBorders>
              <w:tl2br w:val="nil"/>
              <w:tr2bl w:val="nil"/>
            </w:tcBorders>
            <w:shd w:val="clear" w:color="auto" w:fill="auto"/>
            <w:tcMar>
              <w:top w:w="15" w:type="dxa"/>
              <w:left w:w="15" w:type="dxa"/>
              <w:right w:w="15" w:type="dxa"/>
            </w:tcMar>
            <w:vAlign w:val="center"/>
          </w:tcPr>
          <w:p w14:paraId="3DAFA12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5.15</w:t>
            </w:r>
            <w:r>
              <w:rPr>
                <w:rFonts w:hint="default" w:ascii="Times New Roman" w:hAnsi="Times New Roman" w:eastAsia="宋体" w:cs="Times New Roman"/>
                <w:b w:val="0"/>
                <w:bCs/>
                <w:color w:val="auto"/>
                <w:sz w:val="21"/>
                <w:szCs w:val="21"/>
                <w:highlight w:val="none"/>
                <w:lang w:val="en-US" w:eastAsia="zh-CN"/>
              </w:rPr>
              <w:t>%</w:t>
            </w:r>
          </w:p>
        </w:tc>
      </w:tr>
      <w:tr w14:paraId="45C63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7AB27AD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141" w:type="dxa"/>
            <w:tcBorders>
              <w:tl2br w:val="nil"/>
              <w:tr2bl w:val="nil"/>
            </w:tcBorders>
            <w:shd w:val="clear" w:color="auto" w:fill="auto"/>
            <w:tcMar>
              <w:top w:w="15" w:type="dxa"/>
              <w:left w:w="15" w:type="dxa"/>
              <w:right w:w="15" w:type="dxa"/>
            </w:tcMar>
            <w:vAlign w:val="center"/>
          </w:tcPr>
          <w:p w14:paraId="65AC07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7.98 </w:t>
            </w:r>
          </w:p>
        </w:tc>
        <w:tc>
          <w:tcPr>
            <w:tcW w:w="1141" w:type="dxa"/>
            <w:tcBorders>
              <w:tl2br w:val="nil"/>
              <w:tr2bl w:val="nil"/>
            </w:tcBorders>
            <w:shd w:val="clear" w:color="auto" w:fill="auto"/>
            <w:tcMar>
              <w:top w:w="15" w:type="dxa"/>
              <w:left w:w="15" w:type="dxa"/>
              <w:right w:w="15" w:type="dxa"/>
            </w:tcMar>
            <w:vAlign w:val="center"/>
          </w:tcPr>
          <w:p w14:paraId="0C63E548">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9.59</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1444EC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Theme="minorEastAsia" w:cstheme="minorBidi"/>
                <w:color w:val="auto"/>
                <w:kern w:val="2"/>
                <w:sz w:val="21"/>
                <w:szCs w:val="24"/>
                <w:lang w:val="en-US" w:eastAsia="zh-CN" w:bidi="ar-SA"/>
              </w:rPr>
            </w:pPr>
            <w:r>
              <w:rPr>
                <w:rFonts w:hint="default" w:cstheme="minorBidi"/>
                <w:color w:val="auto"/>
                <w:kern w:val="2"/>
                <w:sz w:val="21"/>
                <w:szCs w:val="24"/>
                <w:lang w:val="en-US" w:eastAsia="zh-CN" w:bidi="ar-SA"/>
              </w:rPr>
              <w:t xml:space="preserve"> 0.65</w:t>
            </w:r>
          </w:p>
        </w:tc>
        <w:tc>
          <w:tcPr>
            <w:tcW w:w="1141" w:type="dxa"/>
            <w:tcBorders>
              <w:tl2br w:val="nil"/>
              <w:tr2bl w:val="nil"/>
            </w:tcBorders>
            <w:shd w:val="clear" w:color="auto" w:fill="auto"/>
            <w:tcMar>
              <w:top w:w="15" w:type="dxa"/>
              <w:left w:w="15" w:type="dxa"/>
              <w:right w:w="15" w:type="dxa"/>
            </w:tcMar>
            <w:vAlign w:val="center"/>
          </w:tcPr>
          <w:p w14:paraId="0D417AC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15.82</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7F3AE6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0.09 </w:t>
            </w:r>
          </w:p>
        </w:tc>
        <w:tc>
          <w:tcPr>
            <w:tcW w:w="1148" w:type="dxa"/>
            <w:tcBorders>
              <w:tl2br w:val="nil"/>
              <w:tr2bl w:val="nil"/>
            </w:tcBorders>
            <w:shd w:val="clear" w:color="auto" w:fill="auto"/>
            <w:tcMar>
              <w:top w:w="15" w:type="dxa"/>
              <w:left w:w="15" w:type="dxa"/>
              <w:right w:w="15" w:type="dxa"/>
            </w:tcMar>
            <w:vAlign w:val="center"/>
          </w:tcPr>
          <w:p w14:paraId="518FEB32">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4.64</w:t>
            </w:r>
            <w:r>
              <w:rPr>
                <w:rFonts w:hint="default" w:ascii="Times New Roman" w:hAnsi="Times New Roman" w:eastAsia="宋体" w:cs="Times New Roman"/>
                <w:b w:val="0"/>
                <w:bCs/>
                <w:color w:val="auto"/>
                <w:sz w:val="21"/>
                <w:szCs w:val="21"/>
                <w:highlight w:val="none"/>
                <w:lang w:val="en-US" w:eastAsia="zh-CN"/>
              </w:rPr>
              <w:t>%</w:t>
            </w:r>
          </w:p>
        </w:tc>
      </w:tr>
      <w:tr w14:paraId="19C8B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4551901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141" w:type="dxa"/>
            <w:tcBorders>
              <w:tl2br w:val="nil"/>
              <w:tr2bl w:val="nil"/>
            </w:tcBorders>
            <w:shd w:val="clear" w:color="auto" w:fill="auto"/>
            <w:tcMar>
              <w:top w:w="15" w:type="dxa"/>
              <w:left w:w="15" w:type="dxa"/>
              <w:right w:w="15" w:type="dxa"/>
            </w:tcMar>
            <w:vAlign w:val="center"/>
          </w:tcPr>
          <w:p w14:paraId="4417EDF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12.11 </w:t>
            </w:r>
          </w:p>
        </w:tc>
        <w:tc>
          <w:tcPr>
            <w:tcW w:w="1141" w:type="dxa"/>
            <w:tcBorders>
              <w:tl2br w:val="nil"/>
              <w:tr2bl w:val="nil"/>
            </w:tcBorders>
            <w:shd w:val="clear" w:color="auto" w:fill="auto"/>
            <w:tcMar>
              <w:top w:w="15" w:type="dxa"/>
              <w:left w:w="15" w:type="dxa"/>
              <w:right w:w="15" w:type="dxa"/>
            </w:tcMar>
            <w:vAlign w:val="center"/>
          </w:tcPr>
          <w:p w14:paraId="5B94259A">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14.55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47085C47">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lang w:val="en-US" w:eastAsia="zh-CN" w:bidi="ar-SA"/>
              </w:rPr>
            </w:pPr>
            <w:r>
              <w:rPr>
                <w:rFonts w:hint="default" w:ascii="Times New Roman" w:hAnsi="Times New Roman" w:cs="Times New Roman"/>
                <w:b w:val="0"/>
                <w:bCs/>
                <w:color w:val="auto"/>
                <w:sz w:val="21"/>
                <w:szCs w:val="21"/>
                <w:lang w:val="en-US" w:eastAsia="zh-CN"/>
              </w:rPr>
              <w:t xml:space="preserve">2.42  </w:t>
            </w:r>
          </w:p>
        </w:tc>
        <w:tc>
          <w:tcPr>
            <w:tcW w:w="1141" w:type="dxa"/>
            <w:tcBorders>
              <w:tl2br w:val="nil"/>
              <w:tr2bl w:val="nil"/>
            </w:tcBorders>
            <w:shd w:val="clear" w:color="auto" w:fill="auto"/>
            <w:tcMar>
              <w:top w:w="15" w:type="dxa"/>
              <w:left w:w="15" w:type="dxa"/>
              <w:right w:w="15" w:type="dxa"/>
            </w:tcMar>
            <w:vAlign w:val="center"/>
          </w:tcPr>
          <w:p w14:paraId="480E33A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58.88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1073ED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0.61 </w:t>
            </w:r>
          </w:p>
        </w:tc>
        <w:tc>
          <w:tcPr>
            <w:tcW w:w="1148" w:type="dxa"/>
            <w:tcBorders>
              <w:tl2br w:val="nil"/>
              <w:tr2bl w:val="nil"/>
            </w:tcBorders>
            <w:shd w:val="clear" w:color="auto" w:fill="auto"/>
            <w:tcMar>
              <w:top w:w="15" w:type="dxa"/>
              <w:left w:w="15" w:type="dxa"/>
              <w:right w:w="15" w:type="dxa"/>
            </w:tcMar>
            <w:vAlign w:val="center"/>
          </w:tcPr>
          <w:p w14:paraId="61A9157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31.44</w:t>
            </w:r>
            <w:r>
              <w:rPr>
                <w:rFonts w:hint="default" w:ascii="Times New Roman" w:hAnsi="Times New Roman" w:eastAsia="宋体" w:cs="Times New Roman"/>
                <w:b w:val="0"/>
                <w:bCs/>
                <w:color w:val="auto"/>
                <w:sz w:val="21"/>
                <w:szCs w:val="21"/>
                <w:highlight w:val="none"/>
                <w:lang w:val="en-US" w:eastAsia="zh-CN"/>
              </w:rPr>
              <w:t>%</w:t>
            </w:r>
          </w:p>
        </w:tc>
      </w:tr>
      <w:tr w14:paraId="37D0FA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3782FD3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141" w:type="dxa"/>
            <w:tcBorders>
              <w:tl2br w:val="nil"/>
              <w:tr2bl w:val="nil"/>
            </w:tcBorders>
            <w:shd w:val="clear" w:color="auto" w:fill="auto"/>
            <w:tcMar>
              <w:top w:w="15" w:type="dxa"/>
              <w:left w:w="15" w:type="dxa"/>
              <w:right w:w="15" w:type="dxa"/>
            </w:tcMar>
            <w:vAlign w:val="center"/>
          </w:tcPr>
          <w:p w14:paraId="01BEA040">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 xml:space="preserve">34.46 </w:t>
            </w:r>
          </w:p>
        </w:tc>
        <w:tc>
          <w:tcPr>
            <w:tcW w:w="1141" w:type="dxa"/>
            <w:tcBorders>
              <w:tl2br w:val="nil"/>
              <w:tr2bl w:val="nil"/>
            </w:tcBorders>
            <w:shd w:val="clear" w:color="auto" w:fill="auto"/>
            <w:tcMar>
              <w:top w:w="15" w:type="dxa"/>
              <w:left w:w="15" w:type="dxa"/>
              <w:right w:w="15" w:type="dxa"/>
            </w:tcMar>
            <w:vAlign w:val="center"/>
          </w:tcPr>
          <w:p w14:paraId="18CCA7AD">
            <w:pPr>
              <w:keepNext w:val="0"/>
              <w:keepLines w:val="0"/>
              <w:widowControl/>
              <w:suppressLineNumbers w:val="0"/>
              <w:jc w:val="center"/>
              <w:textAlignment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41.40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6A144C89">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0.53</w:t>
            </w:r>
          </w:p>
        </w:tc>
        <w:tc>
          <w:tcPr>
            <w:tcW w:w="1141" w:type="dxa"/>
            <w:tcBorders>
              <w:tl2br w:val="nil"/>
              <w:tr2bl w:val="nil"/>
            </w:tcBorders>
            <w:shd w:val="clear" w:color="auto" w:fill="auto"/>
            <w:tcMar>
              <w:top w:w="15" w:type="dxa"/>
              <w:left w:w="15" w:type="dxa"/>
              <w:right w:w="15" w:type="dxa"/>
            </w:tcMar>
            <w:vAlign w:val="center"/>
          </w:tcPr>
          <w:p w14:paraId="687424D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12.90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040993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0.43 </w:t>
            </w:r>
          </w:p>
        </w:tc>
        <w:tc>
          <w:tcPr>
            <w:tcW w:w="1148" w:type="dxa"/>
            <w:tcBorders>
              <w:tl2br w:val="nil"/>
              <w:tr2bl w:val="nil"/>
            </w:tcBorders>
            <w:shd w:val="clear" w:color="auto" w:fill="auto"/>
            <w:tcMar>
              <w:top w:w="15" w:type="dxa"/>
              <w:left w:w="15" w:type="dxa"/>
              <w:right w:w="15" w:type="dxa"/>
            </w:tcMar>
            <w:vAlign w:val="center"/>
          </w:tcPr>
          <w:p w14:paraId="0A04441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22.16</w:t>
            </w:r>
            <w:r>
              <w:rPr>
                <w:rFonts w:hint="default" w:ascii="Times New Roman" w:hAnsi="Times New Roman" w:eastAsia="宋体" w:cs="Times New Roman"/>
                <w:b w:val="0"/>
                <w:bCs/>
                <w:color w:val="auto"/>
                <w:sz w:val="21"/>
                <w:szCs w:val="21"/>
                <w:highlight w:val="none"/>
                <w:lang w:val="en-US" w:eastAsia="zh-CN"/>
              </w:rPr>
              <w:t>%</w:t>
            </w:r>
          </w:p>
        </w:tc>
      </w:tr>
      <w:tr w14:paraId="429F40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69CCD62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141" w:type="dxa"/>
            <w:tcBorders>
              <w:tl2br w:val="nil"/>
              <w:tr2bl w:val="nil"/>
            </w:tcBorders>
            <w:shd w:val="clear" w:color="auto" w:fill="auto"/>
            <w:tcMar>
              <w:top w:w="15" w:type="dxa"/>
              <w:left w:w="15" w:type="dxa"/>
              <w:right w:w="15" w:type="dxa"/>
            </w:tcMar>
            <w:vAlign w:val="center"/>
          </w:tcPr>
          <w:p w14:paraId="3EF29B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3.31</w:t>
            </w:r>
          </w:p>
        </w:tc>
        <w:tc>
          <w:tcPr>
            <w:tcW w:w="1141" w:type="dxa"/>
            <w:tcBorders>
              <w:tl2br w:val="nil"/>
              <w:tr2bl w:val="nil"/>
            </w:tcBorders>
            <w:shd w:val="clear" w:color="auto" w:fill="auto"/>
            <w:tcMar>
              <w:top w:w="15" w:type="dxa"/>
              <w:left w:w="15" w:type="dxa"/>
              <w:right w:w="15" w:type="dxa"/>
            </w:tcMar>
            <w:vAlign w:val="center"/>
          </w:tcPr>
          <w:p w14:paraId="3C48EB2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3.98</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4973C6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141" w:type="dxa"/>
            <w:tcBorders>
              <w:tl2br w:val="nil"/>
              <w:tr2bl w:val="nil"/>
            </w:tcBorders>
            <w:shd w:val="clear" w:color="auto" w:fill="auto"/>
            <w:tcMar>
              <w:top w:w="15" w:type="dxa"/>
              <w:left w:w="15" w:type="dxa"/>
              <w:right w:w="15" w:type="dxa"/>
            </w:tcMar>
            <w:vAlign w:val="center"/>
          </w:tcPr>
          <w:p w14:paraId="30C16CB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71BC2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8</w:t>
            </w:r>
          </w:p>
        </w:tc>
        <w:tc>
          <w:tcPr>
            <w:tcW w:w="1148" w:type="dxa"/>
            <w:tcBorders>
              <w:tl2br w:val="nil"/>
              <w:tr2bl w:val="nil"/>
            </w:tcBorders>
            <w:shd w:val="clear" w:color="auto" w:fill="auto"/>
            <w:tcMar>
              <w:top w:w="15" w:type="dxa"/>
              <w:left w:w="15" w:type="dxa"/>
              <w:right w:w="15" w:type="dxa"/>
            </w:tcMar>
            <w:vAlign w:val="center"/>
          </w:tcPr>
          <w:p w14:paraId="79A8196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4.12</w:t>
            </w:r>
            <w:r>
              <w:rPr>
                <w:rFonts w:hint="default" w:ascii="Times New Roman" w:hAnsi="Times New Roman" w:eastAsia="宋体" w:cs="Times New Roman"/>
                <w:b w:val="0"/>
                <w:bCs/>
                <w:color w:val="auto"/>
                <w:sz w:val="21"/>
                <w:szCs w:val="21"/>
                <w:highlight w:val="none"/>
                <w:lang w:val="en-US" w:eastAsia="zh-CN"/>
              </w:rPr>
              <w:t>%</w:t>
            </w:r>
          </w:p>
        </w:tc>
      </w:tr>
      <w:tr w14:paraId="7885FB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51CBDEC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141" w:type="dxa"/>
            <w:tcBorders>
              <w:tl2br w:val="nil"/>
              <w:tr2bl w:val="nil"/>
            </w:tcBorders>
            <w:shd w:val="clear" w:color="auto" w:fill="auto"/>
            <w:tcMar>
              <w:top w:w="15" w:type="dxa"/>
              <w:left w:w="15" w:type="dxa"/>
              <w:right w:w="15" w:type="dxa"/>
            </w:tcMar>
            <w:vAlign w:val="center"/>
          </w:tcPr>
          <w:p w14:paraId="69D899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9.66</w:t>
            </w:r>
          </w:p>
        </w:tc>
        <w:tc>
          <w:tcPr>
            <w:tcW w:w="1141" w:type="dxa"/>
            <w:tcBorders>
              <w:tl2br w:val="nil"/>
              <w:tr2bl w:val="nil"/>
            </w:tcBorders>
            <w:shd w:val="clear" w:color="auto" w:fill="auto"/>
            <w:tcMar>
              <w:top w:w="15" w:type="dxa"/>
              <w:left w:w="15" w:type="dxa"/>
              <w:right w:w="15" w:type="dxa"/>
            </w:tcMar>
            <w:vAlign w:val="center"/>
          </w:tcPr>
          <w:p w14:paraId="54E93E9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11.60</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1D7F1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0.22</w:t>
            </w:r>
          </w:p>
        </w:tc>
        <w:tc>
          <w:tcPr>
            <w:tcW w:w="1141" w:type="dxa"/>
            <w:tcBorders>
              <w:tl2br w:val="nil"/>
              <w:tr2bl w:val="nil"/>
            </w:tcBorders>
            <w:shd w:val="clear" w:color="auto" w:fill="auto"/>
            <w:tcMar>
              <w:top w:w="15" w:type="dxa"/>
              <w:left w:w="15" w:type="dxa"/>
              <w:right w:w="15" w:type="dxa"/>
            </w:tcMar>
            <w:vAlign w:val="center"/>
          </w:tcPr>
          <w:p w14:paraId="3383708B">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5.35</w:t>
            </w:r>
            <w:r>
              <w:rPr>
                <w:rFonts w:hint="default" w:ascii="Times New Roman" w:hAnsi="Times New Roman" w:eastAsia="宋体" w:cs="Times New Roman"/>
                <w:b w:val="0"/>
                <w:bCs/>
                <w:color w:val="auto"/>
                <w:sz w:val="21"/>
                <w:szCs w:val="21"/>
                <w:highlight w:val="none"/>
                <w:lang w:val="en-US" w:eastAsia="zh-CN"/>
              </w:rPr>
              <w:t>%</w:t>
            </w:r>
          </w:p>
        </w:tc>
        <w:tc>
          <w:tcPr>
            <w:tcW w:w="1141" w:type="dxa"/>
            <w:tcBorders>
              <w:tl2br w:val="nil"/>
              <w:tr2bl w:val="nil"/>
            </w:tcBorders>
            <w:shd w:val="clear" w:color="auto" w:fill="auto"/>
            <w:tcMar>
              <w:top w:w="15" w:type="dxa"/>
              <w:left w:w="15" w:type="dxa"/>
              <w:right w:w="15" w:type="dxa"/>
            </w:tcMar>
            <w:vAlign w:val="center"/>
          </w:tcPr>
          <w:p w14:paraId="7E48FF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0.63</w:t>
            </w:r>
          </w:p>
        </w:tc>
        <w:tc>
          <w:tcPr>
            <w:tcW w:w="1148" w:type="dxa"/>
            <w:tcBorders>
              <w:tl2br w:val="nil"/>
              <w:tr2bl w:val="nil"/>
            </w:tcBorders>
            <w:shd w:val="clear" w:color="auto" w:fill="auto"/>
            <w:tcMar>
              <w:top w:w="15" w:type="dxa"/>
              <w:left w:w="15" w:type="dxa"/>
              <w:right w:w="15" w:type="dxa"/>
            </w:tcMar>
            <w:vAlign w:val="center"/>
          </w:tcPr>
          <w:p w14:paraId="3E3AE50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32.47</w:t>
            </w:r>
            <w:r>
              <w:rPr>
                <w:rFonts w:hint="default" w:ascii="Times New Roman" w:hAnsi="Times New Roman" w:eastAsia="宋体" w:cs="Times New Roman"/>
                <w:b w:val="0"/>
                <w:bCs/>
                <w:color w:val="auto"/>
                <w:sz w:val="21"/>
                <w:szCs w:val="21"/>
                <w:highlight w:val="none"/>
                <w:lang w:val="en-US" w:eastAsia="zh-CN"/>
              </w:rPr>
              <w:t>%</w:t>
            </w:r>
          </w:p>
        </w:tc>
      </w:tr>
      <w:tr w14:paraId="628DF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474" w:type="dxa"/>
            <w:tcBorders>
              <w:tl2br w:val="nil"/>
              <w:tr2bl w:val="nil"/>
            </w:tcBorders>
            <w:shd w:val="clear" w:color="auto" w:fill="auto"/>
            <w:tcMar>
              <w:top w:w="15" w:type="dxa"/>
              <w:left w:w="15" w:type="dxa"/>
              <w:right w:w="15" w:type="dxa"/>
            </w:tcMar>
            <w:vAlign w:val="center"/>
          </w:tcPr>
          <w:p w14:paraId="7C53504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141" w:type="dxa"/>
            <w:tcBorders>
              <w:tl2br w:val="nil"/>
              <w:tr2bl w:val="nil"/>
            </w:tcBorders>
            <w:shd w:val="clear" w:color="auto" w:fill="auto"/>
            <w:tcMar>
              <w:top w:w="15" w:type="dxa"/>
              <w:left w:w="15" w:type="dxa"/>
              <w:right w:w="15" w:type="dxa"/>
            </w:tcMar>
            <w:vAlign w:val="center"/>
          </w:tcPr>
          <w:p w14:paraId="043D3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141" w:type="dxa"/>
            <w:tcBorders>
              <w:tl2br w:val="nil"/>
              <w:tr2bl w:val="nil"/>
            </w:tcBorders>
            <w:shd w:val="clear" w:color="auto" w:fill="auto"/>
            <w:tcMar>
              <w:top w:w="15" w:type="dxa"/>
              <w:left w:w="15" w:type="dxa"/>
              <w:right w:w="15" w:type="dxa"/>
            </w:tcMar>
            <w:vAlign w:val="center"/>
          </w:tcPr>
          <w:p w14:paraId="2592A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14:paraId="4882D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1141" w:type="dxa"/>
            <w:tcBorders>
              <w:tl2br w:val="nil"/>
              <w:tr2bl w:val="nil"/>
            </w:tcBorders>
            <w:shd w:val="clear" w:color="auto" w:fill="auto"/>
            <w:tcMar>
              <w:top w:w="15" w:type="dxa"/>
              <w:left w:w="15" w:type="dxa"/>
              <w:right w:w="15" w:type="dxa"/>
            </w:tcMar>
            <w:vAlign w:val="center"/>
          </w:tcPr>
          <w:p w14:paraId="4D25C1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141" w:type="dxa"/>
            <w:tcBorders>
              <w:tl2br w:val="nil"/>
              <w:tr2bl w:val="nil"/>
            </w:tcBorders>
            <w:shd w:val="clear" w:color="auto" w:fill="auto"/>
            <w:tcMar>
              <w:top w:w="15" w:type="dxa"/>
              <w:left w:w="15" w:type="dxa"/>
              <w:right w:w="15" w:type="dxa"/>
            </w:tcMar>
            <w:vAlign w:val="center"/>
          </w:tcPr>
          <w:p w14:paraId="38442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1148" w:type="dxa"/>
            <w:tcBorders>
              <w:tl2br w:val="nil"/>
              <w:tr2bl w:val="nil"/>
            </w:tcBorders>
            <w:shd w:val="clear" w:color="auto" w:fill="auto"/>
            <w:tcMar>
              <w:top w:w="15" w:type="dxa"/>
              <w:left w:w="15" w:type="dxa"/>
              <w:right w:w="15" w:type="dxa"/>
            </w:tcMar>
            <w:vAlign w:val="center"/>
          </w:tcPr>
          <w:p w14:paraId="29C675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14:paraId="34A5A2D5">
      <w:pPr>
        <w:pStyle w:val="8"/>
        <w:bidi w:val="0"/>
        <w:rPr>
          <w:rFonts w:hint="eastAsia"/>
          <w:color w:val="auto"/>
          <w:highlight w:val="none"/>
          <w:lang w:val="en-US" w:eastAsia="zh-CN"/>
        </w:rPr>
      </w:pPr>
      <w:r>
        <w:rPr>
          <w:rFonts w:hint="default"/>
          <w:color w:val="auto"/>
          <w:highlight w:val="none"/>
          <w:lang w:val="en-US" w:eastAsia="zh-CN"/>
        </w:rPr>
        <w:t>内源污染</w:t>
      </w:r>
      <w:r>
        <w:rPr>
          <w:rFonts w:hint="eastAsia"/>
          <w:color w:val="auto"/>
          <w:highlight w:val="none"/>
          <w:lang w:val="en-US" w:eastAsia="zh-CN"/>
        </w:rPr>
        <w:t>现状</w:t>
      </w:r>
    </w:p>
    <w:p w14:paraId="252FA8D4">
      <w:pPr>
        <w:pStyle w:val="5"/>
        <w:bidi w:val="0"/>
        <w:rPr>
          <w:rFonts w:hint="default"/>
          <w:color w:val="auto"/>
          <w:highlight w:val="none"/>
          <w:lang w:val="en-US" w:eastAsia="zh-CN"/>
        </w:rPr>
      </w:pPr>
      <w:r>
        <w:rPr>
          <w:rFonts w:hint="default"/>
          <w:color w:val="auto"/>
          <w:highlight w:val="none"/>
          <w:lang w:val="en-US" w:eastAsia="zh-CN"/>
        </w:rPr>
        <w:t>内源污染主要来自河道底泥污染，结合</w:t>
      </w:r>
      <w:r>
        <w:rPr>
          <w:rFonts w:hint="eastAsia"/>
          <w:color w:val="auto"/>
          <w:highlight w:val="none"/>
          <w:lang w:val="en-US" w:eastAsia="zh-CN"/>
        </w:rPr>
        <w:t>石耶镇</w:t>
      </w:r>
      <w:r>
        <w:rPr>
          <w:rFonts w:hint="default"/>
          <w:color w:val="auto"/>
          <w:highlight w:val="none"/>
          <w:lang w:val="en-US" w:eastAsia="zh-CN"/>
        </w:rPr>
        <w:t>现场调研情况，</w:t>
      </w:r>
      <w:r>
        <w:rPr>
          <w:rFonts w:hint="eastAsia"/>
          <w:color w:val="auto"/>
          <w:highlight w:val="none"/>
          <w:lang w:val="en-US" w:eastAsia="zh-CN"/>
        </w:rPr>
        <w:t>石耶镇</w:t>
      </w:r>
      <w:r>
        <w:rPr>
          <w:rFonts w:hint="default"/>
          <w:color w:val="auto"/>
          <w:highlight w:val="none"/>
          <w:lang w:val="en-US" w:eastAsia="zh-CN"/>
        </w:rPr>
        <w:t>现状不存在严重淤积，参考类似河道整治案例，内源污染在污染源负荷中所占比重较小，现阶段无法估算内源负荷量。因此，本阶段方案暂不对</w:t>
      </w:r>
      <w:r>
        <w:rPr>
          <w:rFonts w:hint="eastAsia"/>
          <w:color w:val="auto"/>
          <w:highlight w:val="none"/>
          <w:lang w:val="en-US" w:eastAsia="zh-CN"/>
        </w:rPr>
        <w:t>石耶镇</w:t>
      </w:r>
      <w:r>
        <w:rPr>
          <w:rFonts w:hint="default"/>
          <w:color w:val="auto"/>
          <w:highlight w:val="none"/>
          <w:lang w:val="en-US" w:eastAsia="zh-CN"/>
        </w:rPr>
        <w:t>内源污染负荷进行分析，</w:t>
      </w:r>
      <w:r>
        <w:rPr>
          <w:rFonts w:hint="eastAsia"/>
          <w:color w:val="auto"/>
          <w:highlight w:val="none"/>
          <w:lang w:val="en-US" w:eastAsia="zh-CN"/>
        </w:rPr>
        <w:t>建议</w:t>
      </w:r>
      <w:r>
        <w:rPr>
          <w:rFonts w:hint="default"/>
          <w:color w:val="auto"/>
          <w:highlight w:val="none"/>
          <w:lang w:val="en-US" w:eastAsia="zh-CN"/>
        </w:rPr>
        <w:t>先开展淤积情况调查，再有</w:t>
      </w:r>
      <w:r>
        <w:rPr>
          <w:rFonts w:hint="eastAsia"/>
          <w:color w:val="auto"/>
          <w:highlight w:val="none"/>
          <w:lang w:val="en-US" w:eastAsia="zh-CN"/>
        </w:rPr>
        <w:t>针对性地开展</w:t>
      </w:r>
      <w:r>
        <w:rPr>
          <w:rFonts w:hint="default"/>
          <w:color w:val="auto"/>
          <w:highlight w:val="none"/>
          <w:lang w:val="en-US" w:eastAsia="zh-CN"/>
        </w:rPr>
        <w:t>河道生态清淤等内源污染防治工作。</w:t>
      </w:r>
    </w:p>
    <w:p w14:paraId="1DACD812">
      <w:pPr>
        <w:pStyle w:val="8"/>
        <w:bidi w:val="0"/>
        <w:rPr>
          <w:rFonts w:hint="eastAsia"/>
          <w:color w:val="auto"/>
          <w:highlight w:val="none"/>
          <w:lang w:val="en-US" w:eastAsia="zh-CN"/>
        </w:rPr>
      </w:pPr>
      <w:r>
        <w:rPr>
          <w:rFonts w:hint="default"/>
          <w:color w:val="auto"/>
          <w:highlight w:val="none"/>
          <w:lang w:val="en-US" w:eastAsia="zh-CN"/>
        </w:rPr>
        <w:t>污染负荷特征分析</w:t>
      </w:r>
    </w:p>
    <w:p w14:paraId="76FF382E">
      <w:pPr>
        <w:pStyle w:val="5"/>
        <w:bidi w:val="0"/>
        <w:rPr>
          <w:rFonts w:hint="eastAsia"/>
          <w:lang w:val="en-US" w:eastAsia="zh-CN"/>
        </w:rPr>
      </w:pPr>
      <w:r>
        <w:rPr>
          <w:rFonts w:hint="eastAsia"/>
          <w:lang w:val="en-US" w:eastAsia="zh-CN"/>
        </w:rPr>
        <w:t>对石耶镇所有污染负荷进行分析汇总，污染总负荷COD：144.596t/a；NH</w:t>
      </w:r>
      <w:r>
        <w:rPr>
          <w:rFonts w:hint="eastAsia"/>
          <w:vertAlign w:val="subscript"/>
          <w:lang w:val="en-US" w:eastAsia="zh-CN"/>
        </w:rPr>
        <w:t>3</w:t>
      </w:r>
      <w:r>
        <w:rPr>
          <w:rFonts w:hint="eastAsia"/>
          <w:lang w:val="en-US" w:eastAsia="zh-CN"/>
        </w:rPr>
        <w:t>-N：30.78t/a；TP：2.77t/a。点源与面源污染负荷所占的比重分析如表3.2-25所示。从统计可以看出，整个石耶镇点源污染是COD、NH</w:t>
      </w:r>
      <w:r>
        <w:rPr>
          <w:rFonts w:hint="eastAsia"/>
          <w:vertAlign w:val="subscript"/>
          <w:lang w:val="en-US" w:eastAsia="zh-CN"/>
        </w:rPr>
        <w:t>3</w:t>
      </w:r>
      <w:r>
        <w:rPr>
          <w:rFonts w:hint="eastAsia"/>
          <w:lang w:val="en-US" w:eastAsia="zh-CN"/>
        </w:rPr>
        <w:t>-N污染负荷的主要来源；面源污染是</w:t>
      </w: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r>
        <w:rPr>
          <w:rFonts w:hint="eastAsia"/>
          <w:lang w:val="en-US" w:eastAsia="zh-CN"/>
        </w:rPr>
        <w:t>污染负荷的主要来源。</w:t>
      </w:r>
    </w:p>
    <w:p w14:paraId="199AFE86">
      <w:pPr>
        <w:pStyle w:val="56"/>
        <w:bidi w:val="0"/>
        <w:rPr>
          <w:rFonts w:hint="eastAsia"/>
          <w:color w:val="auto"/>
          <w:highlight w:val="none"/>
          <w:lang w:val="en-US" w:eastAsia="zh-CN"/>
        </w:rPr>
      </w:pPr>
      <w:r>
        <w:rPr>
          <w:rFonts w:hint="eastAsia"/>
          <w:color w:val="auto"/>
          <w:highlight w:val="none"/>
          <w:lang w:val="en-US" w:eastAsia="zh-CN"/>
        </w:rPr>
        <w:t>表3.2-25  石耶镇污染源类别分析</w:t>
      </w:r>
    </w:p>
    <w:tbl>
      <w:tblPr>
        <w:tblStyle w:val="23"/>
        <w:tblW w:w="832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46"/>
        <w:gridCol w:w="1346"/>
        <w:gridCol w:w="1346"/>
        <w:gridCol w:w="1346"/>
        <w:gridCol w:w="958"/>
        <w:gridCol w:w="1025"/>
        <w:gridCol w:w="961"/>
      </w:tblGrid>
      <w:tr w14:paraId="623621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1346" w:type="dxa"/>
            <w:vMerge w:val="restart"/>
            <w:tcBorders>
              <w:tl2br w:val="nil"/>
              <w:tr2bl w:val="nil"/>
            </w:tcBorders>
            <w:shd w:val="clear" w:color="auto" w:fill="auto"/>
            <w:tcMar>
              <w:top w:w="15" w:type="dxa"/>
              <w:left w:w="15" w:type="dxa"/>
              <w:right w:w="15" w:type="dxa"/>
            </w:tcMar>
            <w:vAlign w:val="center"/>
          </w:tcPr>
          <w:p w14:paraId="6EB8D3F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982" w:type="dxa"/>
            <w:gridSpan w:val="6"/>
            <w:tcBorders>
              <w:tl2br w:val="nil"/>
              <w:tr2bl w:val="nil"/>
            </w:tcBorders>
            <w:shd w:val="clear" w:color="auto" w:fill="auto"/>
            <w:tcMar>
              <w:top w:w="15" w:type="dxa"/>
              <w:left w:w="15" w:type="dxa"/>
              <w:right w:w="15" w:type="dxa"/>
            </w:tcMar>
            <w:vAlign w:val="center"/>
          </w:tcPr>
          <w:p w14:paraId="0FEB7CF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23C3C1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1346" w:type="dxa"/>
            <w:vMerge w:val="continue"/>
            <w:tcBorders>
              <w:tl2br w:val="nil"/>
              <w:tr2bl w:val="nil"/>
            </w:tcBorders>
            <w:shd w:val="clear" w:color="auto" w:fill="auto"/>
            <w:tcMar>
              <w:top w:w="15" w:type="dxa"/>
              <w:left w:w="15" w:type="dxa"/>
              <w:right w:w="15" w:type="dxa"/>
            </w:tcMar>
            <w:vAlign w:val="center"/>
          </w:tcPr>
          <w:p w14:paraId="4AC7EB5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346" w:type="dxa"/>
            <w:tcBorders>
              <w:tl2br w:val="nil"/>
              <w:tr2bl w:val="nil"/>
            </w:tcBorders>
            <w:shd w:val="clear" w:color="auto" w:fill="auto"/>
            <w:tcMar>
              <w:top w:w="15" w:type="dxa"/>
              <w:left w:w="15" w:type="dxa"/>
              <w:right w:w="15" w:type="dxa"/>
            </w:tcMar>
            <w:vAlign w:val="center"/>
          </w:tcPr>
          <w:p w14:paraId="1FF16C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346" w:type="dxa"/>
            <w:tcBorders>
              <w:tl2br w:val="nil"/>
              <w:tr2bl w:val="nil"/>
            </w:tcBorders>
            <w:shd w:val="clear" w:color="auto" w:fill="auto"/>
            <w:tcMar>
              <w:top w:w="15" w:type="dxa"/>
              <w:left w:w="15" w:type="dxa"/>
              <w:right w:w="15" w:type="dxa"/>
            </w:tcMar>
            <w:vAlign w:val="center"/>
          </w:tcPr>
          <w:p w14:paraId="4EB41FF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346" w:type="dxa"/>
            <w:tcBorders>
              <w:tl2br w:val="nil"/>
              <w:tr2bl w:val="nil"/>
            </w:tcBorders>
            <w:shd w:val="clear" w:color="auto" w:fill="auto"/>
            <w:tcMar>
              <w:top w:w="15" w:type="dxa"/>
              <w:left w:w="15" w:type="dxa"/>
              <w:right w:w="15" w:type="dxa"/>
            </w:tcMar>
            <w:vAlign w:val="center"/>
          </w:tcPr>
          <w:p w14:paraId="07A3763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958" w:type="dxa"/>
            <w:tcBorders>
              <w:tl2br w:val="nil"/>
              <w:tr2bl w:val="nil"/>
            </w:tcBorders>
            <w:shd w:val="clear" w:color="auto" w:fill="auto"/>
            <w:tcMar>
              <w:top w:w="15" w:type="dxa"/>
              <w:left w:w="15" w:type="dxa"/>
              <w:right w:w="15" w:type="dxa"/>
            </w:tcMar>
            <w:vAlign w:val="center"/>
          </w:tcPr>
          <w:p w14:paraId="34D074F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25" w:type="dxa"/>
            <w:tcBorders>
              <w:tl2br w:val="nil"/>
              <w:tr2bl w:val="nil"/>
            </w:tcBorders>
            <w:shd w:val="clear" w:color="auto" w:fill="auto"/>
            <w:tcMar>
              <w:top w:w="15" w:type="dxa"/>
              <w:left w:w="15" w:type="dxa"/>
              <w:right w:w="15" w:type="dxa"/>
            </w:tcMar>
            <w:vAlign w:val="center"/>
          </w:tcPr>
          <w:p w14:paraId="69A47BF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961" w:type="dxa"/>
            <w:tcBorders>
              <w:tl2br w:val="nil"/>
              <w:tr2bl w:val="nil"/>
            </w:tcBorders>
            <w:shd w:val="clear" w:color="auto" w:fill="auto"/>
            <w:tcMar>
              <w:top w:w="15" w:type="dxa"/>
              <w:left w:w="15" w:type="dxa"/>
              <w:right w:w="15" w:type="dxa"/>
            </w:tcMar>
            <w:vAlign w:val="center"/>
          </w:tcPr>
          <w:p w14:paraId="1E4A0DA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14:paraId="47C310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14:paraId="4C1C68F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346" w:type="dxa"/>
            <w:tcBorders>
              <w:tl2br w:val="nil"/>
              <w:tr2bl w:val="nil"/>
            </w:tcBorders>
            <w:shd w:val="clear" w:color="auto" w:fill="auto"/>
            <w:tcMar>
              <w:top w:w="15" w:type="dxa"/>
              <w:left w:w="15" w:type="dxa"/>
              <w:right w:w="15" w:type="dxa"/>
            </w:tcMar>
            <w:vAlign w:val="center"/>
          </w:tcPr>
          <w:p w14:paraId="4A6130C2">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17.4</w:t>
            </w:r>
            <w:r>
              <w:rPr>
                <w:rFonts w:hint="eastAsia" w:ascii="Times New Roman" w:cs="Times New Roman"/>
                <w:b w:val="0"/>
                <w:bCs/>
                <w:color w:val="auto"/>
                <w:sz w:val="21"/>
                <w:szCs w:val="21"/>
                <w:lang w:val="en-US" w:eastAsia="zh-CN"/>
              </w:rPr>
              <w:t>5</w:t>
            </w:r>
            <w:r>
              <w:rPr>
                <w:rFonts w:hint="default" w:ascii="Times New Roman" w:hAnsi="Times New Roman" w:cs="Times New Roman"/>
                <w:b w:val="0"/>
                <w:bCs/>
                <w:color w:val="auto"/>
                <w:sz w:val="21"/>
                <w:szCs w:val="21"/>
                <w:lang w:val="en-US" w:eastAsia="zh-CN"/>
              </w:rPr>
              <w:t xml:space="preserve"> </w:t>
            </w:r>
          </w:p>
        </w:tc>
        <w:tc>
          <w:tcPr>
            <w:tcW w:w="1346" w:type="dxa"/>
            <w:tcBorders>
              <w:tl2br w:val="nil"/>
              <w:tr2bl w:val="nil"/>
            </w:tcBorders>
            <w:shd w:val="clear" w:color="auto" w:fill="auto"/>
            <w:tcMar>
              <w:top w:w="15" w:type="dxa"/>
              <w:left w:w="15" w:type="dxa"/>
              <w:right w:w="15" w:type="dxa"/>
            </w:tcMar>
            <w:vAlign w:val="center"/>
          </w:tcPr>
          <w:p w14:paraId="084368F9">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 </w:t>
            </w:r>
            <w:r>
              <w:rPr>
                <w:rFonts w:hint="eastAsia" w:ascii="Times New Roman" w:cs="Times New Roman"/>
                <w:b w:val="0"/>
                <w:bCs/>
                <w:color w:val="auto"/>
                <w:sz w:val="21"/>
                <w:szCs w:val="21"/>
                <w:lang w:val="en-US" w:eastAsia="zh-CN"/>
              </w:rPr>
              <w:t>12.07%</w:t>
            </w:r>
          </w:p>
        </w:tc>
        <w:tc>
          <w:tcPr>
            <w:tcW w:w="1346" w:type="dxa"/>
            <w:tcBorders>
              <w:tl2br w:val="nil"/>
              <w:tr2bl w:val="nil"/>
            </w:tcBorders>
            <w:shd w:val="clear" w:color="auto" w:fill="auto"/>
            <w:tcMar>
              <w:top w:w="15" w:type="dxa"/>
              <w:left w:w="15" w:type="dxa"/>
              <w:right w:w="15" w:type="dxa"/>
            </w:tcMar>
            <w:vAlign w:val="center"/>
          </w:tcPr>
          <w:p w14:paraId="498BE203">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958" w:type="dxa"/>
            <w:tcBorders>
              <w:tl2br w:val="nil"/>
              <w:tr2bl w:val="nil"/>
            </w:tcBorders>
            <w:shd w:val="clear" w:color="auto" w:fill="auto"/>
            <w:tcMar>
              <w:top w:w="15" w:type="dxa"/>
              <w:left w:w="15" w:type="dxa"/>
              <w:right w:w="15" w:type="dxa"/>
            </w:tcMar>
            <w:vAlign w:val="center"/>
          </w:tcPr>
          <w:p w14:paraId="6AA945E4">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5.78</w:t>
            </w:r>
            <w:r>
              <w:rPr>
                <w:rFonts w:hint="default" w:ascii="Times New Roman" w:hAnsi="Times New Roman" w:eastAsia="宋体" w:cs="Times New Roman"/>
                <w:i w:val="0"/>
                <w:iCs w:val="0"/>
                <w:color w:val="auto"/>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14:paraId="16CC3B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0.233 </w:t>
            </w:r>
          </w:p>
        </w:tc>
        <w:tc>
          <w:tcPr>
            <w:tcW w:w="961" w:type="dxa"/>
            <w:tcBorders>
              <w:tl2br w:val="nil"/>
              <w:tr2bl w:val="nil"/>
            </w:tcBorders>
            <w:shd w:val="clear" w:color="auto" w:fill="auto"/>
            <w:tcMar>
              <w:top w:w="15" w:type="dxa"/>
              <w:left w:w="15" w:type="dxa"/>
              <w:right w:w="15" w:type="dxa"/>
            </w:tcMar>
            <w:vAlign w:val="center"/>
          </w:tcPr>
          <w:p w14:paraId="6204AA4E">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auto"/>
                <w:kern w:val="0"/>
                <w:sz w:val="21"/>
                <w:szCs w:val="21"/>
                <w:u w:val="none"/>
                <w:lang w:val="en-US" w:eastAsia="zh-CN" w:bidi="ar"/>
              </w:rPr>
              <w:t>8.3</w:t>
            </w:r>
            <w:r>
              <w:rPr>
                <w:rFonts w:hint="default" w:ascii="Times New Roman" w:hAnsi="Times New Roman" w:eastAsia="宋体" w:cs="Times New Roman"/>
                <w:i w:val="0"/>
                <w:iCs w:val="0"/>
                <w:color w:val="auto"/>
                <w:kern w:val="0"/>
                <w:sz w:val="21"/>
                <w:szCs w:val="21"/>
                <w:u w:val="none"/>
                <w:lang w:val="en-US" w:eastAsia="zh-CN" w:bidi="ar"/>
              </w:rPr>
              <w:t>%</w:t>
            </w:r>
          </w:p>
        </w:tc>
      </w:tr>
      <w:tr w14:paraId="253119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14:paraId="385EB03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346" w:type="dxa"/>
            <w:tcBorders>
              <w:tl2br w:val="nil"/>
              <w:tr2bl w:val="nil"/>
            </w:tcBorders>
            <w:shd w:val="clear" w:color="auto" w:fill="auto"/>
            <w:tcMar>
              <w:top w:w="15" w:type="dxa"/>
              <w:left w:w="15" w:type="dxa"/>
              <w:right w:w="15" w:type="dxa"/>
            </w:tcMar>
            <w:vAlign w:val="center"/>
          </w:tcPr>
          <w:p w14:paraId="6FE99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83.24</w:t>
            </w:r>
          </w:p>
        </w:tc>
        <w:tc>
          <w:tcPr>
            <w:tcW w:w="1346" w:type="dxa"/>
            <w:tcBorders>
              <w:tl2br w:val="nil"/>
              <w:tr2bl w:val="nil"/>
            </w:tcBorders>
            <w:shd w:val="clear" w:color="auto" w:fill="auto"/>
            <w:tcMar>
              <w:top w:w="15" w:type="dxa"/>
              <w:left w:w="15" w:type="dxa"/>
              <w:right w:w="15" w:type="dxa"/>
            </w:tcMar>
            <w:vAlign w:val="center"/>
          </w:tcPr>
          <w:p w14:paraId="7D1706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87.93</w:t>
            </w:r>
            <w:r>
              <w:rPr>
                <w:rFonts w:hint="default" w:ascii="Times New Roman" w:hAnsi="Times New Roman" w:eastAsia="宋体" w:cs="Times New Roman"/>
                <w:b w:val="0"/>
                <w:bCs/>
                <w:color w:val="auto"/>
                <w:sz w:val="21"/>
                <w:szCs w:val="21"/>
                <w:highlight w:val="none"/>
                <w:lang w:val="en-US" w:eastAsia="zh-CN"/>
              </w:rPr>
              <w:t>%</w:t>
            </w:r>
          </w:p>
        </w:tc>
        <w:tc>
          <w:tcPr>
            <w:tcW w:w="1346" w:type="dxa"/>
            <w:tcBorders>
              <w:tl2br w:val="nil"/>
              <w:tr2bl w:val="nil"/>
            </w:tcBorders>
            <w:shd w:val="clear" w:color="auto" w:fill="auto"/>
            <w:tcMar>
              <w:top w:w="15" w:type="dxa"/>
              <w:left w:w="15" w:type="dxa"/>
              <w:right w:w="15" w:type="dxa"/>
            </w:tcMar>
            <w:vAlign w:val="center"/>
          </w:tcPr>
          <w:p w14:paraId="658F4E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4.11</w:t>
            </w:r>
          </w:p>
        </w:tc>
        <w:tc>
          <w:tcPr>
            <w:tcW w:w="958" w:type="dxa"/>
            <w:tcBorders>
              <w:tl2br w:val="nil"/>
              <w:tr2bl w:val="nil"/>
            </w:tcBorders>
            <w:shd w:val="clear" w:color="auto" w:fill="auto"/>
            <w:tcMar>
              <w:top w:w="15" w:type="dxa"/>
              <w:left w:w="15" w:type="dxa"/>
              <w:right w:w="15" w:type="dxa"/>
            </w:tcMar>
            <w:vAlign w:val="center"/>
          </w:tcPr>
          <w:p w14:paraId="798EB22E">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i w:val="0"/>
                <w:iCs w:val="0"/>
                <w:color w:val="000000"/>
                <w:kern w:val="0"/>
                <w:sz w:val="21"/>
                <w:szCs w:val="21"/>
                <w:u w:val="none"/>
                <w:lang w:val="en-US" w:eastAsia="zh-CN" w:bidi="ar"/>
              </w:rPr>
              <w:t>94.22</w:t>
            </w:r>
            <w:r>
              <w:rPr>
                <w:rFonts w:hint="default" w:ascii="Times New Roman" w:hAnsi="Times New Roman" w:eastAsia="宋体" w:cs="Times New Roman"/>
                <w:i w:val="0"/>
                <w:iCs w:val="0"/>
                <w:color w:val="000000"/>
                <w:kern w:val="0"/>
                <w:sz w:val="21"/>
                <w:szCs w:val="21"/>
                <w:u w:val="none"/>
                <w:lang w:val="en-US" w:eastAsia="zh-CN" w:bidi="ar"/>
              </w:rPr>
              <w:t>%</w:t>
            </w:r>
          </w:p>
        </w:tc>
        <w:tc>
          <w:tcPr>
            <w:tcW w:w="1025" w:type="dxa"/>
            <w:tcBorders>
              <w:tl2br w:val="nil"/>
              <w:tr2bl w:val="nil"/>
            </w:tcBorders>
            <w:shd w:val="clear" w:color="auto" w:fill="auto"/>
            <w:tcMar>
              <w:top w:w="15" w:type="dxa"/>
              <w:left w:w="15" w:type="dxa"/>
              <w:right w:w="15" w:type="dxa"/>
            </w:tcMar>
            <w:vAlign w:val="center"/>
          </w:tcPr>
          <w:p w14:paraId="573EED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1.94</w:t>
            </w:r>
          </w:p>
        </w:tc>
        <w:tc>
          <w:tcPr>
            <w:tcW w:w="961" w:type="dxa"/>
            <w:tcBorders>
              <w:tl2br w:val="nil"/>
              <w:tr2bl w:val="nil"/>
            </w:tcBorders>
            <w:shd w:val="clear" w:color="auto" w:fill="auto"/>
            <w:tcMar>
              <w:top w:w="15" w:type="dxa"/>
              <w:left w:w="15" w:type="dxa"/>
              <w:right w:w="15" w:type="dxa"/>
            </w:tcMar>
            <w:vAlign w:val="center"/>
          </w:tcPr>
          <w:p w14:paraId="772EB679">
            <w:pPr>
              <w:keepNext w:val="0"/>
              <w:keepLines w:val="0"/>
              <w:widowControl/>
              <w:suppressLineNumbers w:val="0"/>
              <w:jc w:val="center"/>
              <w:textAlignment w:val="top"/>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r>
              <w:rPr>
                <w:rFonts w:hint="eastAsia" w:eastAsia="宋体" w:cs="Times New Roman"/>
                <w:i w:val="0"/>
                <w:iCs w:val="0"/>
                <w:color w:val="000000"/>
                <w:kern w:val="0"/>
                <w:sz w:val="21"/>
                <w:szCs w:val="21"/>
                <w:u w:val="none"/>
                <w:lang w:val="en-US" w:eastAsia="zh-CN" w:bidi="ar"/>
              </w:rPr>
              <w:t>1.7</w:t>
            </w:r>
            <w:r>
              <w:rPr>
                <w:rFonts w:hint="default" w:ascii="Times New Roman" w:hAnsi="Times New Roman" w:eastAsia="宋体" w:cs="Times New Roman"/>
                <w:i w:val="0"/>
                <w:iCs w:val="0"/>
                <w:color w:val="000000"/>
                <w:kern w:val="0"/>
                <w:sz w:val="21"/>
                <w:szCs w:val="21"/>
                <w:u w:val="none"/>
                <w:lang w:val="en-US" w:eastAsia="zh-CN" w:bidi="ar"/>
              </w:rPr>
              <w:t>%</w:t>
            </w:r>
          </w:p>
        </w:tc>
      </w:tr>
      <w:tr w14:paraId="768FE1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346" w:type="dxa"/>
            <w:tcBorders>
              <w:tl2br w:val="nil"/>
              <w:tr2bl w:val="nil"/>
            </w:tcBorders>
            <w:shd w:val="clear" w:color="auto" w:fill="auto"/>
            <w:tcMar>
              <w:top w:w="15" w:type="dxa"/>
              <w:left w:w="15" w:type="dxa"/>
              <w:right w:w="15" w:type="dxa"/>
            </w:tcMar>
            <w:vAlign w:val="center"/>
          </w:tcPr>
          <w:p w14:paraId="1474910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346" w:type="dxa"/>
            <w:tcBorders>
              <w:tl2br w:val="nil"/>
              <w:tr2bl w:val="nil"/>
            </w:tcBorders>
            <w:shd w:val="clear" w:color="auto" w:fill="auto"/>
            <w:tcMar>
              <w:top w:w="15" w:type="dxa"/>
              <w:left w:w="15" w:type="dxa"/>
              <w:right w:w="15" w:type="dxa"/>
            </w:tcMar>
            <w:vAlign w:val="center"/>
          </w:tcPr>
          <w:p w14:paraId="620B54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144.596</w:t>
            </w:r>
          </w:p>
        </w:tc>
        <w:tc>
          <w:tcPr>
            <w:tcW w:w="1346" w:type="dxa"/>
            <w:tcBorders>
              <w:tl2br w:val="nil"/>
              <w:tr2bl w:val="nil"/>
            </w:tcBorders>
            <w:shd w:val="clear" w:color="auto" w:fill="auto"/>
            <w:tcMar>
              <w:top w:w="15" w:type="dxa"/>
              <w:left w:w="15" w:type="dxa"/>
              <w:right w:w="15" w:type="dxa"/>
            </w:tcMar>
            <w:vAlign w:val="center"/>
          </w:tcPr>
          <w:p w14:paraId="79E33F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346" w:type="dxa"/>
            <w:tcBorders>
              <w:tl2br w:val="nil"/>
              <w:tr2bl w:val="nil"/>
            </w:tcBorders>
            <w:shd w:val="clear" w:color="auto" w:fill="auto"/>
            <w:tcMar>
              <w:top w:w="15" w:type="dxa"/>
              <w:left w:w="15" w:type="dxa"/>
              <w:right w:w="15" w:type="dxa"/>
            </w:tcMar>
            <w:vAlign w:val="center"/>
          </w:tcPr>
          <w:p w14:paraId="757017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958" w:type="dxa"/>
            <w:tcBorders>
              <w:tl2br w:val="nil"/>
              <w:tr2bl w:val="nil"/>
            </w:tcBorders>
            <w:shd w:val="clear" w:color="auto" w:fill="auto"/>
            <w:tcMar>
              <w:top w:w="15" w:type="dxa"/>
              <w:left w:w="15" w:type="dxa"/>
              <w:right w:w="15" w:type="dxa"/>
            </w:tcMar>
            <w:vAlign w:val="center"/>
          </w:tcPr>
          <w:p w14:paraId="3D7A7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25" w:type="dxa"/>
            <w:tcBorders>
              <w:tl2br w:val="nil"/>
              <w:tr2bl w:val="nil"/>
            </w:tcBorders>
            <w:shd w:val="clear" w:color="auto" w:fill="auto"/>
            <w:tcMar>
              <w:top w:w="15" w:type="dxa"/>
              <w:left w:w="15" w:type="dxa"/>
              <w:right w:w="15" w:type="dxa"/>
            </w:tcMar>
            <w:vAlign w:val="center"/>
          </w:tcPr>
          <w:p w14:paraId="76C2E0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r>
              <w:rPr>
                <w:rFonts w:hint="default" w:ascii="Times New Roman" w:hAnsi="Times New Roman" w:eastAsia="宋体" w:cs="Times New Roman"/>
                <w:b w:val="0"/>
                <w:bCs/>
                <w:color w:val="auto"/>
                <w:sz w:val="21"/>
                <w:szCs w:val="21"/>
                <w:highlight w:val="none"/>
                <w:lang w:val="en-US" w:eastAsia="zh-CN"/>
              </w:rPr>
              <w:t xml:space="preserve"> </w:t>
            </w:r>
          </w:p>
        </w:tc>
        <w:tc>
          <w:tcPr>
            <w:tcW w:w="961" w:type="dxa"/>
            <w:tcBorders>
              <w:tl2br w:val="nil"/>
              <w:tr2bl w:val="nil"/>
            </w:tcBorders>
            <w:shd w:val="clear" w:color="auto" w:fill="auto"/>
            <w:tcMar>
              <w:top w:w="15" w:type="dxa"/>
              <w:left w:w="15" w:type="dxa"/>
              <w:right w:w="15" w:type="dxa"/>
            </w:tcMar>
            <w:vAlign w:val="center"/>
          </w:tcPr>
          <w:p w14:paraId="01612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14:paraId="7499EB23">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jc w:val="center"/>
        <w:textAlignment w:val="baseline"/>
        <w:rPr>
          <w:rFonts w:hint="eastAsia" w:eastAsia="宋体"/>
          <w:lang w:eastAsia="zh-CN"/>
        </w:rPr>
      </w:pPr>
      <w:r>
        <w:drawing>
          <wp:inline distT="0" distB="0" distL="114300" distR="114300">
            <wp:extent cx="4572000" cy="2743200"/>
            <wp:effectExtent l="4445" t="4445" r="14605" b="14605"/>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DC198C">
      <w:pPr>
        <w:pStyle w:val="31"/>
        <w:bidi w:val="0"/>
      </w:pPr>
      <w:r>
        <w:rPr>
          <w:rFonts w:hint="eastAsia"/>
        </w:rPr>
        <w:t>图</w:t>
      </w:r>
      <w:r>
        <w:rPr>
          <w:rFonts w:hint="eastAsia"/>
          <w:lang w:val="en-US" w:eastAsia="zh-CN"/>
        </w:rPr>
        <w:t>3.2-5  石耶镇</w:t>
      </w:r>
      <w:r>
        <w:rPr>
          <w:rFonts w:hint="eastAsia"/>
        </w:rPr>
        <w:t>COD污染源构成分析</w:t>
      </w:r>
    </w:p>
    <w:p w14:paraId="6969452C">
      <w:pPr>
        <w:pStyle w:val="5"/>
        <w:bidi w:val="0"/>
        <w:ind w:left="0" w:leftChars="0" w:firstLine="0" w:firstLineChars="0"/>
        <w:jc w:val="center"/>
        <w:rPr>
          <w:rFonts w:hint="eastAsia" w:eastAsia="宋体"/>
          <w:lang w:eastAsia="zh-CN"/>
        </w:rPr>
      </w:pPr>
      <w:r>
        <w:drawing>
          <wp:inline distT="0" distB="0" distL="114300" distR="114300">
            <wp:extent cx="4544060" cy="2771775"/>
            <wp:effectExtent l="4445" t="4445" r="23495" b="5080"/>
            <wp:docPr id="29"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67C0EE">
      <w:pPr>
        <w:pStyle w:val="31"/>
        <w:bidi w:val="0"/>
        <w:rPr>
          <w:rFonts w:hint="eastAsia"/>
        </w:rPr>
      </w:pPr>
      <w:r>
        <w:rPr>
          <w:rFonts w:hint="eastAsia"/>
        </w:rPr>
        <w:t>图</w:t>
      </w:r>
      <w:r>
        <w:rPr>
          <w:rFonts w:hint="eastAsia"/>
          <w:lang w:val="en-US" w:eastAsia="zh-CN"/>
        </w:rPr>
        <w:t>3.2-6  石耶镇NH</w:t>
      </w:r>
      <w:r>
        <w:rPr>
          <w:rFonts w:hint="eastAsia"/>
          <w:vertAlign w:val="subscript"/>
          <w:lang w:val="en-US" w:eastAsia="zh-CN"/>
        </w:rPr>
        <w:t>3</w:t>
      </w:r>
      <w:r>
        <w:rPr>
          <w:rFonts w:hint="eastAsia"/>
          <w:lang w:val="en-US" w:eastAsia="zh-CN"/>
        </w:rPr>
        <w:t>-N</w:t>
      </w:r>
      <w:r>
        <w:rPr>
          <w:rFonts w:hint="eastAsia"/>
        </w:rPr>
        <w:t>污染源构成分析</w:t>
      </w:r>
    </w:p>
    <w:p w14:paraId="2FDFE114">
      <w:pPr>
        <w:pStyle w:val="31"/>
        <w:bidi w:val="0"/>
      </w:pPr>
      <w:r>
        <w:drawing>
          <wp:inline distT="0" distB="0" distL="114300" distR="114300">
            <wp:extent cx="4572000" cy="2838450"/>
            <wp:effectExtent l="4445" t="4445" r="14605" b="14605"/>
            <wp:docPr id="30"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ECAA5B">
      <w:pPr>
        <w:pStyle w:val="31"/>
        <w:bidi w:val="0"/>
        <w:rPr>
          <w:rFonts w:hint="eastAsia"/>
          <w:color w:val="auto"/>
          <w:highlight w:val="none"/>
        </w:rPr>
      </w:pPr>
      <w:r>
        <w:rPr>
          <w:rFonts w:hint="eastAsia"/>
          <w:color w:val="auto"/>
          <w:highlight w:val="none"/>
        </w:rPr>
        <w:t>图</w:t>
      </w:r>
      <w:r>
        <w:rPr>
          <w:rFonts w:hint="eastAsia"/>
          <w:color w:val="auto"/>
          <w:highlight w:val="none"/>
          <w:lang w:val="en-US" w:eastAsia="zh-CN"/>
        </w:rPr>
        <w:t>3.2-7  石耶镇TP</w:t>
      </w:r>
      <w:r>
        <w:rPr>
          <w:rFonts w:hint="eastAsia"/>
          <w:color w:val="auto"/>
          <w:highlight w:val="none"/>
        </w:rPr>
        <w:t>污染源构成分析</w:t>
      </w:r>
    </w:p>
    <w:p w14:paraId="29573A81">
      <w:pPr>
        <w:pStyle w:val="5"/>
        <w:bidi w:val="0"/>
        <w:rPr>
          <w:rFonts w:hint="eastAsia"/>
        </w:rPr>
      </w:pPr>
      <w:r>
        <w:rPr>
          <w:rFonts w:hint="eastAsia"/>
        </w:rPr>
        <w:t>对</w:t>
      </w:r>
      <w:r>
        <w:rPr>
          <w:rFonts w:hint="eastAsia"/>
          <w:lang w:val="en-US" w:eastAsia="zh-CN"/>
        </w:rPr>
        <w:t>石耶镇</w:t>
      </w:r>
      <w:r>
        <w:rPr>
          <w:rFonts w:hint="eastAsia"/>
        </w:rPr>
        <w:t>所有来源污染负荷的构成进行分析汇总，各种污染负荷所占的比重分析如表</w:t>
      </w:r>
      <w:r>
        <w:rPr>
          <w:rFonts w:hint="eastAsia"/>
          <w:lang w:val="en-US" w:eastAsia="zh-CN"/>
        </w:rPr>
        <w:t>3.2-26</w:t>
      </w:r>
      <w:r>
        <w:rPr>
          <w:rFonts w:hint="eastAsia"/>
        </w:rPr>
        <w:t>所示。</w:t>
      </w:r>
    </w:p>
    <w:p w14:paraId="03649DDA">
      <w:pPr>
        <w:pStyle w:val="56"/>
        <w:bidi w:val="0"/>
        <w:rPr>
          <w:rFonts w:hint="eastAsia"/>
          <w:color w:val="auto"/>
          <w:highlight w:val="none"/>
        </w:rPr>
      </w:pPr>
      <w:r>
        <w:rPr>
          <w:rFonts w:hint="eastAsia"/>
          <w:color w:val="auto"/>
          <w:highlight w:val="none"/>
        </w:rPr>
        <w:t>表</w:t>
      </w:r>
      <w:r>
        <w:rPr>
          <w:rFonts w:hint="eastAsia"/>
          <w:color w:val="auto"/>
          <w:highlight w:val="none"/>
          <w:lang w:val="en-US" w:eastAsia="zh-CN"/>
        </w:rPr>
        <w:t>3.2-26  石耶镇</w:t>
      </w:r>
      <w:r>
        <w:rPr>
          <w:rFonts w:hint="eastAsia"/>
          <w:color w:val="auto"/>
          <w:highlight w:val="none"/>
        </w:rPr>
        <w:t>污染源构成分析</w:t>
      </w:r>
    </w:p>
    <w:tbl>
      <w:tblPr>
        <w:tblStyle w:val="23"/>
        <w:tblW w:w="832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62"/>
        <w:gridCol w:w="1409"/>
        <w:gridCol w:w="1038"/>
        <w:gridCol w:w="1038"/>
        <w:gridCol w:w="1038"/>
        <w:gridCol w:w="1038"/>
        <w:gridCol w:w="1038"/>
        <w:gridCol w:w="1066"/>
      </w:tblGrid>
      <w:tr w14:paraId="611229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2071" w:type="dxa"/>
            <w:gridSpan w:val="2"/>
            <w:vMerge w:val="restart"/>
            <w:tcBorders>
              <w:tl2br w:val="nil"/>
              <w:tr2bl w:val="nil"/>
            </w:tcBorders>
            <w:shd w:val="clear" w:color="auto" w:fill="auto"/>
            <w:tcMar>
              <w:top w:w="15" w:type="dxa"/>
              <w:left w:w="15" w:type="dxa"/>
              <w:right w:w="15" w:type="dxa"/>
            </w:tcMar>
            <w:vAlign w:val="center"/>
          </w:tcPr>
          <w:p w14:paraId="109EECB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污染源</w:t>
            </w:r>
          </w:p>
        </w:tc>
        <w:tc>
          <w:tcPr>
            <w:tcW w:w="6256" w:type="dxa"/>
            <w:gridSpan w:val="6"/>
            <w:tcBorders>
              <w:tl2br w:val="nil"/>
              <w:tr2bl w:val="nil"/>
            </w:tcBorders>
            <w:shd w:val="clear" w:color="auto" w:fill="auto"/>
            <w:tcMar>
              <w:top w:w="15" w:type="dxa"/>
              <w:left w:w="15" w:type="dxa"/>
              <w:right w:w="15" w:type="dxa"/>
            </w:tcMar>
            <w:vAlign w:val="center"/>
          </w:tcPr>
          <w:p w14:paraId="232F6F6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污染负荷（t/a）</w:t>
            </w:r>
          </w:p>
        </w:tc>
      </w:tr>
      <w:tr w14:paraId="14B753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2071" w:type="dxa"/>
            <w:gridSpan w:val="2"/>
            <w:vMerge w:val="continue"/>
            <w:tcBorders>
              <w:tl2br w:val="nil"/>
              <w:tr2bl w:val="nil"/>
            </w:tcBorders>
            <w:shd w:val="clear" w:color="auto" w:fill="auto"/>
            <w:tcMar>
              <w:top w:w="15" w:type="dxa"/>
              <w:left w:w="15" w:type="dxa"/>
              <w:right w:w="15" w:type="dxa"/>
            </w:tcMar>
            <w:vAlign w:val="center"/>
          </w:tcPr>
          <w:p w14:paraId="46F2FDF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038" w:type="dxa"/>
            <w:tcBorders>
              <w:tl2br w:val="nil"/>
              <w:tr2bl w:val="nil"/>
            </w:tcBorders>
            <w:shd w:val="clear" w:color="auto" w:fill="auto"/>
            <w:tcMar>
              <w:top w:w="15" w:type="dxa"/>
              <w:left w:w="15" w:type="dxa"/>
              <w:right w:w="15" w:type="dxa"/>
            </w:tcMar>
            <w:vAlign w:val="center"/>
          </w:tcPr>
          <w:p w14:paraId="2B57787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COD</w:t>
            </w:r>
          </w:p>
        </w:tc>
        <w:tc>
          <w:tcPr>
            <w:tcW w:w="1038" w:type="dxa"/>
            <w:tcBorders>
              <w:tl2br w:val="nil"/>
              <w:tr2bl w:val="nil"/>
            </w:tcBorders>
            <w:shd w:val="clear" w:color="auto" w:fill="auto"/>
            <w:tcMar>
              <w:top w:w="15" w:type="dxa"/>
              <w:left w:w="15" w:type="dxa"/>
              <w:right w:w="15" w:type="dxa"/>
            </w:tcMar>
            <w:vAlign w:val="center"/>
          </w:tcPr>
          <w:p w14:paraId="62CB1BE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14:paraId="5059AE3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NH</w:t>
            </w:r>
            <w:r>
              <w:rPr>
                <w:rFonts w:hint="default" w:ascii="Times New Roman" w:hAnsi="Times New Roman" w:eastAsia="宋体" w:cs="Times New Roman"/>
                <w:b w:val="0"/>
                <w:bCs/>
                <w:color w:val="auto"/>
                <w:sz w:val="21"/>
                <w:szCs w:val="21"/>
                <w:highlight w:val="none"/>
                <w:vertAlign w:val="subscript"/>
                <w:lang w:val="en-US" w:eastAsia="zh-CN"/>
              </w:rPr>
              <w:t>3</w:t>
            </w:r>
            <w:r>
              <w:rPr>
                <w:rFonts w:hint="default" w:ascii="Times New Roman" w:hAnsi="Times New Roman" w:eastAsia="宋体" w:cs="Times New Roman"/>
                <w:b w:val="0"/>
                <w:bCs/>
                <w:color w:val="auto"/>
                <w:sz w:val="21"/>
                <w:szCs w:val="21"/>
                <w:highlight w:val="none"/>
                <w:lang w:val="en-US" w:eastAsia="zh-CN"/>
              </w:rPr>
              <w:t>-N</w:t>
            </w:r>
          </w:p>
        </w:tc>
        <w:tc>
          <w:tcPr>
            <w:tcW w:w="1038" w:type="dxa"/>
            <w:tcBorders>
              <w:tl2br w:val="nil"/>
              <w:tr2bl w:val="nil"/>
            </w:tcBorders>
            <w:shd w:val="clear" w:color="auto" w:fill="auto"/>
            <w:tcMar>
              <w:top w:w="15" w:type="dxa"/>
              <w:left w:w="15" w:type="dxa"/>
              <w:right w:w="15" w:type="dxa"/>
            </w:tcMar>
            <w:vAlign w:val="center"/>
          </w:tcPr>
          <w:p w14:paraId="6B811415">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c>
          <w:tcPr>
            <w:tcW w:w="1038" w:type="dxa"/>
            <w:tcBorders>
              <w:tl2br w:val="nil"/>
              <w:tr2bl w:val="nil"/>
            </w:tcBorders>
            <w:shd w:val="clear" w:color="auto" w:fill="auto"/>
            <w:tcMar>
              <w:top w:w="15" w:type="dxa"/>
              <w:left w:w="15" w:type="dxa"/>
              <w:right w:w="15" w:type="dxa"/>
            </w:tcMar>
            <w:vAlign w:val="center"/>
          </w:tcPr>
          <w:p w14:paraId="35C951D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TP</w:t>
            </w:r>
          </w:p>
        </w:tc>
        <w:tc>
          <w:tcPr>
            <w:tcW w:w="1066" w:type="dxa"/>
            <w:tcBorders>
              <w:tl2br w:val="nil"/>
              <w:tr2bl w:val="nil"/>
            </w:tcBorders>
            <w:shd w:val="clear" w:color="auto" w:fill="auto"/>
            <w:tcMar>
              <w:top w:w="15" w:type="dxa"/>
              <w:left w:w="15" w:type="dxa"/>
              <w:right w:w="15" w:type="dxa"/>
            </w:tcMar>
            <w:vAlign w:val="center"/>
          </w:tcPr>
          <w:p w14:paraId="0D4F0B1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占比</w:t>
            </w:r>
          </w:p>
        </w:tc>
      </w:tr>
      <w:tr w14:paraId="79F983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62" w:type="dxa"/>
            <w:tcBorders>
              <w:tl2br w:val="nil"/>
              <w:tr2bl w:val="nil"/>
            </w:tcBorders>
            <w:shd w:val="clear" w:color="auto" w:fill="auto"/>
            <w:tcMar>
              <w:top w:w="15" w:type="dxa"/>
              <w:left w:w="15" w:type="dxa"/>
              <w:right w:w="15" w:type="dxa"/>
            </w:tcMar>
            <w:vAlign w:val="center"/>
          </w:tcPr>
          <w:p w14:paraId="05FB7A9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点源</w:t>
            </w:r>
          </w:p>
        </w:tc>
        <w:tc>
          <w:tcPr>
            <w:tcW w:w="1409" w:type="dxa"/>
            <w:tcBorders>
              <w:tl2br w:val="nil"/>
              <w:tr2bl w:val="nil"/>
            </w:tcBorders>
            <w:shd w:val="clear" w:color="auto" w:fill="auto"/>
            <w:tcMar>
              <w:top w:w="15" w:type="dxa"/>
              <w:left w:w="15" w:type="dxa"/>
              <w:right w:w="15" w:type="dxa"/>
            </w:tcMar>
            <w:vAlign w:val="center"/>
          </w:tcPr>
          <w:p w14:paraId="4022945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城镇生活污水</w:t>
            </w:r>
          </w:p>
        </w:tc>
        <w:tc>
          <w:tcPr>
            <w:tcW w:w="1038" w:type="dxa"/>
            <w:tcBorders>
              <w:tl2br w:val="nil"/>
              <w:tr2bl w:val="nil"/>
            </w:tcBorders>
            <w:shd w:val="clear" w:color="auto" w:fill="auto"/>
            <w:tcMar>
              <w:top w:w="15" w:type="dxa"/>
              <w:left w:w="15" w:type="dxa"/>
              <w:right w:w="15" w:type="dxa"/>
            </w:tcMar>
            <w:vAlign w:val="center"/>
          </w:tcPr>
          <w:p w14:paraId="6F9E82CC">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45</w:t>
            </w:r>
            <w:r>
              <w:rPr>
                <w:rFonts w:hint="default" w:ascii="Times New Roman" w:hAnsi="Times New Roman" w:cs="Times New Roman"/>
                <w:b w:val="0"/>
                <w:bCs/>
                <w:color w:val="auto"/>
                <w:sz w:val="21"/>
                <w:szCs w:val="21"/>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14:paraId="324BBCA7">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60A9FDFD">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53" w:leftChars="-25" w:right="-53" w:rightChars="-25" w:firstLine="0" w:firstLineChars="0"/>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1.7</w:t>
            </w:r>
            <w:r>
              <w:rPr>
                <w:rFonts w:hint="eastAsia" w:ascii="Times New Roman" w:cs="Times New Roman"/>
                <w:b w:val="0"/>
                <w:bCs/>
                <w:color w:val="auto"/>
                <w:sz w:val="21"/>
                <w:szCs w:val="21"/>
                <w:lang w:val="en-US" w:eastAsia="zh-CN"/>
              </w:rPr>
              <w:t>8</w:t>
            </w:r>
          </w:p>
        </w:tc>
        <w:tc>
          <w:tcPr>
            <w:tcW w:w="1038" w:type="dxa"/>
            <w:tcBorders>
              <w:tl2br w:val="nil"/>
              <w:tr2bl w:val="nil"/>
            </w:tcBorders>
            <w:shd w:val="clear" w:color="auto" w:fill="auto"/>
            <w:tcMar>
              <w:top w:w="15" w:type="dxa"/>
              <w:left w:w="15" w:type="dxa"/>
              <w:right w:w="15" w:type="dxa"/>
            </w:tcMar>
            <w:vAlign w:val="center"/>
          </w:tcPr>
          <w:p w14:paraId="3C48014E">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5.78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30036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snapToGrid w:val="0"/>
                <w:color w:val="FF0000"/>
                <w:kern w:val="0"/>
                <w:sz w:val="21"/>
                <w:szCs w:val="21"/>
                <w:highlight w:val="none"/>
                <w:lang w:val="en-US" w:eastAsia="zh-CN" w:bidi="ar-SA"/>
              </w:rPr>
            </w:pPr>
            <w:r>
              <w:rPr>
                <w:rFonts w:hint="default" w:ascii="Times New Roman" w:hAnsi="Times New Roman" w:cs="Times New Roman"/>
                <w:b w:val="0"/>
                <w:bCs/>
                <w:color w:val="auto"/>
                <w:sz w:val="21"/>
                <w:szCs w:val="21"/>
                <w:lang w:val="en-US" w:eastAsia="zh-CN"/>
              </w:rPr>
              <w:t>0.23</w:t>
            </w:r>
          </w:p>
        </w:tc>
        <w:tc>
          <w:tcPr>
            <w:tcW w:w="1066" w:type="dxa"/>
            <w:tcBorders>
              <w:tl2br w:val="nil"/>
              <w:tr2bl w:val="nil"/>
            </w:tcBorders>
            <w:shd w:val="clear" w:color="auto" w:fill="auto"/>
            <w:tcMar>
              <w:top w:w="15" w:type="dxa"/>
              <w:left w:w="15" w:type="dxa"/>
              <w:right w:w="15" w:type="dxa"/>
            </w:tcMar>
            <w:vAlign w:val="center"/>
          </w:tcPr>
          <w:p w14:paraId="0A0B6E3A">
            <w:pPr>
              <w:keepNext w:val="0"/>
              <w:keepLines w:val="0"/>
              <w:widowControl/>
              <w:suppressLineNumbers w:val="0"/>
              <w:jc w:val="center"/>
              <w:textAlignment w:val="center"/>
              <w:rPr>
                <w:rFonts w:hint="default" w:ascii="Times New Roman" w:hAnsi="Times New Roman" w:eastAsia="宋体" w:cs="Times New Roman"/>
                <w:b w:val="0"/>
                <w:bCs/>
                <w:color w:val="FF0000"/>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8.40</w:t>
            </w:r>
            <w:r>
              <w:rPr>
                <w:rFonts w:hint="default" w:ascii="Times New Roman" w:hAnsi="Times New Roman" w:eastAsia="宋体" w:cs="Times New Roman"/>
                <w:b w:val="0"/>
                <w:bCs/>
                <w:color w:val="auto"/>
                <w:sz w:val="21"/>
                <w:szCs w:val="21"/>
                <w:highlight w:val="none"/>
                <w:lang w:val="en-US" w:eastAsia="zh-CN"/>
              </w:rPr>
              <w:t>%</w:t>
            </w:r>
          </w:p>
        </w:tc>
      </w:tr>
      <w:tr w14:paraId="512906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restart"/>
            <w:tcBorders>
              <w:tl2br w:val="nil"/>
              <w:tr2bl w:val="nil"/>
            </w:tcBorders>
            <w:shd w:val="clear" w:color="auto" w:fill="auto"/>
            <w:tcMar>
              <w:top w:w="15" w:type="dxa"/>
              <w:left w:w="15" w:type="dxa"/>
              <w:right w:w="15" w:type="dxa"/>
            </w:tcMar>
            <w:vAlign w:val="center"/>
          </w:tcPr>
          <w:p w14:paraId="1E6E49D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面源</w:t>
            </w:r>
          </w:p>
        </w:tc>
        <w:tc>
          <w:tcPr>
            <w:tcW w:w="1409" w:type="dxa"/>
            <w:tcBorders>
              <w:tl2br w:val="nil"/>
              <w:tr2bl w:val="nil"/>
            </w:tcBorders>
            <w:shd w:val="clear" w:color="auto" w:fill="auto"/>
            <w:tcMar>
              <w:top w:w="15" w:type="dxa"/>
              <w:left w:w="15" w:type="dxa"/>
              <w:right w:w="15" w:type="dxa"/>
            </w:tcMar>
            <w:vAlign w:val="center"/>
          </w:tcPr>
          <w:p w14:paraId="45CE87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城镇地表径流</w:t>
            </w:r>
          </w:p>
        </w:tc>
        <w:tc>
          <w:tcPr>
            <w:tcW w:w="1038" w:type="dxa"/>
            <w:tcBorders>
              <w:tl2br w:val="nil"/>
              <w:tr2bl w:val="nil"/>
            </w:tcBorders>
            <w:shd w:val="clear" w:color="auto" w:fill="auto"/>
            <w:tcMar>
              <w:top w:w="15" w:type="dxa"/>
              <w:left w:w="15" w:type="dxa"/>
              <w:right w:w="15" w:type="dxa"/>
            </w:tcMar>
            <w:vAlign w:val="center"/>
          </w:tcPr>
          <w:p w14:paraId="52718E2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12.42 </w:t>
            </w:r>
          </w:p>
        </w:tc>
        <w:tc>
          <w:tcPr>
            <w:tcW w:w="1038" w:type="dxa"/>
            <w:tcBorders>
              <w:tl2br w:val="nil"/>
              <w:tr2bl w:val="nil"/>
            </w:tcBorders>
            <w:shd w:val="clear" w:color="auto" w:fill="auto"/>
            <w:tcMar>
              <w:top w:w="15" w:type="dxa"/>
              <w:left w:w="15" w:type="dxa"/>
              <w:right w:w="15" w:type="dxa"/>
            </w:tcMar>
            <w:vAlign w:val="center"/>
          </w:tcPr>
          <w:p w14:paraId="0878D59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8.59</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56AE2E1C">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0.23 </w:t>
            </w:r>
          </w:p>
        </w:tc>
        <w:tc>
          <w:tcPr>
            <w:tcW w:w="1038" w:type="dxa"/>
            <w:tcBorders>
              <w:tl2br w:val="nil"/>
              <w:tr2bl w:val="nil"/>
            </w:tcBorders>
            <w:shd w:val="clear" w:color="auto" w:fill="auto"/>
            <w:tcMar>
              <w:top w:w="15" w:type="dxa"/>
              <w:left w:w="15" w:type="dxa"/>
              <w:right w:w="15" w:type="dxa"/>
            </w:tcMar>
            <w:vAlign w:val="center"/>
          </w:tcPr>
          <w:p w14:paraId="07E2F9B6">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0.75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2805AB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0.08  </w:t>
            </w:r>
            <w:r>
              <w:rPr>
                <w:rFonts w:hint="default" w:ascii="Times New Roman" w:hAnsi="Times New Roman" w:eastAsia="宋体" w:cs="Times New Roman"/>
                <w:b w:val="0"/>
                <w:bCs/>
                <w:color w:val="auto"/>
                <w:sz w:val="21"/>
                <w:szCs w:val="21"/>
                <w:highlight w:val="none"/>
                <w:lang w:val="en-US" w:eastAsia="zh-CN"/>
              </w:rPr>
              <w:t xml:space="preserve"> </w:t>
            </w:r>
          </w:p>
        </w:tc>
        <w:tc>
          <w:tcPr>
            <w:tcW w:w="1066" w:type="dxa"/>
            <w:tcBorders>
              <w:tl2br w:val="nil"/>
              <w:tr2bl w:val="nil"/>
            </w:tcBorders>
            <w:shd w:val="clear" w:color="auto" w:fill="auto"/>
            <w:tcMar>
              <w:top w:w="15" w:type="dxa"/>
              <w:left w:w="15" w:type="dxa"/>
              <w:right w:w="15" w:type="dxa"/>
            </w:tcMar>
            <w:vAlign w:val="center"/>
          </w:tcPr>
          <w:p w14:paraId="43B061C5">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2.88</w:t>
            </w:r>
            <w:r>
              <w:rPr>
                <w:rFonts w:hint="default" w:ascii="Times New Roman" w:hAnsi="Times New Roman" w:eastAsia="宋体" w:cs="Times New Roman"/>
                <w:b w:val="0"/>
                <w:bCs/>
                <w:color w:val="auto"/>
                <w:sz w:val="21"/>
                <w:szCs w:val="21"/>
                <w:highlight w:val="none"/>
                <w:lang w:val="en-US" w:eastAsia="zh-CN"/>
              </w:rPr>
              <w:t>%</w:t>
            </w:r>
          </w:p>
        </w:tc>
      </w:tr>
      <w:tr w14:paraId="7D9212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14:paraId="2B51244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14:paraId="1CF8BB1E">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农村生活污水</w:t>
            </w:r>
          </w:p>
        </w:tc>
        <w:tc>
          <w:tcPr>
            <w:tcW w:w="1038" w:type="dxa"/>
            <w:tcBorders>
              <w:tl2br w:val="nil"/>
              <w:tr2bl w:val="nil"/>
            </w:tcBorders>
            <w:shd w:val="clear" w:color="auto" w:fill="auto"/>
            <w:tcMar>
              <w:top w:w="15" w:type="dxa"/>
              <w:left w:w="15" w:type="dxa"/>
              <w:right w:w="15" w:type="dxa"/>
            </w:tcMar>
            <w:vAlign w:val="center"/>
          </w:tcPr>
          <w:p w14:paraId="1DB928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30.67 </w:t>
            </w:r>
          </w:p>
        </w:tc>
        <w:tc>
          <w:tcPr>
            <w:tcW w:w="1038" w:type="dxa"/>
            <w:tcBorders>
              <w:tl2br w:val="nil"/>
              <w:tr2bl w:val="nil"/>
            </w:tcBorders>
            <w:shd w:val="clear" w:color="auto" w:fill="auto"/>
            <w:tcMar>
              <w:top w:w="15" w:type="dxa"/>
              <w:left w:w="15" w:type="dxa"/>
              <w:right w:w="15" w:type="dxa"/>
            </w:tcMar>
            <w:vAlign w:val="center"/>
          </w:tcPr>
          <w:p w14:paraId="0117665A">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21.21</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054016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2.51</w:t>
            </w:r>
          </w:p>
        </w:tc>
        <w:tc>
          <w:tcPr>
            <w:tcW w:w="1038" w:type="dxa"/>
            <w:tcBorders>
              <w:tl2br w:val="nil"/>
              <w:tr2bl w:val="nil"/>
            </w:tcBorders>
            <w:shd w:val="clear" w:color="auto" w:fill="auto"/>
            <w:tcMar>
              <w:top w:w="15" w:type="dxa"/>
              <w:left w:w="15" w:type="dxa"/>
              <w:right w:w="15" w:type="dxa"/>
            </w:tcMar>
            <w:vAlign w:val="center"/>
          </w:tcPr>
          <w:p w14:paraId="7B068A3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8.15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07C4DE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cstheme="minorBidi"/>
                <w:color w:val="auto"/>
                <w:kern w:val="2"/>
                <w:sz w:val="21"/>
                <w:szCs w:val="24"/>
                <w:lang w:val="en-US" w:eastAsia="zh-CN" w:bidi="ar-SA"/>
              </w:rPr>
              <w:t xml:space="preserve">0.36 </w:t>
            </w:r>
          </w:p>
        </w:tc>
        <w:tc>
          <w:tcPr>
            <w:tcW w:w="1066" w:type="dxa"/>
            <w:tcBorders>
              <w:tl2br w:val="nil"/>
              <w:tr2bl w:val="nil"/>
            </w:tcBorders>
            <w:shd w:val="clear" w:color="auto" w:fill="auto"/>
            <w:tcMar>
              <w:top w:w="15" w:type="dxa"/>
              <w:left w:w="15" w:type="dxa"/>
              <w:right w:w="15" w:type="dxa"/>
            </w:tcMar>
            <w:vAlign w:val="center"/>
          </w:tcPr>
          <w:p w14:paraId="12A1DDB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12.98</w:t>
            </w:r>
            <w:r>
              <w:rPr>
                <w:rFonts w:hint="default" w:ascii="Times New Roman" w:hAnsi="Times New Roman" w:eastAsia="宋体" w:cs="Times New Roman"/>
                <w:b w:val="0"/>
                <w:bCs/>
                <w:color w:val="auto"/>
                <w:sz w:val="21"/>
                <w:szCs w:val="21"/>
                <w:highlight w:val="none"/>
                <w:lang w:val="en-US" w:eastAsia="zh-CN"/>
              </w:rPr>
              <w:t>%</w:t>
            </w:r>
          </w:p>
        </w:tc>
      </w:tr>
      <w:tr w14:paraId="6BD629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14:paraId="5D17FF0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14:paraId="440A141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农业种植</w:t>
            </w:r>
          </w:p>
        </w:tc>
        <w:tc>
          <w:tcPr>
            <w:tcW w:w="1038" w:type="dxa"/>
            <w:tcBorders>
              <w:tl2br w:val="nil"/>
              <w:tr2bl w:val="nil"/>
            </w:tcBorders>
            <w:shd w:val="clear" w:color="auto" w:fill="auto"/>
            <w:tcMar>
              <w:top w:w="15" w:type="dxa"/>
              <w:left w:w="15" w:type="dxa"/>
              <w:right w:w="15" w:type="dxa"/>
            </w:tcMar>
            <w:vAlign w:val="center"/>
          </w:tcPr>
          <w:p w14:paraId="2EF1461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24.83 </w:t>
            </w:r>
          </w:p>
        </w:tc>
        <w:tc>
          <w:tcPr>
            <w:tcW w:w="1038" w:type="dxa"/>
            <w:tcBorders>
              <w:tl2br w:val="nil"/>
              <w:tr2bl w:val="nil"/>
            </w:tcBorders>
            <w:shd w:val="clear" w:color="auto" w:fill="auto"/>
            <w:tcMar>
              <w:top w:w="15" w:type="dxa"/>
              <w:left w:w="15" w:type="dxa"/>
              <w:right w:w="15" w:type="dxa"/>
            </w:tcMar>
            <w:vAlign w:val="center"/>
          </w:tcPr>
          <w:p w14:paraId="5C12C1E9">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17.17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6F7C4DD9">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4.97 </w:t>
            </w:r>
          </w:p>
        </w:tc>
        <w:tc>
          <w:tcPr>
            <w:tcW w:w="1038" w:type="dxa"/>
            <w:tcBorders>
              <w:tl2br w:val="nil"/>
              <w:tr2bl w:val="nil"/>
            </w:tcBorders>
            <w:shd w:val="clear" w:color="auto" w:fill="auto"/>
            <w:tcMar>
              <w:top w:w="15" w:type="dxa"/>
              <w:left w:w="15" w:type="dxa"/>
              <w:right w:w="15" w:type="dxa"/>
            </w:tcMar>
            <w:vAlign w:val="center"/>
          </w:tcPr>
          <w:p w14:paraId="30B27F8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16.15</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0A6AA1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1.24  </w:t>
            </w:r>
          </w:p>
        </w:tc>
        <w:tc>
          <w:tcPr>
            <w:tcW w:w="1066" w:type="dxa"/>
            <w:tcBorders>
              <w:tl2br w:val="nil"/>
              <w:tr2bl w:val="nil"/>
            </w:tcBorders>
            <w:shd w:val="clear" w:color="auto" w:fill="auto"/>
            <w:tcMar>
              <w:top w:w="15" w:type="dxa"/>
              <w:left w:w="15" w:type="dxa"/>
              <w:right w:w="15" w:type="dxa"/>
            </w:tcMar>
            <w:vAlign w:val="center"/>
          </w:tcPr>
          <w:p w14:paraId="3AE768C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44.72</w:t>
            </w:r>
            <w:r>
              <w:rPr>
                <w:rFonts w:hint="default" w:ascii="Times New Roman" w:hAnsi="Times New Roman" w:eastAsia="宋体" w:cs="Times New Roman"/>
                <w:b w:val="0"/>
                <w:bCs/>
                <w:color w:val="auto"/>
                <w:sz w:val="21"/>
                <w:szCs w:val="21"/>
                <w:highlight w:val="none"/>
                <w:lang w:val="en-US" w:eastAsia="zh-CN"/>
              </w:rPr>
              <w:t>%</w:t>
            </w:r>
          </w:p>
        </w:tc>
      </w:tr>
      <w:tr w14:paraId="36D609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14:paraId="328E24A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14:paraId="2C11D4E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畜禽养殖</w:t>
            </w:r>
          </w:p>
        </w:tc>
        <w:tc>
          <w:tcPr>
            <w:tcW w:w="1038" w:type="dxa"/>
            <w:tcBorders>
              <w:tl2br w:val="nil"/>
              <w:tr2bl w:val="nil"/>
            </w:tcBorders>
            <w:shd w:val="clear" w:color="auto" w:fill="auto"/>
            <w:tcMar>
              <w:top w:w="15" w:type="dxa"/>
              <w:left w:w="15" w:type="dxa"/>
              <w:right w:w="15" w:type="dxa"/>
            </w:tcMar>
            <w:vAlign w:val="center"/>
          </w:tcPr>
          <w:p w14:paraId="4B6A6A3E">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22.96 </w:t>
            </w:r>
          </w:p>
        </w:tc>
        <w:tc>
          <w:tcPr>
            <w:tcW w:w="1038" w:type="dxa"/>
            <w:tcBorders>
              <w:tl2br w:val="nil"/>
              <w:tr2bl w:val="nil"/>
            </w:tcBorders>
            <w:shd w:val="clear" w:color="auto" w:fill="auto"/>
            <w:tcMar>
              <w:top w:w="15" w:type="dxa"/>
              <w:left w:w="15" w:type="dxa"/>
              <w:right w:w="15" w:type="dxa"/>
            </w:tcMar>
            <w:vAlign w:val="center"/>
          </w:tcPr>
          <w:p w14:paraId="13019EA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15.88</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7CA57C02">
            <w:pPr>
              <w:pStyle w:val="2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0.36</w:t>
            </w:r>
          </w:p>
        </w:tc>
        <w:tc>
          <w:tcPr>
            <w:tcW w:w="1038" w:type="dxa"/>
            <w:tcBorders>
              <w:tl2br w:val="nil"/>
              <w:tr2bl w:val="nil"/>
            </w:tcBorders>
            <w:shd w:val="clear" w:color="auto" w:fill="auto"/>
            <w:tcMar>
              <w:top w:w="15" w:type="dxa"/>
              <w:left w:w="15" w:type="dxa"/>
              <w:right w:w="15" w:type="dxa"/>
            </w:tcMar>
            <w:vAlign w:val="center"/>
          </w:tcPr>
          <w:p w14:paraId="2646CE18">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1.17</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11C84C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cs="Times New Roman"/>
                <w:b w:val="0"/>
                <w:bCs/>
                <w:color w:val="auto"/>
                <w:sz w:val="21"/>
                <w:szCs w:val="21"/>
                <w:lang w:val="en-US" w:eastAsia="zh-CN"/>
              </w:rPr>
              <w:t xml:space="preserve">0.31 </w:t>
            </w:r>
          </w:p>
        </w:tc>
        <w:tc>
          <w:tcPr>
            <w:tcW w:w="1066" w:type="dxa"/>
            <w:tcBorders>
              <w:tl2br w:val="nil"/>
              <w:tr2bl w:val="nil"/>
            </w:tcBorders>
            <w:shd w:val="clear" w:color="auto" w:fill="auto"/>
            <w:tcMar>
              <w:top w:w="15" w:type="dxa"/>
              <w:left w:w="15" w:type="dxa"/>
              <w:right w:w="15" w:type="dxa"/>
            </w:tcMar>
            <w:vAlign w:val="center"/>
          </w:tcPr>
          <w:p w14:paraId="070DEA2F">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11.18</w:t>
            </w:r>
            <w:r>
              <w:rPr>
                <w:rFonts w:hint="default" w:ascii="Times New Roman" w:hAnsi="Times New Roman" w:eastAsia="宋体" w:cs="Times New Roman"/>
                <w:b w:val="0"/>
                <w:bCs/>
                <w:color w:val="auto"/>
                <w:sz w:val="21"/>
                <w:szCs w:val="21"/>
                <w:highlight w:val="none"/>
                <w:lang w:val="en-US" w:eastAsia="zh-CN"/>
              </w:rPr>
              <w:t>%</w:t>
            </w:r>
          </w:p>
        </w:tc>
      </w:tr>
      <w:tr w14:paraId="6A50CE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14:paraId="2978C397">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14:paraId="65B678E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水产养殖</w:t>
            </w:r>
          </w:p>
        </w:tc>
        <w:tc>
          <w:tcPr>
            <w:tcW w:w="1038" w:type="dxa"/>
            <w:tcBorders>
              <w:tl2br w:val="nil"/>
              <w:tr2bl w:val="nil"/>
            </w:tcBorders>
            <w:shd w:val="clear" w:color="auto" w:fill="auto"/>
            <w:tcMar>
              <w:top w:w="15" w:type="dxa"/>
              <w:left w:w="15" w:type="dxa"/>
              <w:right w:w="15" w:type="dxa"/>
            </w:tcMar>
            <w:vAlign w:val="center"/>
          </w:tcPr>
          <w:p w14:paraId="74A58B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2.83</w:t>
            </w:r>
          </w:p>
        </w:tc>
        <w:tc>
          <w:tcPr>
            <w:tcW w:w="1038" w:type="dxa"/>
            <w:tcBorders>
              <w:tl2br w:val="nil"/>
              <w:tr2bl w:val="nil"/>
            </w:tcBorders>
            <w:shd w:val="clear" w:color="auto" w:fill="auto"/>
            <w:tcMar>
              <w:top w:w="15" w:type="dxa"/>
              <w:left w:w="15" w:type="dxa"/>
              <w:right w:w="15" w:type="dxa"/>
            </w:tcMar>
            <w:vAlign w:val="center"/>
          </w:tcPr>
          <w:p w14:paraId="0562072D">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1.96</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57B33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0.00 </w:t>
            </w:r>
          </w:p>
        </w:tc>
        <w:tc>
          <w:tcPr>
            <w:tcW w:w="1038" w:type="dxa"/>
            <w:tcBorders>
              <w:tl2br w:val="nil"/>
              <w:tr2bl w:val="nil"/>
            </w:tcBorders>
            <w:shd w:val="clear" w:color="auto" w:fill="auto"/>
            <w:tcMar>
              <w:top w:w="15" w:type="dxa"/>
              <w:left w:w="15" w:type="dxa"/>
              <w:right w:w="15" w:type="dxa"/>
            </w:tcMar>
            <w:vAlign w:val="center"/>
          </w:tcPr>
          <w:p w14:paraId="6A9320E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0.00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2F0D1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0.0</w:t>
            </w:r>
            <w:r>
              <w:rPr>
                <w:rFonts w:hint="eastAsia" w:eastAsia="宋体" w:cs="Times New Roman"/>
                <w:b w:val="0"/>
                <w:bCs/>
                <w:color w:val="auto"/>
                <w:sz w:val="21"/>
                <w:szCs w:val="21"/>
                <w:highlight w:val="none"/>
                <w:lang w:val="en-US" w:eastAsia="zh-CN"/>
              </w:rPr>
              <w:t>7</w:t>
            </w:r>
          </w:p>
        </w:tc>
        <w:tc>
          <w:tcPr>
            <w:tcW w:w="1066" w:type="dxa"/>
            <w:tcBorders>
              <w:tl2br w:val="nil"/>
              <w:tr2bl w:val="nil"/>
            </w:tcBorders>
            <w:shd w:val="clear" w:color="auto" w:fill="auto"/>
            <w:tcMar>
              <w:top w:w="15" w:type="dxa"/>
              <w:left w:w="15" w:type="dxa"/>
              <w:right w:w="15" w:type="dxa"/>
            </w:tcMar>
            <w:vAlign w:val="center"/>
          </w:tcPr>
          <w:p w14:paraId="053119AE">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2.52</w:t>
            </w:r>
            <w:r>
              <w:rPr>
                <w:rFonts w:hint="default" w:ascii="Times New Roman" w:hAnsi="Times New Roman" w:eastAsia="宋体" w:cs="Times New Roman"/>
                <w:b w:val="0"/>
                <w:bCs/>
                <w:color w:val="auto"/>
                <w:sz w:val="21"/>
                <w:szCs w:val="21"/>
                <w:highlight w:val="none"/>
                <w:lang w:val="en-US" w:eastAsia="zh-CN"/>
              </w:rPr>
              <w:t>%</w:t>
            </w:r>
          </w:p>
        </w:tc>
      </w:tr>
      <w:tr w14:paraId="0730A4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62" w:type="dxa"/>
            <w:vMerge w:val="continue"/>
            <w:tcBorders>
              <w:tl2br w:val="nil"/>
              <w:tr2bl w:val="nil"/>
            </w:tcBorders>
            <w:shd w:val="clear" w:color="auto" w:fill="auto"/>
            <w:tcMar>
              <w:top w:w="15" w:type="dxa"/>
              <w:left w:w="15" w:type="dxa"/>
              <w:right w:w="15" w:type="dxa"/>
            </w:tcMar>
            <w:vAlign w:val="center"/>
          </w:tcPr>
          <w:p w14:paraId="709CA62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p>
        </w:tc>
        <w:tc>
          <w:tcPr>
            <w:tcW w:w="1409" w:type="dxa"/>
            <w:tcBorders>
              <w:tl2br w:val="nil"/>
              <w:tr2bl w:val="nil"/>
            </w:tcBorders>
            <w:shd w:val="clear" w:color="auto" w:fill="auto"/>
            <w:tcMar>
              <w:top w:w="15" w:type="dxa"/>
              <w:left w:w="15" w:type="dxa"/>
              <w:right w:w="15" w:type="dxa"/>
            </w:tcMar>
            <w:vAlign w:val="center"/>
          </w:tcPr>
          <w:p w14:paraId="06773BF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水土流失</w:t>
            </w:r>
          </w:p>
        </w:tc>
        <w:tc>
          <w:tcPr>
            <w:tcW w:w="1038" w:type="dxa"/>
            <w:tcBorders>
              <w:tl2br w:val="nil"/>
              <w:tr2bl w:val="nil"/>
            </w:tcBorders>
            <w:shd w:val="clear" w:color="auto" w:fill="auto"/>
            <w:tcMar>
              <w:top w:w="15" w:type="dxa"/>
              <w:left w:w="15" w:type="dxa"/>
              <w:right w:w="15" w:type="dxa"/>
            </w:tcMar>
            <w:vAlign w:val="center"/>
          </w:tcPr>
          <w:p w14:paraId="3A16CB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33.44</w:t>
            </w:r>
          </w:p>
        </w:tc>
        <w:tc>
          <w:tcPr>
            <w:tcW w:w="1038" w:type="dxa"/>
            <w:tcBorders>
              <w:tl2br w:val="nil"/>
              <w:tr2bl w:val="nil"/>
            </w:tcBorders>
            <w:shd w:val="clear" w:color="auto" w:fill="auto"/>
            <w:tcMar>
              <w:top w:w="15" w:type="dxa"/>
              <w:left w:w="15" w:type="dxa"/>
              <w:right w:w="15" w:type="dxa"/>
            </w:tcMar>
            <w:vAlign w:val="center"/>
          </w:tcPr>
          <w:p w14:paraId="0DD27511">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23.13</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605E07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20.93</w:t>
            </w:r>
          </w:p>
        </w:tc>
        <w:tc>
          <w:tcPr>
            <w:tcW w:w="1038" w:type="dxa"/>
            <w:tcBorders>
              <w:tl2br w:val="nil"/>
              <w:tr2bl w:val="nil"/>
            </w:tcBorders>
            <w:shd w:val="clear" w:color="auto" w:fill="auto"/>
            <w:tcMar>
              <w:top w:w="15" w:type="dxa"/>
              <w:left w:w="15" w:type="dxa"/>
              <w:right w:w="15" w:type="dxa"/>
            </w:tcMar>
            <w:vAlign w:val="center"/>
          </w:tcPr>
          <w:p w14:paraId="2F0EE44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68.00</w:t>
            </w:r>
            <w:r>
              <w:rPr>
                <w:rFonts w:hint="default" w:ascii="Times New Roman" w:hAnsi="Times New Roman" w:eastAsia="宋体" w:cs="Times New Roman"/>
                <w:b w:val="0"/>
                <w:bCs/>
                <w:color w:val="auto"/>
                <w:sz w:val="21"/>
                <w:szCs w:val="21"/>
                <w:highlight w:val="none"/>
                <w:lang w:val="en-US" w:eastAsia="zh-CN"/>
              </w:rPr>
              <w:t>%</w:t>
            </w:r>
          </w:p>
        </w:tc>
        <w:tc>
          <w:tcPr>
            <w:tcW w:w="1038" w:type="dxa"/>
            <w:tcBorders>
              <w:tl2br w:val="nil"/>
              <w:tr2bl w:val="nil"/>
            </w:tcBorders>
            <w:shd w:val="clear" w:color="auto" w:fill="auto"/>
            <w:tcMar>
              <w:top w:w="15" w:type="dxa"/>
              <w:left w:w="15" w:type="dxa"/>
              <w:right w:w="15" w:type="dxa"/>
            </w:tcMar>
            <w:vAlign w:val="center"/>
          </w:tcPr>
          <w:p w14:paraId="25111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0.48</w:t>
            </w:r>
          </w:p>
        </w:tc>
        <w:tc>
          <w:tcPr>
            <w:tcW w:w="1066" w:type="dxa"/>
            <w:tcBorders>
              <w:tl2br w:val="nil"/>
              <w:tr2bl w:val="nil"/>
            </w:tcBorders>
            <w:shd w:val="clear" w:color="auto" w:fill="auto"/>
            <w:tcMar>
              <w:top w:w="15" w:type="dxa"/>
              <w:left w:w="15" w:type="dxa"/>
              <w:right w:w="15" w:type="dxa"/>
            </w:tcMar>
            <w:vAlign w:val="center"/>
          </w:tcPr>
          <w:p w14:paraId="0E9A52D0">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方正仿宋_GBK" w:cs="Times New Roman"/>
                <w:i w:val="0"/>
                <w:iCs w:val="0"/>
                <w:color w:val="000000"/>
                <w:kern w:val="0"/>
                <w:sz w:val="21"/>
                <w:szCs w:val="21"/>
                <w:u w:val="none"/>
                <w:lang w:val="en-US" w:eastAsia="zh-CN" w:bidi="ar"/>
              </w:rPr>
              <w:t>17.31</w:t>
            </w:r>
            <w:r>
              <w:rPr>
                <w:rFonts w:hint="default" w:ascii="Times New Roman" w:hAnsi="Times New Roman" w:eastAsia="宋体" w:cs="Times New Roman"/>
                <w:b w:val="0"/>
                <w:bCs/>
                <w:color w:val="auto"/>
                <w:sz w:val="21"/>
                <w:szCs w:val="21"/>
                <w:highlight w:val="none"/>
                <w:lang w:val="en-US" w:eastAsia="zh-CN"/>
              </w:rPr>
              <w:t>%</w:t>
            </w:r>
          </w:p>
        </w:tc>
      </w:tr>
      <w:tr w14:paraId="5168F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2071" w:type="dxa"/>
            <w:gridSpan w:val="2"/>
            <w:tcBorders>
              <w:tl2br w:val="nil"/>
              <w:tr2bl w:val="nil"/>
            </w:tcBorders>
            <w:shd w:val="clear" w:color="auto" w:fill="auto"/>
            <w:tcMar>
              <w:top w:w="15" w:type="dxa"/>
              <w:left w:w="15" w:type="dxa"/>
              <w:right w:w="15" w:type="dxa"/>
            </w:tcMar>
            <w:vAlign w:val="center"/>
          </w:tcPr>
          <w:p w14:paraId="7938876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合计</w:t>
            </w:r>
          </w:p>
        </w:tc>
        <w:tc>
          <w:tcPr>
            <w:tcW w:w="1038" w:type="dxa"/>
            <w:tcBorders>
              <w:tl2br w:val="nil"/>
              <w:tr2bl w:val="nil"/>
            </w:tcBorders>
            <w:shd w:val="clear" w:color="auto" w:fill="auto"/>
            <w:tcMar>
              <w:top w:w="15" w:type="dxa"/>
              <w:left w:w="15" w:type="dxa"/>
              <w:right w:w="15" w:type="dxa"/>
            </w:tcMar>
            <w:vAlign w:val="center"/>
          </w:tcPr>
          <w:p w14:paraId="0AC0A5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144.50</w:t>
            </w:r>
          </w:p>
        </w:tc>
        <w:tc>
          <w:tcPr>
            <w:tcW w:w="1038" w:type="dxa"/>
            <w:tcBorders>
              <w:tl2br w:val="nil"/>
              <w:tr2bl w:val="nil"/>
            </w:tcBorders>
            <w:shd w:val="clear" w:color="auto" w:fill="auto"/>
            <w:tcMar>
              <w:top w:w="15" w:type="dxa"/>
              <w:left w:w="15" w:type="dxa"/>
              <w:right w:w="15" w:type="dxa"/>
            </w:tcMar>
            <w:vAlign w:val="center"/>
          </w:tcPr>
          <w:p w14:paraId="3FA62C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14:paraId="113E7C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30.78</w:t>
            </w:r>
            <w:r>
              <w:rPr>
                <w:rFonts w:hint="default" w:ascii="Times New Roman" w:hAnsi="Times New Roman" w:eastAsia="宋体" w:cs="Times New Roman"/>
                <w:b w:val="0"/>
                <w:bCs/>
                <w:color w:val="auto"/>
                <w:sz w:val="21"/>
                <w:szCs w:val="21"/>
                <w:highlight w:val="none"/>
                <w:lang w:val="en-US" w:eastAsia="zh-CN"/>
              </w:rPr>
              <w:t xml:space="preserve"> </w:t>
            </w:r>
          </w:p>
        </w:tc>
        <w:tc>
          <w:tcPr>
            <w:tcW w:w="1038" w:type="dxa"/>
            <w:tcBorders>
              <w:tl2br w:val="nil"/>
              <w:tr2bl w:val="nil"/>
            </w:tcBorders>
            <w:shd w:val="clear" w:color="auto" w:fill="auto"/>
            <w:tcMar>
              <w:top w:w="15" w:type="dxa"/>
              <w:left w:w="15" w:type="dxa"/>
              <w:right w:w="15" w:type="dxa"/>
            </w:tcMar>
            <w:vAlign w:val="center"/>
          </w:tcPr>
          <w:p w14:paraId="4FE2E0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c>
          <w:tcPr>
            <w:tcW w:w="1038" w:type="dxa"/>
            <w:tcBorders>
              <w:tl2br w:val="nil"/>
              <w:tr2bl w:val="nil"/>
            </w:tcBorders>
            <w:shd w:val="clear" w:color="auto" w:fill="auto"/>
            <w:tcMar>
              <w:top w:w="15" w:type="dxa"/>
              <w:left w:w="15" w:type="dxa"/>
              <w:right w:w="15" w:type="dxa"/>
            </w:tcMar>
            <w:vAlign w:val="center"/>
          </w:tcPr>
          <w:p w14:paraId="11F6E7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eastAsia" w:eastAsia="宋体" w:cs="Times New Roman"/>
                <w:b w:val="0"/>
                <w:bCs/>
                <w:color w:val="auto"/>
                <w:sz w:val="21"/>
                <w:szCs w:val="21"/>
                <w:highlight w:val="none"/>
                <w:lang w:val="en-US" w:eastAsia="zh-CN"/>
              </w:rPr>
              <w:t>2.77</w:t>
            </w:r>
          </w:p>
        </w:tc>
        <w:tc>
          <w:tcPr>
            <w:tcW w:w="1066" w:type="dxa"/>
            <w:tcBorders>
              <w:tl2br w:val="nil"/>
              <w:tr2bl w:val="nil"/>
            </w:tcBorders>
            <w:shd w:val="clear" w:color="auto" w:fill="auto"/>
            <w:tcMar>
              <w:top w:w="15" w:type="dxa"/>
              <w:left w:w="15" w:type="dxa"/>
              <w:right w:w="15" w:type="dxa"/>
            </w:tcMar>
            <w:vAlign w:val="center"/>
          </w:tcPr>
          <w:p w14:paraId="1618F7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100.00%</w:t>
            </w:r>
          </w:p>
        </w:tc>
      </w:tr>
    </w:tbl>
    <w:p w14:paraId="4B7B1087">
      <w:pPr>
        <w:pStyle w:val="31"/>
        <w:keepNext w:val="0"/>
        <w:keepLines w:val="0"/>
        <w:pageBreakBefore w:val="0"/>
        <w:widowControl/>
        <w:kinsoku/>
        <w:wordWrap/>
        <w:overflowPunct/>
        <w:topLinePunct w:val="0"/>
        <w:autoSpaceDE/>
        <w:autoSpaceDN/>
        <w:bidi w:val="0"/>
        <w:adjustRightInd w:val="0"/>
        <w:snapToGrid w:val="0"/>
        <w:spacing w:after="0" w:afterLines="0"/>
        <w:textAlignment w:val="auto"/>
      </w:pPr>
      <w:r>
        <w:drawing>
          <wp:inline distT="0" distB="0" distL="114300" distR="114300">
            <wp:extent cx="4572000" cy="3124200"/>
            <wp:effectExtent l="4445" t="4445" r="14605" b="14605"/>
            <wp:docPr id="32"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1B5423">
      <w:pPr>
        <w:pStyle w:val="31"/>
        <w:bidi w:val="0"/>
        <w:rPr>
          <w:rFonts w:hint="eastAsia"/>
          <w:color w:val="auto"/>
          <w:highlight w:val="none"/>
          <w:lang w:val="en-US" w:eastAsia="zh-CN"/>
        </w:rPr>
      </w:pPr>
      <w:r>
        <w:rPr>
          <w:rFonts w:hint="eastAsia"/>
          <w:color w:val="auto"/>
          <w:highlight w:val="none"/>
          <w:lang w:val="en-US" w:eastAsia="zh-CN"/>
        </w:rPr>
        <w:t>图3.2-8  石耶镇COD污染源构成分析</w:t>
      </w:r>
    </w:p>
    <w:p w14:paraId="3375BA61">
      <w:pPr>
        <w:pStyle w:val="5"/>
        <w:bidi w:val="0"/>
        <w:rPr>
          <w:rFonts w:hint="eastAsia"/>
          <w:lang w:val="en-US" w:eastAsia="zh-CN"/>
        </w:rPr>
      </w:pPr>
      <w:r>
        <w:rPr>
          <w:rFonts w:hint="eastAsia"/>
          <w:lang w:val="en-US" w:eastAsia="zh-CN"/>
        </w:rPr>
        <w:t>从图3.2-8可以看出，整个石耶镇COD污染首要原因是面源污染中的水土流失（占23.13%），其次是农村生活污水（占21.21%）和农业种植（占17.17%），这3类污染源对COD的贡献占了60%以上。</w:t>
      </w:r>
    </w:p>
    <w:p w14:paraId="5A563910">
      <w:pPr>
        <w:pStyle w:val="5"/>
        <w:bidi w:val="0"/>
        <w:ind w:left="0" w:leftChars="0" w:firstLine="0" w:firstLineChars="0"/>
      </w:pPr>
      <w:r>
        <w:drawing>
          <wp:inline distT="0" distB="0" distL="114300" distR="114300">
            <wp:extent cx="5267325" cy="3247390"/>
            <wp:effectExtent l="4445" t="4445" r="5080" b="5715"/>
            <wp:docPr id="33"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30C77">
      <w:pPr>
        <w:pStyle w:val="31"/>
        <w:bidi w:val="0"/>
        <w:rPr>
          <w:rFonts w:hint="eastAsia"/>
          <w:lang w:val="en-US" w:eastAsia="zh-CN"/>
        </w:rPr>
      </w:pPr>
      <w:r>
        <w:rPr>
          <w:rFonts w:hint="eastAsia"/>
          <w:lang w:val="en-US" w:eastAsia="zh-CN"/>
        </w:rPr>
        <w:t>图3.2-8  石耶镇NH</w:t>
      </w:r>
      <w:r>
        <w:rPr>
          <w:rFonts w:hint="eastAsia"/>
          <w:vertAlign w:val="subscript"/>
          <w:lang w:val="en-US" w:eastAsia="zh-CN"/>
        </w:rPr>
        <w:t>3</w:t>
      </w:r>
      <w:r>
        <w:rPr>
          <w:rFonts w:hint="eastAsia"/>
          <w:lang w:val="en-US" w:eastAsia="zh-CN"/>
        </w:rPr>
        <w:t>-N污染源构成分析</w:t>
      </w:r>
    </w:p>
    <w:p w14:paraId="2F65B3AD">
      <w:pPr>
        <w:pStyle w:val="5"/>
        <w:bidi w:val="0"/>
        <w:rPr>
          <w:rFonts w:hint="eastAsia"/>
          <w:lang w:val="en-US" w:eastAsia="zh-CN"/>
        </w:rPr>
      </w:pPr>
      <w:r>
        <w:rPr>
          <w:rFonts w:hint="eastAsia"/>
          <w:lang w:val="en-US" w:eastAsia="zh-CN"/>
        </w:rPr>
        <w:t>从图3.2-8可以看出，整个石耶镇NH</w:t>
      </w:r>
      <w:r>
        <w:rPr>
          <w:rFonts w:hint="eastAsia"/>
          <w:vertAlign w:val="subscript"/>
          <w:lang w:val="en-US" w:eastAsia="zh-CN"/>
        </w:rPr>
        <w:t>3</w:t>
      </w:r>
      <w:r>
        <w:rPr>
          <w:rFonts w:hint="eastAsia"/>
          <w:lang w:val="en-US" w:eastAsia="zh-CN"/>
        </w:rPr>
        <w:t>-N污染首要原因是面源污染中的水土流失（占68%），其次是农业种植（占16.15%）和农村生活污水（占8.15%），这3类污染源对NH3-N的贡献占了90%以上。</w:t>
      </w:r>
    </w:p>
    <w:p w14:paraId="3D55A146">
      <w:pPr>
        <w:pStyle w:val="5"/>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baseline"/>
      </w:pPr>
      <w:r>
        <w:drawing>
          <wp:inline distT="0" distB="0" distL="114300" distR="114300">
            <wp:extent cx="5257800" cy="3237865"/>
            <wp:effectExtent l="4445" t="4445" r="14605" b="15240"/>
            <wp:docPr id="18"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0F81B8">
      <w:pPr>
        <w:pStyle w:val="31"/>
        <w:bidi w:val="0"/>
        <w:rPr>
          <w:rFonts w:hint="eastAsia"/>
          <w:lang w:val="en-US" w:eastAsia="zh-CN"/>
        </w:rPr>
      </w:pPr>
      <w:r>
        <w:rPr>
          <w:rFonts w:hint="eastAsia"/>
          <w:lang w:val="en-US" w:eastAsia="zh-CN"/>
        </w:rPr>
        <w:t>图3.2-9  石耶镇TP污染源构成分析</w:t>
      </w:r>
    </w:p>
    <w:p w14:paraId="57678FC6">
      <w:pPr>
        <w:pStyle w:val="5"/>
        <w:bidi w:val="0"/>
        <w:rPr>
          <w:rFonts w:hint="eastAsia"/>
          <w:lang w:val="en-US" w:eastAsia="zh-CN"/>
        </w:rPr>
      </w:pPr>
      <w:r>
        <w:rPr>
          <w:rFonts w:hint="eastAsia"/>
          <w:lang w:val="en-US" w:eastAsia="zh-CN"/>
        </w:rPr>
        <w:t>从图3.2-9可以看出，整个石耶镇TP污染首要原因是面源污染中的农业种植（占44.77%），其次是面源污染中水土流失（占17.33%）和农村生活污水（占13%），这3类污染源对TP的贡献占了70%以上。</w:t>
      </w:r>
    </w:p>
    <w:p w14:paraId="615921BB">
      <w:pPr>
        <w:pStyle w:val="7"/>
        <w:bidi w:val="0"/>
        <w:ind w:left="0" w:leftChars="0" w:firstLine="0" w:firstLineChars="0"/>
        <w:rPr>
          <w:color w:val="auto"/>
          <w:highlight w:val="none"/>
        </w:rPr>
      </w:pPr>
      <w:bookmarkStart w:id="43" w:name="_Toc3472"/>
      <w:r>
        <w:rPr>
          <w:rFonts w:hint="eastAsia"/>
          <w:color w:val="auto"/>
          <w:highlight w:val="none"/>
        </w:rPr>
        <w:t>水环境现状</w:t>
      </w:r>
      <w:bookmarkEnd w:id="43"/>
    </w:p>
    <w:p w14:paraId="70CFF4C8">
      <w:pPr>
        <w:pStyle w:val="8"/>
        <w:bidi w:val="0"/>
        <w:ind w:left="0" w:leftChars="0" w:firstLine="0" w:firstLineChars="0"/>
        <w:rPr>
          <w:rFonts w:hint="default"/>
          <w:color w:val="auto"/>
          <w:highlight w:val="none"/>
        </w:rPr>
      </w:pPr>
      <w:r>
        <w:rPr>
          <w:rFonts w:hint="eastAsia"/>
          <w:color w:val="auto"/>
          <w:highlight w:val="none"/>
          <w:lang w:val="en-US" w:eastAsia="zh-CN"/>
        </w:rPr>
        <w:t>水文、</w:t>
      </w:r>
      <w:r>
        <w:rPr>
          <w:rFonts w:hint="default"/>
          <w:color w:val="auto"/>
          <w:highlight w:val="none"/>
        </w:rPr>
        <w:t>水质</w:t>
      </w:r>
      <w:r>
        <w:rPr>
          <w:rFonts w:hint="eastAsia"/>
          <w:color w:val="auto"/>
          <w:highlight w:val="none"/>
          <w:lang w:val="en-US" w:eastAsia="zh-CN"/>
        </w:rPr>
        <w:t>监测</w:t>
      </w:r>
      <w:r>
        <w:rPr>
          <w:rFonts w:hint="default"/>
          <w:color w:val="auto"/>
          <w:highlight w:val="none"/>
        </w:rPr>
        <w:t>情况</w:t>
      </w:r>
    </w:p>
    <w:p w14:paraId="20B39A3F">
      <w:pPr>
        <w:pStyle w:val="27"/>
        <w:bidi w:val="0"/>
        <w:rPr>
          <w:rFonts w:hint="eastAsia"/>
          <w:color w:val="auto"/>
          <w:highlight w:val="none"/>
          <w:lang w:val="en-US" w:eastAsia="zh-CN"/>
        </w:rPr>
      </w:pPr>
      <w:r>
        <w:rPr>
          <w:rFonts w:hint="eastAsia"/>
          <w:color w:val="auto"/>
          <w:highlight w:val="none"/>
          <w:lang w:val="en-US" w:eastAsia="zh-CN"/>
        </w:rPr>
        <w:t>（1）水质监测</w:t>
      </w:r>
    </w:p>
    <w:p w14:paraId="699D9B82">
      <w:pPr>
        <w:pStyle w:val="5"/>
        <w:bidi w:val="0"/>
        <w:rPr>
          <w:rFonts w:hint="eastAsia"/>
          <w:color w:val="auto"/>
          <w:highlight w:val="none"/>
          <w:lang w:val="en-US" w:eastAsia="zh-CN"/>
        </w:rPr>
      </w:pPr>
      <w:r>
        <w:rPr>
          <w:rFonts w:hint="eastAsia"/>
          <w:lang w:val="en-US" w:eastAsia="zh-CN"/>
        </w:rPr>
        <w:t>石耶镇段共设置有3个水质监测断面。监测断面点位及监测频率如下表所示。</w:t>
      </w:r>
    </w:p>
    <w:p w14:paraId="19B194C7">
      <w:pPr>
        <w:pStyle w:val="56"/>
        <w:bidi w:val="0"/>
        <w:rPr>
          <w:color w:val="auto"/>
          <w:highlight w:val="none"/>
        </w:rPr>
      </w:pPr>
      <w:r>
        <w:rPr>
          <w:color w:val="auto"/>
          <w:highlight w:val="none"/>
        </w:rPr>
        <w:t>表</w:t>
      </w:r>
      <w:r>
        <w:rPr>
          <w:rFonts w:hint="eastAsia"/>
          <w:color w:val="auto"/>
          <w:highlight w:val="none"/>
          <w:lang w:val="en-US" w:eastAsia="zh-CN"/>
        </w:rPr>
        <w:t>3.2-27  石耶镇段</w:t>
      </w:r>
      <w:r>
        <w:rPr>
          <w:color w:val="auto"/>
          <w:highlight w:val="none"/>
        </w:rPr>
        <w:t>各监测断面点位</w:t>
      </w:r>
      <w:r>
        <w:rPr>
          <w:rFonts w:hint="eastAsia"/>
          <w:color w:val="auto"/>
          <w:highlight w:val="none"/>
          <w:lang w:eastAsia="zh-CN"/>
        </w:rPr>
        <w:t>位置</w:t>
      </w:r>
      <w:r>
        <w:rPr>
          <w:color w:val="auto"/>
          <w:highlight w:val="none"/>
        </w:rPr>
        <w:t>及监测频率表</w:t>
      </w:r>
    </w:p>
    <w:tbl>
      <w:tblPr>
        <w:tblStyle w:val="23"/>
        <w:tblW w:w="851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05"/>
        <w:gridCol w:w="1259"/>
        <w:gridCol w:w="1724"/>
        <w:gridCol w:w="2534"/>
        <w:gridCol w:w="1117"/>
        <w:gridCol w:w="1272"/>
      </w:tblGrid>
      <w:tr w14:paraId="1613D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14:paraId="3969F48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序号</w:t>
            </w:r>
          </w:p>
        </w:tc>
        <w:tc>
          <w:tcPr>
            <w:tcW w:w="1259" w:type="dxa"/>
            <w:tcBorders>
              <w:tl2br w:val="nil"/>
              <w:tr2bl w:val="nil"/>
            </w:tcBorders>
            <w:shd w:val="clear" w:color="auto" w:fill="auto"/>
            <w:vAlign w:val="center"/>
          </w:tcPr>
          <w:p w14:paraId="32822708">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断面所在河流</w:t>
            </w:r>
          </w:p>
        </w:tc>
        <w:tc>
          <w:tcPr>
            <w:tcW w:w="1724" w:type="dxa"/>
            <w:tcBorders>
              <w:tl2br w:val="nil"/>
              <w:tr2bl w:val="nil"/>
            </w:tcBorders>
            <w:shd w:val="clear" w:color="auto" w:fill="auto"/>
            <w:vAlign w:val="center"/>
          </w:tcPr>
          <w:p w14:paraId="197C562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断面名称</w:t>
            </w:r>
          </w:p>
        </w:tc>
        <w:tc>
          <w:tcPr>
            <w:tcW w:w="2534" w:type="dxa"/>
            <w:tcBorders>
              <w:tl2br w:val="nil"/>
              <w:tr2bl w:val="nil"/>
            </w:tcBorders>
            <w:shd w:val="clear" w:color="auto" w:fill="auto"/>
            <w:vAlign w:val="center"/>
          </w:tcPr>
          <w:p w14:paraId="7F74FD3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断面位置</w:t>
            </w:r>
          </w:p>
        </w:tc>
        <w:tc>
          <w:tcPr>
            <w:tcW w:w="1117" w:type="dxa"/>
            <w:tcBorders>
              <w:tl2br w:val="nil"/>
              <w:tr2bl w:val="nil"/>
            </w:tcBorders>
            <w:shd w:val="clear" w:color="auto" w:fill="auto"/>
            <w:vAlign w:val="center"/>
          </w:tcPr>
          <w:p w14:paraId="67B85B3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断面属性</w:t>
            </w:r>
          </w:p>
        </w:tc>
        <w:tc>
          <w:tcPr>
            <w:tcW w:w="1272" w:type="dxa"/>
            <w:tcBorders>
              <w:tl2br w:val="nil"/>
              <w:tr2bl w:val="nil"/>
            </w:tcBorders>
            <w:shd w:val="clear" w:color="auto" w:fill="auto"/>
            <w:vAlign w:val="center"/>
          </w:tcPr>
          <w:p w14:paraId="6348EF07">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监测频率</w:t>
            </w:r>
          </w:p>
        </w:tc>
      </w:tr>
      <w:tr w14:paraId="2D4C81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14:paraId="5325B9C0">
            <w:pPr>
              <w:pStyle w:val="29"/>
              <w:keepNext w:val="0"/>
              <w:keepLines w:val="0"/>
              <w:suppressLineNumbers w:val="0"/>
              <w:bidi w:val="0"/>
              <w:spacing w:before="0" w:beforeAutospacing="0" w:after="0" w:afterAutospacing="0"/>
              <w:ind w:left="0" w:right="0"/>
              <w:rPr>
                <w:rFonts w:hint="eastAsia"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1</w:t>
            </w:r>
          </w:p>
          <w:p w14:paraId="4DBE84FA">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p>
        </w:tc>
        <w:tc>
          <w:tcPr>
            <w:tcW w:w="1259" w:type="dxa"/>
            <w:vMerge w:val="restart"/>
            <w:tcBorders>
              <w:tl2br w:val="nil"/>
              <w:tr2bl w:val="nil"/>
            </w:tcBorders>
            <w:shd w:val="clear" w:color="auto" w:fill="auto"/>
            <w:vAlign w:val="center"/>
          </w:tcPr>
          <w:p w14:paraId="185AE4CA">
            <w:pPr>
              <w:pStyle w:val="29"/>
              <w:keepNext w:val="0"/>
              <w:keepLines w:val="0"/>
              <w:suppressLineNumbers w:val="0"/>
              <w:bidi w:val="0"/>
              <w:spacing w:before="0" w:beforeAutospacing="0" w:after="0" w:afterAutospacing="0"/>
              <w:ind w:left="0" w:leftChars="0" w:right="0" w:rightChars="0" w:firstLine="0" w:firstLineChars="0"/>
              <w:rPr>
                <w:rFonts w:hint="eastAsia" w:ascii="宋体" w:hAnsi="宋体" w:eastAsia="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梅江</w:t>
            </w:r>
            <w:r>
              <w:rPr>
                <w:rFonts w:hint="eastAsia" w:ascii="宋体" w:hAnsi="宋体" w:eastAsia="宋体" w:cs="宋体"/>
                <w:b w:val="0"/>
                <w:bCs/>
                <w:color w:val="auto"/>
                <w:sz w:val="21"/>
                <w:szCs w:val="21"/>
                <w:highlight w:val="none"/>
                <w:lang w:val="en-US" w:eastAsia="zh-CN"/>
              </w:rPr>
              <w:t>河</w:t>
            </w:r>
          </w:p>
        </w:tc>
        <w:tc>
          <w:tcPr>
            <w:tcW w:w="1724" w:type="dxa"/>
            <w:tcBorders>
              <w:tl2br w:val="nil"/>
              <w:tr2bl w:val="nil"/>
            </w:tcBorders>
            <w:shd w:val="clear" w:color="auto" w:fill="auto"/>
            <w:vAlign w:val="center"/>
          </w:tcPr>
          <w:p w14:paraId="207F762A">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梅江</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石耶断面</w:t>
            </w:r>
          </w:p>
        </w:tc>
        <w:tc>
          <w:tcPr>
            <w:tcW w:w="2534" w:type="dxa"/>
            <w:tcBorders>
              <w:tl2br w:val="nil"/>
              <w:tr2bl w:val="nil"/>
            </w:tcBorders>
            <w:shd w:val="clear" w:color="auto" w:fill="auto"/>
            <w:vAlign w:val="center"/>
          </w:tcPr>
          <w:p w14:paraId="74144EB0">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镇平邑村</w:t>
            </w:r>
          </w:p>
        </w:tc>
        <w:tc>
          <w:tcPr>
            <w:tcW w:w="1117" w:type="dxa"/>
            <w:tcBorders>
              <w:tl2br w:val="nil"/>
              <w:tr2bl w:val="nil"/>
            </w:tcBorders>
            <w:shd w:val="clear" w:color="auto" w:fill="auto"/>
            <w:vAlign w:val="center"/>
          </w:tcPr>
          <w:p w14:paraId="715FDC42">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14:paraId="1D621114">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14:paraId="628296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14:paraId="281879C3">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2</w:t>
            </w:r>
          </w:p>
        </w:tc>
        <w:tc>
          <w:tcPr>
            <w:tcW w:w="1259" w:type="dxa"/>
            <w:vMerge w:val="continue"/>
            <w:tcBorders>
              <w:tl2br w:val="nil"/>
              <w:tr2bl w:val="nil"/>
            </w:tcBorders>
            <w:shd w:val="clear" w:color="auto" w:fill="auto"/>
            <w:vAlign w:val="center"/>
          </w:tcPr>
          <w:p w14:paraId="29317DBA">
            <w:pPr>
              <w:pStyle w:val="29"/>
              <w:keepNext w:val="0"/>
              <w:keepLines w:val="0"/>
              <w:suppressLineNumbers w:val="0"/>
              <w:bidi w:val="0"/>
              <w:spacing w:before="0" w:beforeAutospacing="0" w:after="0" w:afterAutospacing="0"/>
              <w:ind w:left="0" w:leftChars="0" w:right="0" w:rightChars="0" w:firstLine="0" w:firstLineChars="0"/>
              <w:rPr>
                <w:rFonts w:hint="default" w:ascii="宋体" w:hAnsi="宋体" w:eastAsia="宋体" w:cs="宋体"/>
                <w:b w:val="0"/>
                <w:bCs/>
                <w:color w:val="auto"/>
                <w:sz w:val="21"/>
                <w:szCs w:val="21"/>
                <w:highlight w:val="none"/>
                <w:lang w:val="en-US" w:eastAsia="zh-CN"/>
              </w:rPr>
            </w:pPr>
          </w:p>
        </w:tc>
        <w:tc>
          <w:tcPr>
            <w:tcW w:w="1724" w:type="dxa"/>
            <w:tcBorders>
              <w:tl2br w:val="nil"/>
              <w:tr2bl w:val="nil"/>
            </w:tcBorders>
            <w:shd w:val="clear" w:color="auto" w:fill="auto"/>
            <w:vAlign w:val="center"/>
          </w:tcPr>
          <w:p w14:paraId="793D37ED">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w:t>
            </w:r>
            <w:r>
              <w:rPr>
                <w:rFonts w:hint="default"/>
                <w:b w:val="0"/>
                <w:bCs/>
                <w:color w:val="auto"/>
                <w:sz w:val="18"/>
                <w:szCs w:val="18"/>
                <w:highlight w:val="none"/>
                <w:lang w:val="en-US" w:eastAsia="zh-CN"/>
              </w:rPr>
              <w:t>平凯断面</w:t>
            </w:r>
          </w:p>
        </w:tc>
        <w:tc>
          <w:tcPr>
            <w:tcW w:w="2534" w:type="dxa"/>
            <w:tcBorders>
              <w:tl2br w:val="nil"/>
              <w:tr2bl w:val="nil"/>
            </w:tcBorders>
            <w:shd w:val="clear" w:color="auto" w:fill="auto"/>
            <w:vAlign w:val="center"/>
          </w:tcPr>
          <w:p w14:paraId="3E32374E">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石耶</w:t>
            </w:r>
            <w:r>
              <w:rPr>
                <w:rFonts w:hint="eastAsia"/>
                <w:b w:val="0"/>
                <w:bCs/>
                <w:color w:val="auto"/>
                <w:sz w:val="18"/>
                <w:szCs w:val="18"/>
                <w:highlight w:val="none"/>
                <w:lang w:val="en-US" w:eastAsia="zh-CN"/>
              </w:rPr>
              <w:t>镇鱼梁村</w:t>
            </w:r>
          </w:p>
        </w:tc>
        <w:tc>
          <w:tcPr>
            <w:tcW w:w="1117" w:type="dxa"/>
            <w:tcBorders>
              <w:tl2br w:val="nil"/>
              <w:tr2bl w:val="nil"/>
            </w:tcBorders>
            <w:shd w:val="clear" w:color="auto" w:fill="auto"/>
            <w:vAlign w:val="center"/>
          </w:tcPr>
          <w:p w14:paraId="70FCAEDC">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交界断面</w:t>
            </w:r>
          </w:p>
        </w:tc>
        <w:tc>
          <w:tcPr>
            <w:tcW w:w="1272" w:type="dxa"/>
            <w:tcBorders>
              <w:tl2br w:val="nil"/>
              <w:tr2bl w:val="nil"/>
            </w:tcBorders>
            <w:shd w:val="clear" w:color="auto" w:fill="auto"/>
            <w:vAlign w:val="center"/>
          </w:tcPr>
          <w:p w14:paraId="1A799771">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r w14:paraId="6D786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605" w:type="dxa"/>
            <w:tcBorders>
              <w:tl2br w:val="nil"/>
              <w:tr2bl w:val="nil"/>
            </w:tcBorders>
            <w:shd w:val="clear" w:color="auto" w:fill="auto"/>
            <w:vAlign w:val="center"/>
          </w:tcPr>
          <w:p w14:paraId="257B91A3">
            <w:pPr>
              <w:pStyle w:val="29"/>
              <w:keepNext w:val="0"/>
              <w:keepLines w:val="0"/>
              <w:suppressLineNumbers w:val="0"/>
              <w:bidi w:val="0"/>
              <w:spacing w:before="0" w:beforeAutospacing="0" w:after="0" w:afterAutospacing="0"/>
              <w:ind w:left="0" w:right="0"/>
              <w:rPr>
                <w:rFonts w:hint="default" w:ascii="Times New Roman" w:cs="Times New Roman"/>
                <w:b w:val="0"/>
                <w:bCs/>
                <w:color w:val="auto"/>
                <w:sz w:val="21"/>
                <w:szCs w:val="21"/>
                <w:highlight w:val="none"/>
                <w:lang w:val="en-US" w:eastAsia="zh-CN"/>
              </w:rPr>
            </w:pPr>
            <w:r>
              <w:rPr>
                <w:rFonts w:hint="eastAsia" w:ascii="Times New Roman" w:cs="Times New Roman"/>
                <w:b w:val="0"/>
                <w:bCs/>
                <w:color w:val="auto"/>
                <w:sz w:val="21"/>
                <w:szCs w:val="21"/>
                <w:highlight w:val="none"/>
                <w:lang w:val="en-US" w:eastAsia="zh-CN"/>
              </w:rPr>
              <w:t>3</w:t>
            </w:r>
          </w:p>
        </w:tc>
        <w:tc>
          <w:tcPr>
            <w:tcW w:w="1259" w:type="dxa"/>
            <w:tcBorders>
              <w:tl2br w:val="nil"/>
              <w:tr2bl w:val="nil"/>
            </w:tcBorders>
            <w:shd w:val="clear" w:color="auto" w:fill="auto"/>
            <w:vAlign w:val="center"/>
          </w:tcPr>
          <w:p w14:paraId="7934FEFD">
            <w:pPr>
              <w:pStyle w:val="29"/>
              <w:keepNext w:val="0"/>
              <w:keepLines w:val="0"/>
              <w:suppressLineNumbers w:val="0"/>
              <w:bidi w:val="0"/>
              <w:spacing w:before="0" w:beforeAutospacing="0" w:after="0" w:afterAutospacing="0"/>
              <w:ind w:left="0" w:leftChars="0" w:right="0" w:rightChars="0" w:firstLine="0" w:firstLineChars="0"/>
              <w:rPr>
                <w:rFonts w:hint="default" w:ascii="宋体" w:hAnsi="宋体" w:cs="宋体"/>
                <w:b w:val="0"/>
                <w:bCs/>
                <w:color w:val="auto"/>
                <w:sz w:val="21"/>
                <w:szCs w:val="21"/>
                <w:highlight w:val="none"/>
                <w:lang w:val="en-US" w:eastAsia="zh-CN"/>
              </w:rPr>
            </w:pPr>
            <w:r>
              <w:rPr>
                <w:rFonts w:hint="eastAsia" w:ascii="宋体" w:hAnsi="宋体" w:cs="宋体"/>
                <w:b w:val="0"/>
                <w:bCs/>
                <w:color w:val="auto"/>
                <w:sz w:val="21"/>
                <w:szCs w:val="21"/>
                <w:highlight w:val="none"/>
                <w:lang w:val="en-US" w:eastAsia="zh-CN"/>
              </w:rPr>
              <w:t>中平河</w:t>
            </w:r>
          </w:p>
        </w:tc>
        <w:tc>
          <w:tcPr>
            <w:tcW w:w="1724" w:type="dxa"/>
            <w:tcBorders>
              <w:tl2br w:val="nil"/>
              <w:tr2bl w:val="nil"/>
            </w:tcBorders>
            <w:shd w:val="clear" w:color="auto" w:fill="auto"/>
            <w:vAlign w:val="center"/>
          </w:tcPr>
          <w:p w14:paraId="1F6BAAC3">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default"/>
                <w:b w:val="0"/>
                <w:bCs/>
                <w:color w:val="auto"/>
                <w:sz w:val="18"/>
                <w:szCs w:val="18"/>
                <w:highlight w:val="none"/>
                <w:lang w:val="en-US" w:eastAsia="zh-CN"/>
              </w:rPr>
              <w:t>中平河汇入口</w:t>
            </w:r>
          </w:p>
        </w:tc>
        <w:tc>
          <w:tcPr>
            <w:tcW w:w="2534" w:type="dxa"/>
            <w:tcBorders>
              <w:tl2br w:val="nil"/>
              <w:tr2bl w:val="nil"/>
            </w:tcBorders>
            <w:shd w:val="clear" w:color="auto" w:fill="auto"/>
            <w:vAlign w:val="center"/>
          </w:tcPr>
          <w:p w14:paraId="32FDE738">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石耶镇青龙村</w:t>
            </w:r>
          </w:p>
        </w:tc>
        <w:tc>
          <w:tcPr>
            <w:tcW w:w="1117" w:type="dxa"/>
            <w:tcBorders>
              <w:tl2br w:val="nil"/>
              <w:tr2bl w:val="nil"/>
            </w:tcBorders>
            <w:shd w:val="clear" w:color="auto" w:fill="auto"/>
            <w:vAlign w:val="center"/>
          </w:tcPr>
          <w:p w14:paraId="7ADE0DB5">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入河口断面</w:t>
            </w:r>
          </w:p>
        </w:tc>
        <w:tc>
          <w:tcPr>
            <w:tcW w:w="1272" w:type="dxa"/>
            <w:tcBorders>
              <w:tl2br w:val="nil"/>
              <w:tr2bl w:val="nil"/>
            </w:tcBorders>
            <w:shd w:val="clear" w:color="auto" w:fill="auto"/>
            <w:vAlign w:val="center"/>
          </w:tcPr>
          <w:p w14:paraId="79C192AB">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18"/>
                <w:szCs w:val="18"/>
                <w:highlight w:val="none"/>
                <w:lang w:val="en-US" w:eastAsia="zh-CN" w:bidi="ar-SA"/>
              </w:rPr>
            </w:pPr>
            <w:r>
              <w:rPr>
                <w:rFonts w:hint="eastAsia"/>
                <w:b w:val="0"/>
                <w:bCs/>
                <w:color w:val="auto"/>
                <w:sz w:val="18"/>
                <w:szCs w:val="18"/>
                <w:highlight w:val="none"/>
                <w:lang w:val="en-US" w:eastAsia="zh-CN"/>
              </w:rPr>
              <w:t>1季度/次</w:t>
            </w:r>
          </w:p>
        </w:tc>
      </w:tr>
    </w:tbl>
    <w:p w14:paraId="2A590A4A">
      <w:pPr>
        <w:pStyle w:val="27"/>
        <w:bidi w:val="0"/>
        <w:rPr>
          <w:rFonts w:hint="eastAsia"/>
          <w:color w:val="auto"/>
          <w:highlight w:val="none"/>
          <w:lang w:val="en-US" w:eastAsia="zh-CN"/>
        </w:rPr>
      </w:pPr>
      <w:r>
        <w:rPr>
          <w:rFonts w:hint="eastAsia"/>
          <w:color w:val="auto"/>
          <w:highlight w:val="none"/>
          <w:lang w:val="en-US" w:eastAsia="zh-CN"/>
        </w:rPr>
        <w:t>（2）水文站</w:t>
      </w:r>
    </w:p>
    <w:p w14:paraId="4F140C45">
      <w:pPr>
        <w:pStyle w:val="5"/>
        <w:rPr>
          <w:rFonts w:hint="eastAsia"/>
          <w:color w:val="auto"/>
          <w:highlight w:val="none"/>
          <w:lang w:val="en-US" w:eastAsia="zh-CN"/>
        </w:rPr>
      </w:pPr>
      <w:r>
        <w:rPr>
          <w:rFonts w:hint="eastAsia"/>
          <w:color w:val="auto"/>
          <w:highlight w:val="none"/>
          <w:lang w:val="en-US" w:eastAsia="zh-CN"/>
        </w:rPr>
        <w:t>石耶镇辖区内暂未设置水文站站。</w:t>
      </w:r>
    </w:p>
    <w:p w14:paraId="129D2ABE">
      <w:pPr>
        <w:pStyle w:val="8"/>
        <w:bidi w:val="0"/>
        <w:ind w:left="0" w:leftChars="0" w:firstLine="0" w:firstLineChars="0"/>
        <w:rPr>
          <w:rFonts w:hint="default"/>
          <w:color w:val="auto"/>
          <w:highlight w:val="none"/>
        </w:rPr>
      </w:pPr>
      <w:r>
        <w:rPr>
          <w:rFonts w:hint="eastAsia"/>
          <w:color w:val="auto"/>
          <w:highlight w:val="none"/>
          <w:lang w:val="en-US" w:eastAsia="zh-CN"/>
        </w:rPr>
        <w:t>石耶镇河流</w:t>
      </w:r>
      <w:r>
        <w:rPr>
          <w:rFonts w:hint="default"/>
          <w:color w:val="auto"/>
          <w:highlight w:val="none"/>
        </w:rPr>
        <w:t>水质情况</w:t>
      </w:r>
    </w:p>
    <w:p w14:paraId="6E406BC5">
      <w:pPr>
        <w:pStyle w:val="5"/>
        <w:bidi w:val="0"/>
        <w:rPr>
          <w:rFonts w:hint="eastAsia"/>
          <w:lang w:val="en-US" w:eastAsia="zh-CN"/>
        </w:rPr>
      </w:pPr>
      <w:r>
        <w:rPr>
          <w:rFonts w:hint="eastAsia"/>
          <w:lang w:val="en-US" w:eastAsia="zh-CN"/>
        </w:rPr>
        <w:t>根据国家环保部印发的《地表水环境质量评价办法（试行）》（环办</w:t>
      </w:r>
      <w:r>
        <w:rPr>
          <w:rFonts w:hint="default"/>
          <w:lang w:val="en-US" w:eastAsia="zh-CN"/>
        </w:rPr>
        <w:t>〔201</w:t>
      </w:r>
      <w:r>
        <w:rPr>
          <w:rFonts w:hint="eastAsia"/>
          <w:lang w:val="en-US" w:eastAsia="zh-CN"/>
        </w:rPr>
        <w:t>1</w:t>
      </w:r>
      <w:r>
        <w:rPr>
          <w:rFonts w:hint="default"/>
          <w:lang w:val="en-US" w:eastAsia="zh-CN"/>
        </w:rPr>
        <w:t>〕</w:t>
      </w:r>
      <w:r>
        <w:rPr>
          <w:rFonts w:hint="eastAsia"/>
          <w:lang w:val="en-US" w:eastAsia="zh-CN"/>
        </w:rPr>
        <w:t>22号），全国地表水环境质量年度评价，以每年12次监测数据的算术平均值进行评价，对于少数因冰封期等原因无法监测的断面（点位），一般应保证每年至少有8次以上（含8次）的监测数据参与评价。</w:t>
      </w:r>
    </w:p>
    <w:p w14:paraId="32245448">
      <w:pPr>
        <w:pStyle w:val="56"/>
        <w:bidi w:val="0"/>
        <w:rPr>
          <w:rFonts w:hint="default"/>
          <w:color w:val="auto"/>
          <w:highlight w:val="none"/>
          <w:lang w:val="en-US" w:eastAsia="zh-CN"/>
        </w:rPr>
      </w:pPr>
      <w:r>
        <w:rPr>
          <w:rFonts w:hint="default"/>
          <w:color w:val="auto"/>
          <w:highlight w:val="none"/>
          <w:lang w:val="en-US" w:eastAsia="zh-CN"/>
        </w:rPr>
        <w:t>表</w:t>
      </w:r>
      <w:r>
        <w:rPr>
          <w:rFonts w:hint="eastAsia"/>
          <w:color w:val="auto"/>
          <w:highlight w:val="none"/>
          <w:lang w:val="en-US" w:eastAsia="zh-CN"/>
        </w:rPr>
        <w:t>3.2</w:t>
      </w:r>
      <w:r>
        <w:rPr>
          <w:rFonts w:hint="default"/>
          <w:color w:val="auto"/>
          <w:highlight w:val="none"/>
          <w:lang w:val="en-US" w:eastAsia="zh-CN"/>
        </w:rPr>
        <w:t>-</w:t>
      </w:r>
      <w:r>
        <w:rPr>
          <w:rFonts w:hint="eastAsia"/>
          <w:color w:val="auto"/>
          <w:highlight w:val="none"/>
          <w:lang w:val="en-US" w:eastAsia="zh-CN"/>
        </w:rPr>
        <w:t xml:space="preserve">28  </w:t>
      </w:r>
      <w:r>
        <w:rPr>
          <w:rFonts w:hint="default"/>
          <w:color w:val="auto"/>
          <w:highlight w:val="none"/>
          <w:lang w:val="en-US" w:eastAsia="zh-CN"/>
        </w:rPr>
        <w:t>河流、流域</w:t>
      </w:r>
      <w:r>
        <w:rPr>
          <w:rFonts w:hint="eastAsia"/>
          <w:color w:val="auto"/>
          <w:highlight w:val="none"/>
          <w:lang w:val="en-US" w:eastAsia="zh-CN"/>
        </w:rPr>
        <w:t>（</w:t>
      </w:r>
      <w:r>
        <w:rPr>
          <w:rFonts w:hint="default"/>
          <w:color w:val="auto"/>
          <w:highlight w:val="none"/>
          <w:lang w:val="en-US" w:eastAsia="zh-CN"/>
        </w:rPr>
        <w:t>水系</w:t>
      </w:r>
      <w:r>
        <w:rPr>
          <w:rFonts w:hint="eastAsia"/>
          <w:color w:val="auto"/>
          <w:highlight w:val="none"/>
          <w:lang w:val="en-US" w:eastAsia="zh-CN"/>
        </w:rPr>
        <w:t>）</w:t>
      </w:r>
      <w:r>
        <w:rPr>
          <w:rFonts w:hint="default"/>
          <w:color w:val="auto"/>
          <w:highlight w:val="none"/>
          <w:lang w:val="en-US" w:eastAsia="zh-CN"/>
        </w:rPr>
        <w:t>水质定性评价分级</w:t>
      </w:r>
    </w:p>
    <w:tbl>
      <w:tblPr>
        <w:tblStyle w:val="23"/>
        <w:tblW w:w="829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19"/>
        <w:gridCol w:w="1394"/>
        <w:gridCol w:w="1484"/>
      </w:tblGrid>
      <w:tr w14:paraId="4F63247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728857A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污水类别比例</w:t>
            </w:r>
          </w:p>
        </w:tc>
        <w:tc>
          <w:tcPr>
            <w:tcW w:w="1394" w:type="dxa"/>
            <w:tcBorders>
              <w:tl2br w:val="nil"/>
              <w:tr2bl w:val="nil"/>
            </w:tcBorders>
            <w:vAlign w:val="center"/>
          </w:tcPr>
          <w:p w14:paraId="0EF7EFA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水质状况</w:t>
            </w:r>
          </w:p>
        </w:tc>
        <w:tc>
          <w:tcPr>
            <w:tcW w:w="1484" w:type="dxa"/>
            <w:tcBorders>
              <w:tl2br w:val="nil"/>
              <w:tr2bl w:val="nil"/>
            </w:tcBorders>
            <w:vAlign w:val="center"/>
          </w:tcPr>
          <w:p w14:paraId="6D5F88BD">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表征颜色</w:t>
            </w:r>
          </w:p>
        </w:tc>
      </w:tr>
      <w:tr w14:paraId="3B80170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3A08CA6A">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w:t>
            </w:r>
            <w:r>
              <w:rPr>
                <w:rFonts w:hint="default" w:ascii="Times New Roman" w:hAnsi="Times New Roman" w:eastAsia="宋体" w:cs="Times New Roman"/>
                <w:b w:val="0"/>
                <w:bCs/>
                <w:color w:val="auto"/>
                <w:sz w:val="21"/>
                <w:szCs w:val="21"/>
                <w:highlight w:val="none"/>
                <w:lang w:val="en-US" w:eastAsia="zh-CN"/>
              </w:rPr>
              <w:t>~</w:t>
            </w:r>
            <w:r>
              <w:rPr>
                <w:rFonts w:hint="default" w:ascii="Times New Roman" w:hAnsi="Times New Roman" w:eastAsia="宋体" w:cs="Times New Roman"/>
                <w:b w:val="0"/>
                <w:bCs/>
                <w:color w:val="auto"/>
                <w:sz w:val="21"/>
                <w:szCs w:val="21"/>
                <w:highlight w:val="none"/>
                <w:lang w:eastAsia="zh-CN"/>
              </w:rPr>
              <w:t>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14:paraId="7B5D9BD6">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优</w:t>
            </w:r>
          </w:p>
        </w:tc>
        <w:tc>
          <w:tcPr>
            <w:tcW w:w="1484" w:type="dxa"/>
            <w:tcBorders>
              <w:tl2br w:val="nil"/>
              <w:tr2bl w:val="nil"/>
            </w:tcBorders>
            <w:vAlign w:val="center"/>
          </w:tcPr>
          <w:p w14:paraId="0815A832">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蓝色</w:t>
            </w:r>
          </w:p>
        </w:tc>
      </w:tr>
      <w:tr w14:paraId="681BAF9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5C0CB6A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75%≤</w:t>
            </w: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类水质比例＜90%</w:t>
            </w:r>
          </w:p>
        </w:tc>
        <w:tc>
          <w:tcPr>
            <w:tcW w:w="1394" w:type="dxa"/>
            <w:tcBorders>
              <w:tl2br w:val="nil"/>
              <w:tr2bl w:val="nil"/>
            </w:tcBorders>
            <w:vAlign w:val="center"/>
          </w:tcPr>
          <w:p w14:paraId="04DB7440">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良</w:t>
            </w:r>
          </w:p>
        </w:tc>
        <w:tc>
          <w:tcPr>
            <w:tcW w:w="1484" w:type="dxa"/>
            <w:tcBorders>
              <w:tl2br w:val="nil"/>
              <w:tr2bl w:val="nil"/>
            </w:tcBorders>
            <w:vAlign w:val="center"/>
          </w:tcPr>
          <w:p w14:paraId="01E77DF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绿色</w:t>
            </w:r>
          </w:p>
        </w:tc>
      </w:tr>
      <w:tr w14:paraId="5B5E9ED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3A95FB14">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类比例＜20%</w:t>
            </w:r>
          </w:p>
        </w:tc>
        <w:tc>
          <w:tcPr>
            <w:tcW w:w="1394" w:type="dxa"/>
            <w:tcBorders>
              <w:tl2br w:val="nil"/>
              <w:tr2bl w:val="nil"/>
            </w:tcBorders>
            <w:vAlign w:val="center"/>
          </w:tcPr>
          <w:p w14:paraId="3454924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轻度污染</w:t>
            </w:r>
          </w:p>
        </w:tc>
        <w:tc>
          <w:tcPr>
            <w:tcW w:w="1484" w:type="dxa"/>
            <w:tcBorders>
              <w:tl2br w:val="nil"/>
              <w:tr2bl w:val="nil"/>
            </w:tcBorders>
            <w:vAlign w:val="center"/>
          </w:tcPr>
          <w:p w14:paraId="29DDBB3C">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黄色</w:t>
            </w:r>
          </w:p>
        </w:tc>
      </w:tr>
      <w:tr w14:paraId="48A89CA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4B832A1B">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类水质比例＜75%，且20%≤劣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14:paraId="65995249">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中度污染</w:t>
            </w:r>
          </w:p>
        </w:tc>
        <w:tc>
          <w:tcPr>
            <w:tcW w:w="1484" w:type="dxa"/>
            <w:tcBorders>
              <w:tl2br w:val="nil"/>
              <w:tr2bl w:val="nil"/>
            </w:tcBorders>
            <w:vAlign w:val="center"/>
          </w:tcPr>
          <w:p w14:paraId="5E62E1E8">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橙色</w:t>
            </w:r>
          </w:p>
        </w:tc>
      </w:tr>
      <w:tr w14:paraId="40FF96C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5419" w:type="dxa"/>
            <w:tcBorders>
              <w:tl2br w:val="nil"/>
              <w:tr2bl w:val="nil"/>
            </w:tcBorders>
            <w:vAlign w:val="center"/>
          </w:tcPr>
          <w:p w14:paraId="07FDC53F">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eastAsia="zh-CN"/>
              </w:rPr>
              <w:t>I~III</w:t>
            </w:r>
            <w:r>
              <w:rPr>
                <w:rFonts w:hint="default" w:ascii="Times New Roman" w:hAnsi="Times New Roman" w:eastAsia="宋体" w:cs="Times New Roman"/>
                <w:b w:val="0"/>
                <w:bCs/>
                <w:color w:val="auto"/>
                <w:sz w:val="21"/>
                <w:szCs w:val="21"/>
                <w:highlight w:val="none"/>
              </w:rPr>
              <w:t>类水质比例＜60%，且劣</w:t>
            </w:r>
            <w:r>
              <w:rPr>
                <w:rFonts w:hint="default" w:ascii="Times New Roman" w:hAnsi="Times New Roman" w:eastAsia="宋体" w:cs="Times New Roman"/>
                <w:b w:val="0"/>
                <w:bCs/>
                <w:color w:val="auto"/>
                <w:sz w:val="21"/>
                <w:szCs w:val="21"/>
                <w:highlight w:val="none"/>
                <w:lang w:eastAsia="zh-CN"/>
              </w:rPr>
              <w:t>V</w:t>
            </w:r>
            <w:r>
              <w:rPr>
                <w:rFonts w:hint="default" w:ascii="Times New Roman" w:hAnsi="Times New Roman" w:eastAsia="宋体" w:cs="Times New Roman"/>
                <w:b w:val="0"/>
                <w:bCs/>
                <w:color w:val="auto"/>
                <w:sz w:val="21"/>
                <w:szCs w:val="21"/>
                <w:highlight w:val="none"/>
              </w:rPr>
              <w:t>类比例≥40%</w:t>
            </w:r>
          </w:p>
        </w:tc>
        <w:tc>
          <w:tcPr>
            <w:tcW w:w="1394" w:type="dxa"/>
            <w:tcBorders>
              <w:tl2br w:val="nil"/>
              <w:tr2bl w:val="nil"/>
            </w:tcBorders>
            <w:vAlign w:val="center"/>
          </w:tcPr>
          <w:p w14:paraId="31A1DEC3">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重度污染</w:t>
            </w:r>
          </w:p>
        </w:tc>
        <w:tc>
          <w:tcPr>
            <w:tcW w:w="1484" w:type="dxa"/>
            <w:tcBorders>
              <w:tl2br w:val="nil"/>
              <w:tr2bl w:val="nil"/>
            </w:tcBorders>
            <w:vAlign w:val="center"/>
          </w:tcPr>
          <w:p w14:paraId="32C35CD1">
            <w:pPr>
              <w:pStyle w:val="29"/>
              <w:keepNext w:val="0"/>
              <w:keepLines w:val="0"/>
              <w:suppressLineNumbers w:val="0"/>
              <w:bidi w:val="0"/>
              <w:spacing w:before="0" w:beforeAutospacing="0" w:after="0" w:afterAutospacing="0"/>
              <w:ind w:left="0" w:right="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红色</w:t>
            </w:r>
          </w:p>
        </w:tc>
      </w:tr>
    </w:tbl>
    <w:p w14:paraId="4154FCA7">
      <w:pPr>
        <w:pStyle w:val="5"/>
        <w:keepNext w:val="0"/>
        <w:keepLines w:val="0"/>
        <w:pageBreakBefore w:val="0"/>
        <w:widowControl w:val="0"/>
        <w:kinsoku/>
        <w:wordWrap/>
        <w:overflowPunct/>
        <w:topLinePunct w:val="0"/>
        <w:autoSpaceDE/>
        <w:autoSpaceDN/>
        <w:bidi w:val="0"/>
        <w:adjustRightInd/>
        <w:snapToGrid/>
        <w:spacing w:before="161" w:beforeLines="50"/>
        <w:textAlignment w:val="baseline"/>
        <w:rPr>
          <w:rFonts w:hint="default"/>
          <w:lang w:val="en-US" w:eastAsia="zh-CN"/>
        </w:rPr>
      </w:pPr>
      <w:r>
        <w:rPr>
          <w:rFonts w:hint="eastAsia"/>
          <w:lang w:val="en-US" w:eastAsia="zh-CN"/>
        </w:rPr>
        <w:t>本次水质评价</w:t>
      </w:r>
      <w:r>
        <w:rPr>
          <w:rFonts w:hint="default"/>
          <w:lang w:val="en-US" w:eastAsia="zh-CN"/>
        </w:rPr>
        <w:t>采用</w:t>
      </w:r>
      <w:r>
        <w:rPr>
          <w:rFonts w:hint="eastAsia"/>
          <w:lang w:val="en-US" w:eastAsia="zh-CN"/>
        </w:rPr>
        <w:t>梅江河流域石耶镇段五个</w:t>
      </w:r>
      <w:r>
        <w:rPr>
          <w:rFonts w:hint="default"/>
          <w:lang w:val="en-US" w:eastAsia="zh-CN"/>
        </w:rPr>
        <w:t>监测断面</w:t>
      </w:r>
      <w:r>
        <w:rPr>
          <w:rFonts w:hint="eastAsia"/>
          <w:lang w:val="en-US" w:eastAsia="zh-CN"/>
        </w:rPr>
        <w:t>2019</w:t>
      </w:r>
      <w:r>
        <w:rPr>
          <w:rFonts w:hint="default"/>
          <w:lang w:val="en-US" w:eastAsia="zh-CN"/>
        </w:rPr>
        <w:t>年</w:t>
      </w:r>
      <w:r>
        <w:rPr>
          <w:rFonts w:hint="eastAsia"/>
          <w:lang w:val="en-US" w:eastAsia="zh-CN"/>
        </w:rPr>
        <w:t>1</w:t>
      </w:r>
      <w:r>
        <w:rPr>
          <w:rFonts w:hint="default"/>
          <w:lang w:val="en-US" w:eastAsia="zh-CN"/>
        </w:rPr>
        <w:t>月</w:t>
      </w:r>
      <w:r>
        <w:rPr>
          <w:rFonts w:hint="eastAsia"/>
          <w:lang w:val="en-US" w:eastAsia="zh-CN"/>
        </w:rPr>
        <w:t>～</w:t>
      </w:r>
      <w:r>
        <w:rPr>
          <w:rFonts w:hint="default"/>
          <w:lang w:val="en-US" w:eastAsia="zh-CN"/>
        </w:rPr>
        <w:t>20</w:t>
      </w:r>
      <w:r>
        <w:rPr>
          <w:rFonts w:hint="eastAsia"/>
          <w:lang w:val="en-US" w:eastAsia="zh-CN"/>
        </w:rPr>
        <w:t>20年12</w:t>
      </w:r>
      <w:r>
        <w:rPr>
          <w:rFonts w:hint="default"/>
          <w:lang w:val="en-US" w:eastAsia="zh-CN"/>
        </w:rPr>
        <w:t>月水质监测数据评价水环境质量现状。</w:t>
      </w:r>
    </w:p>
    <w:p w14:paraId="0C5FEA2A">
      <w:pPr>
        <w:pStyle w:val="5"/>
        <w:bidi w:val="0"/>
        <w:rPr>
          <w:rFonts w:hint="default"/>
          <w:lang w:val="en-US" w:eastAsia="zh-CN"/>
        </w:rPr>
      </w:pPr>
      <w:r>
        <w:rPr>
          <w:rFonts w:hint="eastAsia"/>
          <w:lang w:val="en-US" w:eastAsia="zh-CN"/>
        </w:rPr>
        <w:t>2019年梅江河流域石耶镇段三个监测断面</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类水质占比为77.78%，</w:t>
      </w:r>
      <w:r>
        <w:rPr>
          <w:rFonts w:hint="eastAsia"/>
          <w:lang w:val="en-US" w:eastAsia="zh-CN"/>
        </w:rPr>
        <w:fldChar w:fldCharType="begin"/>
      </w:r>
      <w:r>
        <w:rPr>
          <w:rFonts w:hint="eastAsia"/>
          <w:lang w:val="en-US" w:eastAsia="zh-CN"/>
        </w:rPr>
        <w:instrText xml:space="preserve"> = 3 \* ROMAN \* MERGEFORMAT </w:instrText>
      </w:r>
      <w:r>
        <w:rPr>
          <w:rFonts w:hint="eastAsia"/>
          <w:lang w:val="en-US" w:eastAsia="zh-CN"/>
        </w:rPr>
        <w:fldChar w:fldCharType="separate"/>
      </w:r>
      <w:r>
        <w:t>III</w:t>
      </w:r>
      <w:r>
        <w:rPr>
          <w:rFonts w:hint="eastAsia"/>
          <w:lang w:val="en-US" w:eastAsia="zh-CN"/>
        </w:rPr>
        <w:fldChar w:fldCharType="end"/>
      </w:r>
      <w:r>
        <w:rPr>
          <w:rFonts w:hint="eastAsia"/>
          <w:lang w:val="en-US" w:eastAsia="zh-CN"/>
        </w:rPr>
        <w:t>类水质占比为22.22%，梅江河流域石耶镇段</w:t>
      </w:r>
      <w:r>
        <w:rPr>
          <w:rFonts w:hint="default"/>
          <w:lang w:val="en-US" w:eastAsia="zh-CN"/>
        </w:rPr>
        <w:t>水质状况定性为</w:t>
      </w:r>
      <w:r>
        <w:rPr>
          <w:rFonts w:hint="eastAsia"/>
          <w:lang w:val="en-US" w:eastAsia="zh-CN"/>
        </w:rPr>
        <w:t>优</w:t>
      </w:r>
      <w:r>
        <w:rPr>
          <w:rFonts w:hint="default"/>
          <w:lang w:val="en-US" w:eastAsia="zh-CN"/>
        </w:rPr>
        <w:t>。</w:t>
      </w:r>
    </w:p>
    <w:p w14:paraId="55223EB2">
      <w:pPr>
        <w:pStyle w:val="5"/>
        <w:bidi w:val="0"/>
        <w:rPr>
          <w:rFonts w:hint="default"/>
          <w:lang w:val="en-US" w:eastAsia="zh-CN"/>
        </w:rPr>
      </w:pPr>
      <w:r>
        <w:rPr>
          <w:rFonts w:hint="default"/>
          <w:lang w:val="en-US" w:eastAsia="zh-CN"/>
        </w:rPr>
        <w:t>2020年</w:t>
      </w:r>
      <w:r>
        <w:rPr>
          <w:rFonts w:hint="eastAsia"/>
          <w:lang w:val="en-US" w:eastAsia="zh-CN"/>
        </w:rPr>
        <w:t>梅江河流域石耶镇段三个监测断面</w:t>
      </w:r>
      <w:r>
        <w:rPr>
          <w:rFonts w:hint="default"/>
          <w:lang w:val="en-US" w:eastAsia="zh-CN"/>
        </w:rPr>
        <w:t>Ⅰ</w:t>
      </w:r>
      <w:r>
        <w:rPr>
          <w:rFonts w:hint="eastAsia"/>
          <w:lang w:val="en-US" w:eastAsia="zh-CN"/>
        </w:rPr>
        <w:t>类水质占比23.53%，</w:t>
      </w:r>
      <w:r>
        <w:rPr>
          <w:rFonts w:hint="eastAsia"/>
          <w:lang w:val="en-US" w:eastAsia="zh-CN"/>
        </w:rPr>
        <w:fldChar w:fldCharType="begin"/>
      </w:r>
      <w:r>
        <w:rPr>
          <w:rFonts w:hint="eastAsia"/>
          <w:lang w:val="en-US" w:eastAsia="zh-CN"/>
        </w:rPr>
        <w:instrText xml:space="preserve"> = 2 \* ROMAN \* MERGEFORMAT </w:instrText>
      </w:r>
      <w:r>
        <w:rPr>
          <w:rFonts w:hint="eastAsia"/>
          <w:lang w:val="en-US" w:eastAsia="zh-CN"/>
        </w:rPr>
        <w:fldChar w:fldCharType="separate"/>
      </w:r>
      <w:r>
        <w:t>II</w:t>
      </w:r>
      <w:r>
        <w:rPr>
          <w:rFonts w:hint="eastAsia"/>
          <w:lang w:val="en-US" w:eastAsia="zh-CN"/>
        </w:rPr>
        <w:fldChar w:fldCharType="end"/>
      </w:r>
      <w:r>
        <w:rPr>
          <w:rFonts w:hint="eastAsia"/>
          <w:lang w:val="en-US" w:eastAsia="zh-CN"/>
        </w:rPr>
        <w:t>类水质占比为76.47%，梅江河流域石耶镇段</w:t>
      </w:r>
      <w:r>
        <w:rPr>
          <w:rFonts w:hint="default"/>
          <w:lang w:val="en-US" w:eastAsia="zh-CN"/>
        </w:rPr>
        <w:t>水质状况定性为</w:t>
      </w:r>
      <w:r>
        <w:rPr>
          <w:rFonts w:hint="eastAsia"/>
          <w:lang w:val="en-US" w:eastAsia="zh-CN"/>
        </w:rPr>
        <w:t>优</w:t>
      </w:r>
      <w:r>
        <w:rPr>
          <w:rFonts w:hint="default"/>
          <w:lang w:val="en-US" w:eastAsia="zh-CN"/>
        </w:rPr>
        <w:t>。</w:t>
      </w:r>
    </w:p>
    <w:p w14:paraId="1F3A8BD5">
      <w:pPr>
        <w:pStyle w:val="5"/>
        <w:bidi w:val="0"/>
        <w:rPr>
          <w:rFonts w:hint="eastAsia"/>
          <w:b/>
          <w:bCs w:val="0"/>
          <w:color w:val="auto"/>
          <w:highlight w:val="none"/>
          <w:lang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lang w:val="en-US" w:eastAsia="zh-CN"/>
        </w:rPr>
        <w:t>可以看出，201</w:t>
      </w:r>
      <w:r>
        <w:rPr>
          <w:rFonts w:hint="eastAsia"/>
          <w:lang w:val="en-US" w:eastAsia="zh-CN"/>
        </w:rPr>
        <w:t>9</w:t>
      </w:r>
      <w:r>
        <w:rPr>
          <w:rFonts w:hint="default"/>
          <w:lang w:val="en-US" w:eastAsia="zh-CN"/>
        </w:rPr>
        <w:t>年至2020年，</w:t>
      </w:r>
      <w:r>
        <w:rPr>
          <w:rFonts w:hint="eastAsia"/>
          <w:lang w:val="en-US" w:eastAsia="zh-CN"/>
        </w:rPr>
        <w:t>梅江河流域石耶镇段水质状况均定性为优。</w:t>
      </w:r>
    </w:p>
    <w:p w14:paraId="56246DCD">
      <w:pPr>
        <w:pStyle w:val="33"/>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表3.2-2</w:t>
      </w:r>
      <w:r>
        <w:rPr>
          <w:rFonts w:hint="eastAsia" w:cs="Times New Roman"/>
          <w:color w:val="auto"/>
          <w:highlight w:val="none"/>
          <w:lang w:val="en-US" w:eastAsia="zh-CN"/>
        </w:rPr>
        <w:t>9</w:t>
      </w:r>
      <w:r>
        <w:rPr>
          <w:rFonts w:hint="eastAsia" w:ascii="Times New Roman" w:hAnsi="Times New Roman" w:cs="Times New Roman"/>
          <w:color w:val="auto"/>
          <w:highlight w:val="none"/>
          <w:lang w:val="en-US" w:eastAsia="zh-CN"/>
        </w:rPr>
        <w:t xml:space="preserve">  </w:t>
      </w:r>
      <w:r>
        <w:rPr>
          <w:rFonts w:hint="eastAsia"/>
          <w:color w:val="auto"/>
          <w:highlight w:val="none"/>
          <w:lang w:val="en-US" w:eastAsia="zh-CN"/>
        </w:rPr>
        <w:t>石耶镇各河流（段）</w:t>
      </w:r>
      <w:r>
        <w:rPr>
          <w:rFonts w:hint="default"/>
          <w:color w:val="auto"/>
          <w:highlight w:val="none"/>
          <w:lang w:val="en-US" w:eastAsia="zh-CN"/>
        </w:rPr>
        <w:t>水质监测结果</w:t>
      </w:r>
    </w:p>
    <w:tbl>
      <w:tblPr>
        <w:tblStyle w:val="23"/>
        <w:tblW w:w="1416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61"/>
        <w:gridCol w:w="2304"/>
        <w:gridCol w:w="899"/>
        <w:gridCol w:w="677"/>
        <w:gridCol w:w="703"/>
        <w:gridCol w:w="941"/>
        <w:gridCol w:w="1077"/>
        <w:gridCol w:w="745"/>
        <w:gridCol w:w="745"/>
        <w:gridCol w:w="904"/>
        <w:gridCol w:w="748"/>
        <w:gridCol w:w="748"/>
        <w:gridCol w:w="748"/>
        <w:gridCol w:w="748"/>
        <w:gridCol w:w="1015"/>
      </w:tblGrid>
      <w:tr w14:paraId="49A6E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14:paraId="177580F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河流</w:t>
            </w:r>
          </w:p>
        </w:tc>
        <w:tc>
          <w:tcPr>
            <w:tcW w:w="2304" w:type="dxa"/>
            <w:vMerge w:val="restart"/>
            <w:tcBorders>
              <w:tl2br w:val="nil"/>
              <w:tr2bl w:val="nil"/>
            </w:tcBorders>
            <w:shd w:val="clear" w:color="auto" w:fill="auto"/>
            <w:vAlign w:val="center"/>
          </w:tcPr>
          <w:p w14:paraId="5974749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断面</w:t>
            </w:r>
          </w:p>
        </w:tc>
        <w:tc>
          <w:tcPr>
            <w:tcW w:w="899" w:type="dxa"/>
            <w:vMerge w:val="restart"/>
            <w:tcBorders>
              <w:tl2br w:val="nil"/>
              <w:tr2bl w:val="nil"/>
            </w:tcBorders>
            <w:shd w:val="clear" w:color="auto" w:fill="auto"/>
            <w:vAlign w:val="center"/>
          </w:tcPr>
          <w:p w14:paraId="27F24A17">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年份</w:t>
            </w:r>
          </w:p>
        </w:tc>
        <w:tc>
          <w:tcPr>
            <w:tcW w:w="9799" w:type="dxa"/>
            <w:gridSpan w:val="12"/>
            <w:tcBorders>
              <w:tl2br w:val="nil"/>
              <w:tr2bl w:val="nil"/>
            </w:tcBorders>
            <w:shd w:val="clear" w:color="auto" w:fill="auto"/>
            <w:vAlign w:val="center"/>
          </w:tcPr>
          <w:p w14:paraId="5BCDA73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月份</w:t>
            </w:r>
          </w:p>
        </w:tc>
      </w:tr>
      <w:tr w14:paraId="2DCE9A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14:paraId="252D32D6">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2304" w:type="dxa"/>
            <w:vMerge w:val="continue"/>
            <w:tcBorders>
              <w:tl2br w:val="nil"/>
              <w:tr2bl w:val="nil"/>
            </w:tcBorders>
            <w:shd w:val="clear" w:color="auto" w:fill="auto"/>
            <w:vAlign w:val="center"/>
          </w:tcPr>
          <w:p w14:paraId="42A1392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vMerge w:val="continue"/>
            <w:tcBorders>
              <w:tl2br w:val="nil"/>
              <w:tr2bl w:val="nil"/>
            </w:tcBorders>
            <w:shd w:val="clear" w:color="auto" w:fill="auto"/>
            <w:vAlign w:val="center"/>
          </w:tcPr>
          <w:p w14:paraId="153A326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677" w:type="dxa"/>
            <w:tcBorders>
              <w:tl2br w:val="nil"/>
              <w:tr2bl w:val="nil"/>
            </w:tcBorders>
            <w:shd w:val="clear" w:color="auto" w:fill="auto"/>
            <w:vAlign w:val="center"/>
          </w:tcPr>
          <w:p w14:paraId="4DB2E71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1月</w:t>
            </w:r>
          </w:p>
        </w:tc>
        <w:tc>
          <w:tcPr>
            <w:tcW w:w="703" w:type="dxa"/>
            <w:tcBorders>
              <w:tl2br w:val="nil"/>
              <w:tr2bl w:val="nil"/>
            </w:tcBorders>
            <w:shd w:val="clear" w:color="auto" w:fill="auto"/>
            <w:vAlign w:val="center"/>
          </w:tcPr>
          <w:p w14:paraId="5FBB85C1">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2月</w:t>
            </w:r>
          </w:p>
        </w:tc>
        <w:tc>
          <w:tcPr>
            <w:tcW w:w="941" w:type="dxa"/>
            <w:tcBorders>
              <w:tl2br w:val="nil"/>
              <w:tr2bl w:val="nil"/>
            </w:tcBorders>
            <w:shd w:val="clear" w:color="auto" w:fill="auto"/>
            <w:vAlign w:val="center"/>
          </w:tcPr>
          <w:p w14:paraId="516C356A">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3月</w:t>
            </w:r>
          </w:p>
        </w:tc>
        <w:tc>
          <w:tcPr>
            <w:tcW w:w="1077" w:type="dxa"/>
            <w:tcBorders>
              <w:tl2br w:val="nil"/>
              <w:tr2bl w:val="nil"/>
            </w:tcBorders>
            <w:shd w:val="clear" w:color="auto" w:fill="auto"/>
            <w:vAlign w:val="center"/>
          </w:tcPr>
          <w:p w14:paraId="79C445D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4月</w:t>
            </w:r>
          </w:p>
        </w:tc>
        <w:tc>
          <w:tcPr>
            <w:tcW w:w="745" w:type="dxa"/>
            <w:tcBorders>
              <w:tl2br w:val="nil"/>
              <w:tr2bl w:val="nil"/>
            </w:tcBorders>
            <w:shd w:val="clear" w:color="auto" w:fill="auto"/>
            <w:vAlign w:val="center"/>
          </w:tcPr>
          <w:p w14:paraId="796F10F2">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5月</w:t>
            </w:r>
          </w:p>
        </w:tc>
        <w:tc>
          <w:tcPr>
            <w:tcW w:w="745" w:type="dxa"/>
            <w:tcBorders>
              <w:tl2br w:val="nil"/>
              <w:tr2bl w:val="nil"/>
            </w:tcBorders>
            <w:shd w:val="clear" w:color="auto" w:fill="auto"/>
            <w:vAlign w:val="center"/>
          </w:tcPr>
          <w:p w14:paraId="64FABF3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6月</w:t>
            </w:r>
          </w:p>
        </w:tc>
        <w:tc>
          <w:tcPr>
            <w:tcW w:w="904" w:type="dxa"/>
            <w:tcBorders>
              <w:tl2br w:val="nil"/>
              <w:tr2bl w:val="nil"/>
            </w:tcBorders>
            <w:shd w:val="clear" w:color="auto" w:fill="auto"/>
            <w:vAlign w:val="center"/>
          </w:tcPr>
          <w:p w14:paraId="21C3004C">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7月</w:t>
            </w:r>
          </w:p>
        </w:tc>
        <w:tc>
          <w:tcPr>
            <w:tcW w:w="748" w:type="dxa"/>
            <w:tcBorders>
              <w:tl2br w:val="nil"/>
              <w:tr2bl w:val="nil"/>
            </w:tcBorders>
            <w:shd w:val="clear" w:color="auto" w:fill="auto"/>
            <w:vAlign w:val="center"/>
          </w:tcPr>
          <w:p w14:paraId="3A0E571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8月</w:t>
            </w:r>
          </w:p>
        </w:tc>
        <w:tc>
          <w:tcPr>
            <w:tcW w:w="748" w:type="dxa"/>
            <w:tcBorders>
              <w:tl2br w:val="nil"/>
              <w:tr2bl w:val="nil"/>
            </w:tcBorders>
            <w:shd w:val="clear" w:color="auto" w:fill="auto"/>
            <w:vAlign w:val="center"/>
          </w:tcPr>
          <w:p w14:paraId="6C3A9F3D">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9月</w:t>
            </w:r>
          </w:p>
        </w:tc>
        <w:tc>
          <w:tcPr>
            <w:tcW w:w="748" w:type="dxa"/>
            <w:tcBorders>
              <w:tl2br w:val="nil"/>
              <w:tr2bl w:val="nil"/>
            </w:tcBorders>
            <w:shd w:val="clear" w:color="auto" w:fill="auto"/>
            <w:vAlign w:val="center"/>
          </w:tcPr>
          <w:p w14:paraId="3A25C3F0">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10月</w:t>
            </w:r>
          </w:p>
        </w:tc>
        <w:tc>
          <w:tcPr>
            <w:tcW w:w="748" w:type="dxa"/>
            <w:tcBorders>
              <w:tl2br w:val="nil"/>
              <w:tr2bl w:val="nil"/>
            </w:tcBorders>
            <w:shd w:val="clear" w:color="auto" w:fill="auto"/>
            <w:vAlign w:val="center"/>
          </w:tcPr>
          <w:p w14:paraId="4AE6C745">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11月</w:t>
            </w:r>
          </w:p>
        </w:tc>
        <w:tc>
          <w:tcPr>
            <w:tcW w:w="1015" w:type="dxa"/>
            <w:tcBorders>
              <w:tl2br w:val="nil"/>
              <w:tr2bl w:val="nil"/>
            </w:tcBorders>
            <w:shd w:val="clear" w:color="auto" w:fill="auto"/>
            <w:vAlign w:val="center"/>
          </w:tcPr>
          <w:p w14:paraId="1FB4E41F">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12月</w:t>
            </w:r>
          </w:p>
        </w:tc>
      </w:tr>
      <w:tr w14:paraId="1F1E82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14:paraId="602532C1">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梅江河</w:t>
            </w:r>
          </w:p>
        </w:tc>
        <w:tc>
          <w:tcPr>
            <w:tcW w:w="2304" w:type="dxa"/>
            <w:vMerge w:val="restart"/>
            <w:tcBorders>
              <w:tl2br w:val="nil"/>
              <w:tr2bl w:val="nil"/>
            </w:tcBorders>
            <w:shd w:val="clear" w:color="auto" w:fill="auto"/>
            <w:vAlign w:val="center"/>
          </w:tcPr>
          <w:p w14:paraId="689D1FA2">
            <w:pPr>
              <w:pStyle w:val="29"/>
              <w:keepNext w:val="0"/>
              <w:keepLines w:val="0"/>
              <w:suppressLineNumbers w:val="0"/>
              <w:bidi w:val="0"/>
              <w:spacing w:before="0" w:beforeAutospacing="0" w:after="0" w:afterAutospacing="0"/>
              <w:ind w:left="-53" w:leftChars="-25" w:right="-53" w:rightChars="-25" w:firstLine="0" w:firstLineChars="0"/>
              <w:rPr>
                <w:rFonts w:hint="default" w:ascii="Times New Roman" w:hAnsi="Times New Roman" w:eastAsia="宋体" w:cs="Times New Roman"/>
                <w:b w:val="0"/>
                <w:bCs/>
                <w:color w:val="auto"/>
                <w:sz w:val="21"/>
                <w:szCs w:val="21"/>
                <w:highlight w:val="none"/>
              </w:rPr>
            </w:pPr>
            <w:r>
              <w:rPr>
                <w:rFonts w:hint="default"/>
                <w:b w:val="0"/>
                <w:bCs/>
                <w:color w:val="auto"/>
                <w:sz w:val="21"/>
                <w:szCs w:val="21"/>
                <w:highlight w:val="none"/>
                <w:lang w:val="en-US" w:eastAsia="zh-CN"/>
              </w:rPr>
              <w:t>梅江</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石耶断面</w:t>
            </w:r>
          </w:p>
        </w:tc>
        <w:tc>
          <w:tcPr>
            <w:tcW w:w="899" w:type="dxa"/>
            <w:tcBorders>
              <w:tl2br w:val="nil"/>
              <w:tr2bl w:val="nil"/>
            </w:tcBorders>
            <w:shd w:val="clear" w:color="auto" w:fill="auto"/>
            <w:vAlign w:val="center"/>
          </w:tcPr>
          <w:p w14:paraId="7BC9AC00">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2019年</w:t>
            </w:r>
          </w:p>
        </w:tc>
        <w:tc>
          <w:tcPr>
            <w:tcW w:w="677" w:type="dxa"/>
            <w:tcBorders>
              <w:tl2br w:val="nil"/>
              <w:tr2bl w:val="nil"/>
            </w:tcBorders>
            <w:shd w:val="clear" w:color="auto" w:fill="auto"/>
            <w:vAlign w:val="center"/>
          </w:tcPr>
          <w:p w14:paraId="5732CD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14:paraId="4F6B1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14:paraId="76469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14:paraId="1A595D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27DE05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14:paraId="47F12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14:paraId="07D7B1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4B40B2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7C1490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01C262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53EC63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14:paraId="3620F0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7A8568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14:paraId="5C528F7F">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14:paraId="61C1573E">
            <w:pPr>
              <w:pStyle w:val="29"/>
              <w:keepNext w:val="0"/>
              <w:keepLines w:val="0"/>
              <w:suppressLineNumbers w:val="0"/>
              <w:bidi w:val="0"/>
              <w:spacing w:before="0" w:beforeAutospacing="0" w:after="0" w:afterAutospacing="0"/>
              <w:ind w:left="0" w:right="0"/>
              <w:rPr>
                <w:rFonts w:hint="default" w:ascii="Times New Roman" w:hAnsi="Times New Roman" w:eastAsia="宋体" w:cs="Times New Roman"/>
                <w:b w:val="0"/>
                <w:bCs/>
                <w:color w:val="auto"/>
                <w:sz w:val="21"/>
                <w:szCs w:val="21"/>
                <w:highlight w:val="none"/>
              </w:rPr>
            </w:pPr>
          </w:p>
        </w:tc>
        <w:tc>
          <w:tcPr>
            <w:tcW w:w="899" w:type="dxa"/>
            <w:tcBorders>
              <w:tl2br w:val="nil"/>
              <w:tr2bl w:val="nil"/>
            </w:tcBorders>
            <w:shd w:val="clear" w:color="auto" w:fill="auto"/>
            <w:vAlign w:val="center"/>
          </w:tcPr>
          <w:p w14:paraId="30617B0B">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2020年</w:t>
            </w:r>
          </w:p>
        </w:tc>
        <w:tc>
          <w:tcPr>
            <w:tcW w:w="677" w:type="dxa"/>
            <w:tcBorders>
              <w:tl2br w:val="nil"/>
              <w:tr2bl w:val="nil"/>
            </w:tcBorders>
            <w:shd w:val="clear" w:color="auto" w:fill="auto"/>
            <w:vAlign w:val="center"/>
          </w:tcPr>
          <w:p w14:paraId="63BD39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03" w:type="dxa"/>
            <w:tcBorders>
              <w:tl2br w:val="nil"/>
              <w:tr2bl w:val="nil"/>
            </w:tcBorders>
            <w:shd w:val="clear" w:color="auto" w:fill="auto"/>
            <w:vAlign w:val="center"/>
          </w:tcPr>
          <w:p w14:paraId="3FA12B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41" w:type="dxa"/>
            <w:tcBorders>
              <w:tl2br w:val="nil"/>
              <w:tr2bl w:val="nil"/>
            </w:tcBorders>
            <w:shd w:val="clear" w:color="auto" w:fill="auto"/>
            <w:vAlign w:val="center"/>
          </w:tcPr>
          <w:p w14:paraId="2DD69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77" w:type="dxa"/>
            <w:tcBorders>
              <w:tl2br w:val="nil"/>
              <w:tr2bl w:val="nil"/>
            </w:tcBorders>
            <w:shd w:val="clear" w:color="auto" w:fill="auto"/>
            <w:vAlign w:val="center"/>
          </w:tcPr>
          <w:p w14:paraId="4207D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2DBFE8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14:paraId="43996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14:paraId="18871C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1C9B60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19352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3B1BFE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3A7FD6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14:paraId="37D20E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r>
      <w:tr w14:paraId="08912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14:paraId="05F04E17">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restart"/>
            <w:tcBorders>
              <w:tl2br w:val="nil"/>
              <w:tr2bl w:val="nil"/>
            </w:tcBorders>
            <w:shd w:val="clear" w:color="auto" w:fill="auto"/>
            <w:vAlign w:val="center"/>
          </w:tcPr>
          <w:p w14:paraId="5DD3A109">
            <w:pPr>
              <w:pStyle w:val="29"/>
              <w:keepNext w:val="0"/>
              <w:keepLines w:val="0"/>
              <w:suppressLineNumbers w:val="0"/>
              <w:bidi w:val="0"/>
              <w:spacing w:before="0" w:beforeAutospacing="0" w:after="0" w:afterAutospacing="0"/>
              <w:ind w:left="0" w:leftChars="0" w:right="0" w:rightChars="0" w:firstLine="0" w:firstLineChars="0"/>
              <w:rPr>
                <w:rFonts w:hint="eastAsia" w:ascii="仿宋_GB2312" w:hAnsi="Times New Roman" w:eastAsia="宋体" w:cs="Times New Roman"/>
                <w:b w:val="0"/>
                <w:bCs/>
                <w:snapToGrid w:val="0"/>
                <w:color w:val="auto"/>
                <w:kern w:val="0"/>
                <w:sz w:val="21"/>
                <w:szCs w:val="21"/>
                <w:highlight w:val="none"/>
                <w:lang w:val="en-US" w:eastAsia="zh-CN" w:bidi="ar-SA"/>
              </w:rPr>
            </w:pPr>
            <w:r>
              <w:rPr>
                <w:rFonts w:hint="default"/>
                <w:b w:val="0"/>
                <w:bCs/>
                <w:color w:val="auto"/>
                <w:sz w:val="21"/>
                <w:szCs w:val="21"/>
                <w:highlight w:val="none"/>
                <w:lang w:val="en-US" w:eastAsia="zh-CN"/>
              </w:rPr>
              <w:t>石耶</w:t>
            </w:r>
            <w:r>
              <w:rPr>
                <w:rFonts w:hint="eastAsia"/>
                <w:b w:val="0"/>
                <w:bCs/>
                <w:color w:val="auto"/>
                <w:sz w:val="21"/>
                <w:szCs w:val="21"/>
                <w:highlight w:val="none"/>
                <w:lang w:val="en-US" w:eastAsia="zh-CN"/>
              </w:rPr>
              <w:t>－</w:t>
            </w:r>
            <w:r>
              <w:rPr>
                <w:rFonts w:hint="default"/>
                <w:b w:val="0"/>
                <w:bCs/>
                <w:color w:val="auto"/>
                <w:sz w:val="21"/>
                <w:szCs w:val="21"/>
                <w:highlight w:val="none"/>
                <w:lang w:val="en-US" w:eastAsia="zh-CN"/>
              </w:rPr>
              <w:t>平凯断面</w:t>
            </w:r>
          </w:p>
          <w:p w14:paraId="677E33D2">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14:paraId="09C673E2">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2019</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14:paraId="39884E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14:paraId="144CFE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14:paraId="68C0EC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14:paraId="24299C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4CBE08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14:paraId="063D6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14:paraId="79CCA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24E15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2B20DC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7CA30A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49791D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15" w:type="dxa"/>
            <w:tcBorders>
              <w:tl2br w:val="nil"/>
              <w:tr2bl w:val="nil"/>
            </w:tcBorders>
            <w:shd w:val="clear" w:color="auto" w:fill="auto"/>
            <w:vAlign w:val="center"/>
          </w:tcPr>
          <w:p w14:paraId="60DD31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r>
      <w:tr w14:paraId="5D1F1F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14:paraId="18AE3DC2">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14:paraId="27530CC9">
            <w:pPr>
              <w:pStyle w:val="29"/>
              <w:keepNext w:val="0"/>
              <w:keepLines w:val="0"/>
              <w:suppressLineNumbers w:val="0"/>
              <w:bidi w:val="0"/>
              <w:spacing w:before="0" w:beforeAutospacing="0" w:after="0" w:afterAutospacing="0"/>
              <w:ind w:left="0" w:leftChars="0" w:right="0" w:rightChars="0" w:firstLine="0" w:firstLineChars="0"/>
              <w:rPr>
                <w:rFonts w:hint="default" w:ascii="仿宋_GB2312" w:hAnsi="Times New Roman" w:eastAsia="宋体" w:cs="Times New Roman"/>
                <w:b w:val="0"/>
                <w:bCs/>
                <w:snapToGrid w:val="0"/>
                <w:color w:val="auto"/>
                <w:kern w:val="0"/>
                <w:sz w:val="21"/>
                <w:szCs w:val="21"/>
                <w:highlight w:val="none"/>
                <w:lang w:val="en-US" w:eastAsia="zh-CN" w:bidi="ar-SA"/>
              </w:rPr>
            </w:pPr>
          </w:p>
        </w:tc>
        <w:tc>
          <w:tcPr>
            <w:tcW w:w="899" w:type="dxa"/>
            <w:tcBorders>
              <w:tl2br w:val="nil"/>
              <w:tr2bl w:val="nil"/>
            </w:tcBorders>
            <w:shd w:val="clear" w:color="auto" w:fill="auto"/>
            <w:vAlign w:val="center"/>
          </w:tcPr>
          <w:p w14:paraId="6FC9B6BC">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default" w:ascii="Times New Roman" w:hAnsi="Times New Roman" w:cs="Times New Roman"/>
                <w:b w:val="0"/>
                <w:bCs/>
                <w:snapToGrid w:val="0"/>
                <w:color w:val="auto"/>
                <w:kern w:val="0"/>
                <w:sz w:val="21"/>
                <w:szCs w:val="21"/>
                <w:highlight w:val="none"/>
                <w:lang w:val="en-US" w:eastAsia="zh-CN" w:bidi="ar-SA"/>
              </w:rPr>
              <w:t>2020</w:t>
            </w:r>
            <w:r>
              <w:rPr>
                <w:rFonts w:hint="eastAsia" w:ascii="Times New Roman" w:hAnsi="Times New Roman" w:cs="Times New Roman"/>
                <w:b w:val="0"/>
                <w:bCs/>
                <w:snapToGrid w:val="0"/>
                <w:color w:val="auto"/>
                <w:kern w:val="0"/>
                <w:sz w:val="21"/>
                <w:szCs w:val="21"/>
                <w:highlight w:val="none"/>
                <w:lang w:val="en-US" w:eastAsia="zh-CN" w:bidi="ar-SA"/>
              </w:rPr>
              <w:t>年</w:t>
            </w:r>
          </w:p>
        </w:tc>
        <w:tc>
          <w:tcPr>
            <w:tcW w:w="677" w:type="dxa"/>
            <w:tcBorders>
              <w:tl2br w:val="nil"/>
              <w:tr2bl w:val="nil"/>
            </w:tcBorders>
            <w:shd w:val="clear" w:color="auto" w:fill="auto"/>
            <w:vAlign w:val="center"/>
          </w:tcPr>
          <w:p w14:paraId="47334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14:paraId="40BC79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41" w:type="dxa"/>
            <w:tcBorders>
              <w:tl2br w:val="nil"/>
              <w:tr2bl w:val="nil"/>
            </w:tcBorders>
            <w:shd w:val="clear" w:color="auto" w:fill="auto"/>
            <w:vAlign w:val="center"/>
          </w:tcPr>
          <w:p w14:paraId="0E268F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077" w:type="dxa"/>
            <w:tcBorders>
              <w:tl2br w:val="nil"/>
              <w:tr2bl w:val="nil"/>
            </w:tcBorders>
            <w:shd w:val="clear" w:color="auto" w:fill="auto"/>
            <w:vAlign w:val="center"/>
          </w:tcPr>
          <w:p w14:paraId="783622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56D50C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5" w:type="dxa"/>
            <w:tcBorders>
              <w:tl2br w:val="nil"/>
              <w:tr2bl w:val="nil"/>
            </w:tcBorders>
            <w:shd w:val="clear" w:color="auto" w:fill="auto"/>
            <w:vAlign w:val="center"/>
          </w:tcPr>
          <w:p w14:paraId="7FE29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904" w:type="dxa"/>
            <w:tcBorders>
              <w:tl2br w:val="nil"/>
              <w:tr2bl w:val="nil"/>
            </w:tcBorders>
            <w:shd w:val="clear" w:color="auto" w:fill="auto"/>
            <w:vAlign w:val="center"/>
          </w:tcPr>
          <w:p w14:paraId="17730B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5E4D41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2A8CE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2C5A78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748" w:type="dxa"/>
            <w:tcBorders>
              <w:tl2br w:val="nil"/>
              <w:tr2bl w:val="nil"/>
            </w:tcBorders>
            <w:shd w:val="clear" w:color="auto" w:fill="auto"/>
            <w:vAlign w:val="center"/>
          </w:tcPr>
          <w:p w14:paraId="2823EF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p>
        </w:tc>
        <w:tc>
          <w:tcPr>
            <w:tcW w:w="1015" w:type="dxa"/>
            <w:tcBorders>
              <w:tl2br w:val="nil"/>
              <w:tr2bl w:val="nil"/>
            </w:tcBorders>
            <w:shd w:val="clear" w:color="auto" w:fill="auto"/>
            <w:vAlign w:val="center"/>
          </w:tcPr>
          <w:p w14:paraId="1B70D4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r w14:paraId="5A774D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0" w:hRule="atLeast"/>
        </w:trPr>
        <w:tc>
          <w:tcPr>
            <w:tcW w:w="1161" w:type="dxa"/>
            <w:vMerge w:val="restart"/>
            <w:tcBorders>
              <w:tl2br w:val="nil"/>
              <w:tr2bl w:val="nil"/>
            </w:tcBorders>
            <w:shd w:val="clear" w:color="auto" w:fill="auto"/>
            <w:vAlign w:val="center"/>
          </w:tcPr>
          <w:p w14:paraId="25524805">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cs="Times New Roman"/>
                <w:b w:val="0"/>
                <w:bCs/>
                <w:color w:val="auto"/>
                <w:kern w:val="2"/>
                <w:sz w:val="21"/>
                <w:szCs w:val="21"/>
                <w:highlight w:val="none"/>
                <w:lang w:val="en-US" w:eastAsia="zh-CN" w:bidi="ar-SA"/>
              </w:rPr>
              <w:t>中平河</w:t>
            </w:r>
          </w:p>
        </w:tc>
        <w:tc>
          <w:tcPr>
            <w:tcW w:w="2304" w:type="dxa"/>
            <w:vMerge w:val="restart"/>
            <w:tcBorders>
              <w:tl2br w:val="nil"/>
              <w:tr2bl w:val="nil"/>
            </w:tcBorders>
            <w:shd w:val="clear" w:color="auto" w:fill="auto"/>
            <w:vAlign w:val="center"/>
          </w:tcPr>
          <w:p w14:paraId="023BEA95">
            <w:pPr>
              <w:pStyle w:val="29"/>
              <w:keepNext w:val="0"/>
              <w:keepLines w:val="0"/>
              <w:suppressLineNumbers w:val="0"/>
              <w:bidi w:val="0"/>
              <w:spacing w:before="0" w:beforeAutospacing="0" w:after="0" w:afterAutospacing="0"/>
              <w:ind w:left="0" w:leftChars="0" w:right="0" w:rightChars="0" w:firstLine="0" w:firstLineChars="0"/>
              <w:rPr>
                <w:rFonts w:hint="default"/>
                <w:color w:val="auto"/>
                <w:sz w:val="21"/>
                <w:szCs w:val="21"/>
                <w:highlight w:val="none"/>
                <w:lang w:val="en-US" w:eastAsia="zh-CN"/>
              </w:rPr>
            </w:pPr>
            <w:r>
              <w:rPr>
                <w:rFonts w:hint="default"/>
                <w:b w:val="0"/>
                <w:bCs/>
                <w:color w:val="auto"/>
                <w:sz w:val="21"/>
                <w:szCs w:val="21"/>
                <w:highlight w:val="none"/>
                <w:lang w:val="en-US" w:eastAsia="zh-CN"/>
              </w:rPr>
              <w:t>中平河汇入口</w:t>
            </w:r>
          </w:p>
        </w:tc>
        <w:tc>
          <w:tcPr>
            <w:tcW w:w="899" w:type="dxa"/>
            <w:tcBorders>
              <w:tl2br w:val="nil"/>
              <w:tr2bl w:val="nil"/>
            </w:tcBorders>
            <w:shd w:val="clear" w:color="auto" w:fill="auto"/>
            <w:vAlign w:val="center"/>
          </w:tcPr>
          <w:p w14:paraId="561AC53B">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2019年</w:t>
            </w:r>
          </w:p>
        </w:tc>
        <w:tc>
          <w:tcPr>
            <w:tcW w:w="677" w:type="dxa"/>
            <w:tcBorders>
              <w:tl2br w:val="nil"/>
              <w:tr2bl w:val="nil"/>
            </w:tcBorders>
            <w:shd w:val="clear" w:color="auto" w:fill="auto"/>
            <w:vAlign w:val="center"/>
          </w:tcPr>
          <w:p w14:paraId="545073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703" w:type="dxa"/>
            <w:tcBorders>
              <w:tl2br w:val="nil"/>
              <w:tr2bl w:val="nil"/>
            </w:tcBorders>
            <w:shd w:val="clear" w:color="auto" w:fill="auto"/>
            <w:vAlign w:val="center"/>
          </w:tcPr>
          <w:p w14:paraId="3278E9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941" w:type="dxa"/>
            <w:tcBorders>
              <w:tl2br w:val="nil"/>
              <w:tr2bl w:val="nil"/>
            </w:tcBorders>
            <w:shd w:val="clear" w:color="auto" w:fill="auto"/>
            <w:vAlign w:val="center"/>
          </w:tcPr>
          <w:p w14:paraId="30AE1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p>
        </w:tc>
        <w:tc>
          <w:tcPr>
            <w:tcW w:w="1077" w:type="dxa"/>
            <w:tcBorders>
              <w:tl2br w:val="nil"/>
              <w:tr2bl w:val="nil"/>
            </w:tcBorders>
            <w:shd w:val="clear" w:color="auto" w:fill="auto"/>
            <w:vAlign w:val="center"/>
          </w:tcPr>
          <w:p w14:paraId="1F5A7E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745" w:type="dxa"/>
            <w:tcBorders>
              <w:tl2br w:val="nil"/>
              <w:tr2bl w:val="nil"/>
            </w:tcBorders>
            <w:shd w:val="clear" w:color="auto" w:fill="auto"/>
            <w:vAlign w:val="center"/>
          </w:tcPr>
          <w:p w14:paraId="78537E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5" w:type="dxa"/>
            <w:tcBorders>
              <w:tl2br w:val="nil"/>
              <w:tr2bl w:val="nil"/>
            </w:tcBorders>
            <w:shd w:val="clear" w:color="auto" w:fill="auto"/>
            <w:vAlign w:val="center"/>
          </w:tcPr>
          <w:p w14:paraId="048E2B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904" w:type="dxa"/>
            <w:tcBorders>
              <w:tl2br w:val="nil"/>
              <w:tr2bl w:val="nil"/>
            </w:tcBorders>
            <w:shd w:val="clear" w:color="auto" w:fill="auto"/>
            <w:vAlign w:val="center"/>
          </w:tcPr>
          <w:p w14:paraId="1B3BBA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599AD5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14:paraId="174B1C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14:paraId="23A68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c>
          <w:tcPr>
            <w:tcW w:w="748" w:type="dxa"/>
            <w:tcBorders>
              <w:tl2br w:val="nil"/>
              <w:tr2bl w:val="nil"/>
            </w:tcBorders>
            <w:shd w:val="clear" w:color="auto" w:fill="auto"/>
            <w:vAlign w:val="center"/>
          </w:tcPr>
          <w:p w14:paraId="159B6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Ⅲ类</w:t>
            </w:r>
          </w:p>
        </w:tc>
        <w:tc>
          <w:tcPr>
            <w:tcW w:w="1015" w:type="dxa"/>
            <w:tcBorders>
              <w:tl2br w:val="nil"/>
              <w:tr2bl w:val="nil"/>
            </w:tcBorders>
            <w:shd w:val="clear" w:color="auto" w:fill="auto"/>
            <w:vAlign w:val="center"/>
          </w:tcPr>
          <w:p w14:paraId="044F0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p>
        </w:tc>
      </w:tr>
      <w:tr w14:paraId="32B40B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61" w:type="dxa"/>
            <w:vMerge w:val="continue"/>
            <w:tcBorders>
              <w:tl2br w:val="nil"/>
              <w:tr2bl w:val="nil"/>
            </w:tcBorders>
            <w:shd w:val="clear" w:color="auto" w:fill="auto"/>
            <w:vAlign w:val="center"/>
          </w:tcPr>
          <w:p w14:paraId="76516040">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color w:val="auto"/>
                <w:kern w:val="2"/>
                <w:sz w:val="21"/>
                <w:szCs w:val="21"/>
                <w:highlight w:val="none"/>
                <w:lang w:val="en-US" w:eastAsia="zh-CN" w:bidi="ar-SA"/>
              </w:rPr>
            </w:pPr>
          </w:p>
        </w:tc>
        <w:tc>
          <w:tcPr>
            <w:tcW w:w="2304" w:type="dxa"/>
            <w:vMerge w:val="continue"/>
            <w:tcBorders>
              <w:tl2br w:val="nil"/>
              <w:tr2bl w:val="nil"/>
            </w:tcBorders>
            <w:shd w:val="clear" w:color="auto" w:fill="auto"/>
            <w:vAlign w:val="center"/>
          </w:tcPr>
          <w:p w14:paraId="4B7E1E68">
            <w:pPr>
              <w:pStyle w:val="29"/>
              <w:keepNext w:val="0"/>
              <w:keepLines w:val="0"/>
              <w:suppressLineNumbers w:val="0"/>
              <w:bidi w:val="0"/>
              <w:spacing w:before="0" w:beforeAutospacing="0" w:after="0" w:afterAutospacing="0"/>
              <w:ind w:left="0" w:leftChars="0" w:right="0" w:rightChars="0" w:firstLine="0" w:firstLineChars="0"/>
              <w:rPr>
                <w:rFonts w:hint="default"/>
                <w:color w:val="auto"/>
                <w:sz w:val="18"/>
                <w:szCs w:val="18"/>
                <w:highlight w:val="none"/>
                <w:lang w:val="en-US" w:eastAsia="zh-CN"/>
              </w:rPr>
            </w:pPr>
          </w:p>
        </w:tc>
        <w:tc>
          <w:tcPr>
            <w:tcW w:w="899" w:type="dxa"/>
            <w:tcBorders>
              <w:tl2br w:val="nil"/>
              <w:tr2bl w:val="nil"/>
            </w:tcBorders>
            <w:shd w:val="clear" w:color="auto" w:fill="auto"/>
            <w:vAlign w:val="center"/>
          </w:tcPr>
          <w:p w14:paraId="6FD50F13">
            <w:pPr>
              <w:pStyle w:val="29"/>
              <w:keepNext w:val="0"/>
              <w:keepLines w:val="0"/>
              <w:suppressLineNumbers w:val="0"/>
              <w:bidi w:val="0"/>
              <w:spacing w:before="0" w:beforeAutospacing="0" w:after="0" w:afterAutospacing="0"/>
              <w:ind w:left="0" w:leftChars="0" w:right="0" w:rightChars="0" w:firstLine="0" w:firstLineChars="0"/>
              <w:rPr>
                <w:rFonts w:hint="default" w:ascii="Times New Roman" w:hAnsi="Times New Roman" w:cs="Times New Roman"/>
                <w:b w:val="0"/>
                <w:bCs/>
                <w:snapToGrid w:val="0"/>
                <w:color w:val="auto"/>
                <w:kern w:val="0"/>
                <w:sz w:val="21"/>
                <w:szCs w:val="21"/>
                <w:highlight w:val="none"/>
                <w:lang w:val="en-US" w:eastAsia="zh-CN" w:bidi="ar-SA"/>
              </w:rPr>
            </w:pPr>
            <w:r>
              <w:rPr>
                <w:rFonts w:hint="eastAsia" w:ascii="Times New Roman" w:cs="Times New Roman"/>
                <w:b w:val="0"/>
                <w:bCs/>
                <w:snapToGrid w:val="0"/>
                <w:color w:val="auto"/>
                <w:kern w:val="0"/>
                <w:sz w:val="21"/>
                <w:szCs w:val="21"/>
                <w:highlight w:val="none"/>
                <w:lang w:val="en-US" w:eastAsia="zh-CN" w:bidi="ar-SA"/>
              </w:rPr>
              <w:t>2020年</w:t>
            </w:r>
          </w:p>
        </w:tc>
        <w:tc>
          <w:tcPr>
            <w:tcW w:w="677" w:type="dxa"/>
            <w:tcBorders>
              <w:tl2br w:val="nil"/>
              <w:tr2bl w:val="nil"/>
            </w:tcBorders>
            <w:shd w:val="clear" w:color="auto" w:fill="auto"/>
            <w:vAlign w:val="center"/>
          </w:tcPr>
          <w:p w14:paraId="118E64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703" w:type="dxa"/>
            <w:tcBorders>
              <w:tl2br w:val="nil"/>
              <w:tr2bl w:val="nil"/>
            </w:tcBorders>
            <w:shd w:val="clear" w:color="auto" w:fill="auto"/>
            <w:vAlign w:val="center"/>
          </w:tcPr>
          <w:p w14:paraId="6E1F8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41" w:type="dxa"/>
            <w:tcBorders>
              <w:tl2br w:val="nil"/>
              <w:tr2bl w:val="nil"/>
            </w:tcBorders>
            <w:shd w:val="clear" w:color="auto" w:fill="auto"/>
            <w:vAlign w:val="center"/>
          </w:tcPr>
          <w:p w14:paraId="5E2B79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1077" w:type="dxa"/>
            <w:tcBorders>
              <w:tl2br w:val="nil"/>
              <w:tr2bl w:val="nil"/>
            </w:tcBorders>
            <w:shd w:val="clear" w:color="auto" w:fill="auto"/>
            <w:vAlign w:val="center"/>
          </w:tcPr>
          <w:p w14:paraId="2955F5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58386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5" w:type="dxa"/>
            <w:tcBorders>
              <w:tl2br w:val="nil"/>
              <w:tr2bl w:val="nil"/>
            </w:tcBorders>
            <w:shd w:val="clear" w:color="auto" w:fill="auto"/>
            <w:vAlign w:val="center"/>
          </w:tcPr>
          <w:p w14:paraId="4FEC5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904" w:type="dxa"/>
            <w:tcBorders>
              <w:tl2br w:val="nil"/>
              <w:tr2bl w:val="nil"/>
            </w:tcBorders>
            <w:shd w:val="clear" w:color="auto" w:fill="auto"/>
            <w:vAlign w:val="center"/>
          </w:tcPr>
          <w:p w14:paraId="16FEBB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3B1402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6DCF85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748" w:type="dxa"/>
            <w:tcBorders>
              <w:tl2br w:val="nil"/>
              <w:tr2bl w:val="nil"/>
            </w:tcBorders>
            <w:shd w:val="clear" w:color="auto" w:fill="auto"/>
            <w:vAlign w:val="center"/>
          </w:tcPr>
          <w:p w14:paraId="330B86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Ⅱ类</w:t>
            </w:r>
          </w:p>
        </w:tc>
        <w:tc>
          <w:tcPr>
            <w:tcW w:w="748" w:type="dxa"/>
            <w:tcBorders>
              <w:tl2br w:val="nil"/>
              <w:tr2bl w:val="nil"/>
            </w:tcBorders>
            <w:shd w:val="clear" w:color="auto" w:fill="auto"/>
            <w:vAlign w:val="center"/>
          </w:tcPr>
          <w:p w14:paraId="2EBF9E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c>
          <w:tcPr>
            <w:tcW w:w="1015" w:type="dxa"/>
            <w:tcBorders>
              <w:tl2br w:val="nil"/>
              <w:tr2bl w:val="nil"/>
            </w:tcBorders>
            <w:shd w:val="clear" w:color="auto" w:fill="auto"/>
            <w:vAlign w:val="center"/>
          </w:tcPr>
          <w:p w14:paraId="124269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Ⅰ类</w:t>
            </w:r>
          </w:p>
        </w:tc>
      </w:tr>
    </w:tbl>
    <w:p w14:paraId="4EDA050C">
      <w:pPr>
        <w:pStyle w:val="5"/>
        <w:keepNext w:val="0"/>
        <w:keepLines w:val="0"/>
        <w:pageBreakBefore w:val="0"/>
        <w:widowControl w:val="0"/>
        <w:kinsoku/>
        <w:wordWrap/>
        <w:overflowPunct/>
        <w:topLinePunct w:val="0"/>
        <w:autoSpaceDE/>
        <w:autoSpaceDN/>
        <w:bidi w:val="0"/>
        <w:adjustRightInd/>
        <w:snapToGrid/>
        <w:spacing w:before="161" w:beforeLines="50"/>
        <w:ind w:left="0" w:leftChars="0" w:firstLine="0" w:firstLineChars="0"/>
        <w:textAlignment w:val="baseline"/>
        <w:rPr>
          <w:rFonts w:hint="default"/>
          <w:color w:val="auto"/>
          <w:highlight w:val="yellow"/>
          <w:lang w:val="en-US" w:eastAsia="zh-CN"/>
        </w:rPr>
      </w:pPr>
    </w:p>
    <w:p w14:paraId="3A544B31">
      <w:pPr>
        <w:pStyle w:val="8"/>
        <w:bidi w:val="0"/>
        <w:ind w:left="0" w:leftChars="0" w:firstLine="0" w:firstLineChars="0"/>
        <w:rPr>
          <w:rFonts w:hint="default"/>
          <w:color w:val="auto"/>
          <w:highlight w:val="none"/>
          <w:lang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14:paraId="1CF32C05">
      <w:pPr>
        <w:pStyle w:val="8"/>
        <w:bidi w:val="0"/>
        <w:ind w:left="0" w:leftChars="0" w:firstLine="0" w:firstLineChars="0"/>
        <w:rPr>
          <w:rFonts w:hint="default"/>
          <w:color w:val="auto"/>
          <w:highlight w:val="none"/>
        </w:rPr>
      </w:pPr>
      <w:r>
        <w:rPr>
          <w:rFonts w:hint="eastAsia"/>
          <w:color w:val="auto"/>
          <w:highlight w:val="none"/>
          <w:lang w:val="en-US" w:eastAsia="zh-CN"/>
        </w:rPr>
        <w:t>河流水功能区水质达标情况</w:t>
      </w:r>
    </w:p>
    <w:p w14:paraId="64F9812B">
      <w:pPr>
        <w:pStyle w:val="5"/>
        <w:widowControl w:val="0"/>
        <w:wordWrap/>
        <w:adjustRightInd/>
        <w:snapToGrid/>
        <w:spacing w:line="440" w:lineRule="exact"/>
        <w:ind w:left="0" w:leftChars="0" w:right="0" w:firstLine="484" w:firstLineChars="200"/>
        <w:jc w:val="both"/>
        <w:textAlignment w:val="baseline"/>
        <w:outlineLvl w:val="9"/>
        <w:rPr>
          <w:rFonts w:hint="default" w:ascii="Times New Roman" w:hAnsi="Times New Roman" w:cs="Times New Roman"/>
          <w:color w:val="auto"/>
          <w:highlight w:val="none"/>
        </w:rPr>
      </w:pPr>
      <w:r>
        <w:rPr>
          <w:rFonts w:hint="eastAsia"/>
          <w:color w:val="auto"/>
          <w:highlight w:val="none"/>
          <w:lang w:val="en-US" w:eastAsia="zh-CN"/>
        </w:rPr>
        <w:t>梅江镇石耶镇暂未划分水功能区</w:t>
      </w:r>
      <w:r>
        <w:rPr>
          <w:rFonts w:hint="default" w:ascii="Times New Roman" w:hAnsi="Times New Roman" w:cs="Times New Roman"/>
          <w:color w:val="auto"/>
          <w:highlight w:val="none"/>
        </w:rPr>
        <w:t>。</w:t>
      </w:r>
    </w:p>
    <w:p w14:paraId="0ACE3048">
      <w:pPr>
        <w:pStyle w:val="8"/>
        <w:bidi w:val="0"/>
        <w:ind w:left="0" w:leftChars="0" w:firstLine="0" w:firstLineChars="0"/>
        <w:rPr>
          <w:rFonts w:hint="default"/>
          <w:color w:val="auto"/>
          <w:highlight w:val="none"/>
        </w:rPr>
      </w:pPr>
      <w:r>
        <w:rPr>
          <w:rFonts w:hint="eastAsia"/>
          <w:color w:val="auto"/>
          <w:highlight w:val="none"/>
          <w:lang w:val="en-US" w:eastAsia="zh-CN"/>
        </w:rPr>
        <w:t>水源地水质达标情况</w:t>
      </w:r>
    </w:p>
    <w:p w14:paraId="129B9993">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目前，石耶镇暂无集中式饮用水源地。</w:t>
      </w:r>
    </w:p>
    <w:p w14:paraId="186875D0">
      <w:pPr>
        <w:pStyle w:val="8"/>
        <w:bidi w:val="0"/>
        <w:ind w:left="0" w:leftChars="0" w:firstLine="0" w:firstLineChars="0"/>
        <w:rPr>
          <w:rFonts w:hint="default"/>
          <w:color w:val="auto"/>
          <w:highlight w:val="none"/>
        </w:rPr>
      </w:pPr>
      <w:r>
        <w:rPr>
          <w:rFonts w:hint="eastAsia"/>
          <w:color w:val="auto"/>
          <w:highlight w:val="none"/>
          <w:lang w:val="en-US" w:eastAsia="zh-CN"/>
        </w:rPr>
        <w:t>黑臭水、劣质水体分布情况</w:t>
      </w:r>
    </w:p>
    <w:p w14:paraId="0984F687">
      <w:pPr>
        <w:pStyle w:val="5"/>
        <w:widowControl w:val="0"/>
        <w:wordWrap/>
        <w:adjustRightInd/>
        <w:snapToGrid/>
        <w:spacing w:line="440" w:lineRule="exact"/>
        <w:ind w:left="0" w:leftChars="0" w:right="0" w:firstLine="484" w:firstLineChars="200"/>
        <w:jc w:val="both"/>
        <w:textAlignment w:val="baseline"/>
        <w:outlineLvl w:val="9"/>
        <w:rPr>
          <w:rFonts w:hint="eastAsia"/>
          <w:color w:val="auto"/>
          <w:highlight w:val="none"/>
          <w:lang w:val="en-US" w:eastAsia="zh-CN"/>
        </w:rPr>
      </w:pPr>
      <w:r>
        <w:rPr>
          <w:rFonts w:hint="eastAsia"/>
          <w:color w:val="auto"/>
          <w:highlight w:val="none"/>
          <w:lang w:val="en-US" w:eastAsia="zh-CN"/>
        </w:rPr>
        <w:t>根据梅江河流域石耶镇段各水质监测断面的资料和现场踏勘，未发现石耶镇存在黑臭水体、劣质水体。</w:t>
      </w:r>
    </w:p>
    <w:p w14:paraId="71F8BC62">
      <w:pPr>
        <w:pStyle w:val="8"/>
        <w:bidi w:val="0"/>
        <w:ind w:left="0" w:leftChars="0" w:firstLine="0" w:firstLineChars="0"/>
        <w:rPr>
          <w:rFonts w:hint="default"/>
          <w:color w:val="auto"/>
          <w:highlight w:val="none"/>
        </w:rPr>
      </w:pPr>
      <w:r>
        <w:rPr>
          <w:rFonts w:hint="eastAsia"/>
          <w:color w:val="auto"/>
          <w:highlight w:val="none"/>
          <w:lang w:val="en-US" w:eastAsia="zh-CN"/>
        </w:rPr>
        <w:t>河道漂浮物情况</w:t>
      </w:r>
    </w:p>
    <w:p w14:paraId="7038AFE8">
      <w:pPr>
        <w:pStyle w:val="5"/>
        <w:widowControl w:val="0"/>
        <w:wordWrap/>
        <w:adjustRightInd/>
        <w:snapToGrid/>
        <w:spacing w:line="440" w:lineRule="exact"/>
        <w:ind w:left="0" w:leftChars="0" w:right="0" w:firstLine="484" w:firstLineChars="200"/>
        <w:jc w:val="both"/>
        <w:textAlignment w:val="baseline"/>
        <w:outlineLvl w:val="9"/>
        <w:rPr>
          <w:rFonts w:hint="default"/>
          <w:color w:val="auto"/>
          <w:highlight w:val="none"/>
          <w:lang w:val="en-US" w:eastAsia="zh-CN"/>
        </w:rPr>
      </w:pPr>
      <w:r>
        <w:rPr>
          <w:rFonts w:hint="eastAsia"/>
          <w:color w:val="auto"/>
          <w:highlight w:val="none"/>
          <w:lang w:val="en-US" w:eastAsia="zh-CN"/>
        </w:rPr>
        <w:t>通过现场踏勘，石耶镇河道漂浮物清理较为及时，没有沿岸垃圾堆放问题。</w:t>
      </w:r>
    </w:p>
    <w:p w14:paraId="7246014D">
      <w:pPr>
        <w:pStyle w:val="7"/>
        <w:bidi w:val="0"/>
        <w:ind w:left="0" w:leftChars="0" w:firstLine="0" w:firstLineChars="0"/>
        <w:rPr>
          <w:color w:val="auto"/>
          <w:highlight w:val="none"/>
        </w:rPr>
      </w:pPr>
      <w:bookmarkStart w:id="44" w:name="_Toc32084"/>
      <w:r>
        <w:rPr>
          <w:rFonts w:hint="eastAsia"/>
          <w:color w:val="auto"/>
          <w:highlight w:val="none"/>
        </w:rPr>
        <w:t>水生态现状</w:t>
      </w:r>
      <w:bookmarkEnd w:id="44"/>
    </w:p>
    <w:p w14:paraId="7119505A">
      <w:pPr>
        <w:pStyle w:val="8"/>
        <w:bidi w:val="0"/>
        <w:ind w:left="0" w:leftChars="0" w:firstLine="0" w:firstLineChars="0"/>
        <w:rPr>
          <w:rFonts w:hint="eastAsia"/>
          <w:color w:val="auto"/>
          <w:highlight w:val="none"/>
        </w:rPr>
      </w:pPr>
      <w:r>
        <w:rPr>
          <w:rFonts w:hint="eastAsia"/>
          <w:color w:val="auto"/>
          <w:highlight w:val="none"/>
          <w:lang w:val="en-US" w:eastAsia="zh-CN"/>
        </w:rPr>
        <w:t>生态流量保障情</w:t>
      </w:r>
      <w:r>
        <w:rPr>
          <w:rFonts w:hint="eastAsia"/>
          <w:color w:val="auto"/>
          <w:highlight w:val="none"/>
        </w:rPr>
        <w:t>况</w:t>
      </w:r>
    </w:p>
    <w:p w14:paraId="19660089">
      <w:pPr>
        <w:pStyle w:val="5"/>
        <w:ind w:firstLine="480"/>
        <w:rPr>
          <w:rFonts w:hint="eastAsia"/>
          <w:color w:val="auto"/>
          <w:highlight w:val="none"/>
          <w:lang w:eastAsia="zh-CN"/>
        </w:rPr>
      </w:pPr>
      <w:r>
        <w:rPr>
          <w:rFonts w:hint="eastAsia"/>
          <w:color w:val="auto"/>
          <w:highlight w:val="none"/>
          <w:lang w:val="en-US" w:eastAsia="zh-CN"/>
        </w:rPr>
        <w:t>生态基流是下游生态所依赖的上游河流水文基本流量，是维持河流生态系统运转的基本流量</w:t>
      </w:r>
      <w:r>
        <w:rPr>
          <w:rFonts w:hint="eastAsia"/>
          <w:color w:val="auto"/>
          <w:highlight w:val="none"/>
          <w:lang w:eastAsia="zh-CN"/>
        </w:rPr>
        <w:t>。</w:t>
      </w:r>
      <w:r>
        <w:rPr>
          <w:rFonts w:hint="eastAsia"/>
          <w:color w:val="auto"/>
          <w:highlight w:val="none"/>
          <w:lang w:val="en-US" w:eastAsia="zh-CN"/>
        </w:rPr>
        <w:t>根据现场调查，石耶镇辖区内各河流</w:t>
      </w:r>
      <w:r>
        <w:rPr>
          <w:rFonts w:hint="eastAsia"/>
          <w:color w:val="auto"/>
          <w:highlight w:val="none"/>
          <w:lang w:eastAsia="zh-CN"/>
        </w:rPr>
        <w:t>河道生态基流稳定，河道沿线护岸景观绿化植物水平较好。</w:t>
      </w:r>
    </w:p>
    <w:p w14:paraId="370D5ABE">
      <w:pPr>
        <w:pStyle w:val="8"/>
        <w:bidi w:val="0"/>
        <w:ind w:left="0" w:leftChars="0" w:firstLine="0" w:firstLineChars="0"/>
        <w:rPr>
          <w:rFonts w:hint="eastAsia"/>
          <w:color w:val="auto"/>
          <w:highlight w:val="none"/>
        </w:rPr>
      </w:pPr>
      <w:r>
        <w:rPr>
          <w:rFonts w:hint="eastAsia"/>
          <w:color w:val="auto"/>
          <w:highlight w:val="none"/>
          <w:lang w:val="en-US" w:eastAsia="zh-CN"/>
        </w:rPr>
        <w:t>河流水体连通性现状</w:t>
      </w:r>
    </w:p>
    <w:p w14:paraId="0DA09544">
      <w:pPr>
        <w:pStyle w:val="5"/>
        <w:bidi w:val="0"/>
        <w:rPr>
          <w:rFonts w:hint="eastAsia"/>
          <w:lang w:val="en-US" w:eastAsia="zh-CN"/>
        </w:rPr>
      </w:pPr>
      <w:r>
        <w:rPr>
          <w:rFonts w:hint="eastAsia"/>
          <w:lang w:val="en-US" w:eastAsia="zh-CN"/>
        </w:rPr>
        <w:t>河库水体连通性关系到水生态的健康循环，良好的水体流动可以强化水体的净化功能。</w:t>
      </w:r>
    </w:p>
    <w:p w14:paraId="1DA6AAC8">
      <w:pPr>
        <w:pStyle w:val="5"/>
        <w:bidi w:val="0"/>
        <w:rPr>
          <w:rFonts w:hint="eastAsia"/>
          <w:lang w:val="en-US" w:eastAsia="zh-CN"/>
        </w:rPr>
      </w:pPr>
      <w:r>
        <w:rPr>
          <w:rFonts w:hint="eastAsia"/>
          <w:lang w:val="en-US" w:eastAsia="zh-CN"/>
        </w:rPr>
        <w:t>根据现场踏勘，石耶镇拦河建筑物较多。拦河建筑物作用均为拦河壅水，各拦河堰下游段水量较小。石耶镇水系较发达，各个支流常年有流量汇入梅江河干流内，使其形成了较好的水体连通性。</w:t>
      </w:r>
    </w:p>
    <w:p w14:paraId="01FF3B89">
      <w:pPr>
        <w:pStyle w:val="8"/>
        <w:bidi w:val="0"/>
        <w:ind w:left="0" w:leftChars="0" w:firstLine="0" w:firstLineChars="0"/>
        <w:rPr>
          <w:rFonts w:hint="eastAsia"/>
          <w:color w:val="auto"/>
          <w:highlight w:val="none"/>
        </w:rPr>
      </w:pPr>
      <w:r>
        <w:rPr>
          <w:rFonts w:hint="eastAsia"/>
          <w:color w:val="auto"/>
          <w:highlight w:val="none"/>
          <w:lang w:val="en-US" w:eastAsia="zh-CN"/>
        </w:rPr>
        <w:t>生态保护情况</w:t>
      </w:r>
    </w:p>
    <w:p w14:paraId="396F9DB2">
      <w:pPr>
        <w:pStyle w:val="27"/>
        <w:bidi w:val="0"/>
        <w:rPr>
          <w:rFonts w:hint="eastAsia"/>
          <w:color w:val="auto"/>
          <w:highlight w:val="none"/>
          <w:lang w:val="en-US" w:eastAsia="zh-CN"/>
        </w:rPr>
      </w:pPr>
      <w:r>
        <w:rPr>
          <w:rFonts w:hint="eastAsia"/>
          <w:color w:val="auto"/>
          <w:highlight w:val="none"/>
          <w:lang w:val="en-US" w:eastAsia="zh-CN"/>
        </w:rPr>
        <w:t>（1）河库水生生物多样性情况</w:t>
      </w:r>
    </w:p>
    <w:p w14:paraId="7820EC22">
      <w:pPr>
        <w:pStyle w:val="5"/>
        <w:bidi w:val="0"/>
        <w:rPr>
          <w:rFonts w:hint="eastAsia"/>
          <w:lang w:val="en-US" w:eastAsia="zh-CN"/>
        </w:rPr>
      </w:pPr>
      <w:r>
        <w:rPr>
          <w:rFonts w:hint="eastAsia"/>
          <w:lang w:val="en-US" w:eastAsia="zh-CN"/>
        </w:rPr>
        <w:t>石耶镇各河流两岸河道滨岸空间分布有乔灌木、地被以及水生植物（芦苇等），河床底质以砾石为主，水生动物群落主要为鱼类、螺类。目前尚未发现有国家和重庆市重点保护水生种类。</w:t>
      </w:r>
    </w:p>
    <w:p w14:paraId="6D158CDF">
      <w:pPr>
        <w:pStyle w:val="27"/>
        <w:bidi w:val="0"/>
        <w:rPr>
          <w:rFonts w:hint="eastAsia"/>
          <w:color w:val="auto"/>
          <w:highlight w:val="none"/>
          <w:lang w:val="en-US" w:eastAsia="zh-CN"/>
        </w:rPr>
      </w:pPr>
      <w:r>
        <w:rPr>
          <w:rFonts w:hint="eastAsia"/>
          <w:color w:val="auto"/>
          <w:highlight w:val="none"/>
          <w:lang w:val="en-US" w:eastAsia="zh-CN"/>
        </w:rPr>
        <w:t>（2）重要生态区域</w:t>
      </w:r>
    </w:p>
    <w:p w14:paraId="5E6FABC9">
      <w:pPr>
        <w:pStyle w:val="5"/>
        <w:bidi w:val="0"/>
        <w:rPr>
          <w:rFonts w:hint="eastAsia"/>
          <w:lang w:val="en-US" w:eastAsia="zh-CN"/>
        </w:rPr>
      </w:pPr>
      <w:r>
        <w:rPr>
          <w:rFonts w:hint="eastAsia"/>
          <w:color w:val="auto"/>
          <w:highlight w:val="none"/>
          <w:lang w:val="en-US" w:eastAsia="zh-CN"/>
        </w:rPr>
        <w:t>石耶镇不涉及自然保护区及生态敏感区</w:t>
      </w:r>
    </w:p>
    <w:p w14:paraId="38147C91">
      <w:pPr>
        <w:pStyle w:val="8"/>
        <w:bidi w:val="0"/>
        <w:ind w:left="0" w:leftChars="0" w:firstLine="0" w:firstLineChars="0"/>
        <w:rPr>
          <w:rFonts w:hint="eastAsia"/>
          <w:color w:val="auto"/>
          <w:highlight w:val="none"/>
        </w:rPr>
      </w:pPr>
      <w:r>
        <w:rPr>
          <w:rFonts w:hint="eastAsia"/>
          <w:color w:val="auto"/>
          <w:highlight w:val="none"/>
          <w:lang w:val="en-US" w:eastAsia="zh-CN"/>
        </w:rPr>
        <w:t>水土流失情况</w:t>
      </w:r>
    </w:p>
    <w:p w14:paraId="6DC84E98">
      <w:pPr>
        <w:pStyle w:val="5"/>
        <w:bidi w:val="0"/>
        <w:rPr>
          <w:rFonts w:hint="eastAsia"/>
          <w:lang w:val="en-US" w:eastAsia="zh-CN"/>
        </w:rPr>
      </w:pPr>
      <w:r>
        <w:rPr>
          <w:rFonts w:hint="eastAsia"/>
          <w:lang w:val="en-US" w:eastAsia="zh-CN"/>
        </w:rPr>
        <w:t>根据《重庆市秀山土家族苗族自治县水土保持规划（2018-2030年）》，秀山县划分为北部低山丘陵保土生态维护区、西部中山丘陵水源</w:t>
      </w:r>
      <w:r>
        <w:rPr>
          <w:rFonts w:hint="eastAsia"/>
          <w:color w:val="auto"/>
          <w:lang w:val="en-US" w:eastAsia="zh-CN"/>
        </w:rPr>
        <w:t>涵养保土区</w:t>
      </w:r>
      <w:r>
        <w:rPr>
          <w:rFonts w:hint="eastAsia"/>
          <w:lang w:val="en-US" w:eastAsia="zh-CN"/>
        </w:rPr>
        <w:t>、中部平行谷岭人居环境维护区、东部低山丘陵保水保土区、南部太阳山区水源涵养保土区5个分区。</w:t>
      </w:r>
    </w:p>
    <w:p w14:paraId="0166F512">
      <w:pPr>
        <w:pStyle w:val="5"/>
        <w:bidi w:val="0"/>
        <w:rPr>
          <w:rFonts w:hint="eastAsia"/>
          <w:color w:val="FF0000"/>
          <w:lang w:val="en-US" w:eastAsia="zh-CN"/>
        </w:rPr>
      </w:pPr>
      <w:r>
        <w:rPr>
          <w:rFonts w:hint="eastAsia"/>
          <w:color w:val="auto"/>
          <w:lang w:eastAsia="zh-CN"/>
        </w:rPr>
        <w:t>石耶镇</w:t>
      </w:r>
      <w:r>
        <w:rPr>
          <w:rFonts w:hint="eastAsia"/>
          <w:lang w:val="en-US" w:eastAsia="zh-CN"/>
        </w:rPr>
        <w:t>东部低山丘陵保水保土区</w:t>
      </w:r>
      <w:r>
        <w:rPr>
          <w:rFonts w:hint="eastAsia"/>
          <w:color w:val="auto"/>
          <w:lang w:eastAsia="zh-CN"/>
        </w:rPr>
        <w:t>，</w:t>
      </w:r>
      <w:r>
        <w:rPr>
          <w:rFonts w:hint="eastAsia"/>
        </w:rPr>
        <w:t>地貌类型为</w:t>
      </w:r>
      <w:r>
        <w:rPr>
          <w:rFonts w:hint="eastAsia"/>
          <w:lang w:val="en-US" w:eastAsia="zh-CN"/>
        </w:rPr>
        <w:t>低山丘陵</w:t>
      </w:r>
      <w:r>
        <w:rPr>
          <w:rFonts w:hint="eastAsia"/>
          <w:color w:val="auto"/>
          <w:lang w:eastAsia="zh-CN"/>
        </w:rPr>
        <w:t>，</w:t>
      </w:r>
      <w:r>
        <w:rPr>
          <w:rFonts w:hint="eastAsia"/>
        </w:rPr>
        <w:t>该森林覆盖率为</w:t>
      </w:r>
      <w:r>
        <w:rPr>
          <w:rFonts w:hint="eastAsia"/>
          <w:lang w:val="en-US" w:eastAsia="zh-CN"/>
        </w:rPr>
        <w:t>52.71</w:t>
      </w:r>
      <w:r>
        <w:rPr>
          <w:rFonts w:hint="eastAsia"/>
        </w:rPr>
        <w:t>%，</w:t>
      </w:r>
      <w:r>
        <w:rPr>
          <w:rFonts w:hint="eastAsia"/>
          <w:lang w:val="en-US" w:eastAsia="zh-CN"/>
        </w:rPr>
        <w:t>主</w:t>
      </w:r>
      <w:r>
        <w:rPr>
          <w:rFonts w:hint="eastAsia"/>
        </w:rPr>
        <w:t>要以特色农牧业及林业产品为支柱产业。其中洪安古镇为禁止开发区域。</w:t>
      </w:r>
      <w:r>
        <w:rPr>
          <w:rFonts w:hint="eastAsia"/>
          <w:lang w:val="en-US" w:eastAsia="zh-CN"/>
        </w:rPr>
        <w:t>石耶镇</w:t>
      </w:r>
      <w:r>
        <w:rPr>
          <w:rFonts w:hint="eastAsia"/>
        </w:rPr>
        <w:t>土地总面积</w:t>
      </w:r>
      <w:r>
        <w:rPr>
          <w:rFonts w:hint="eastAsia"/>
          <w:lang w:val="en-US" w:eastAsia="zh-CN"/>
        </w:rPr>
        <w:t>37.27</w:t>
      </w:r>
      <w:r>
        <w:rPr>
          <w:rFonts w:hint="eastAsia"/>
        </w:rPr>
        <w:t>km</w:t>
      </w:r>
      <w:r>
        <w:rPr>
          <w:rFonts w:hint="eastAsia"/>
          <w:vertAlign w:val="superscript"/>
        </w:rPr>
        <w:t>2</w:t>
      </w:r>
      <w:r>
        <w:rPr>
          <w:rFonts w:hint="eastAsia"/>
          <w:lang w:eastAsia="zh-CN"/>
        </w:rPr>
        <w:t>，</w:t>
      </w:r>
      <w:r>
        <w:rPr>
          <w:rFonts w:hint="eastAsia"/>
        </w:rPr>
        <w:t>水土流失面积</w:t>
      </w:r>
      <w:r>
        <w:rPr>
          <w:rFonts w:hint="eastAsia" w:cs="Times New Roman"/>
          <w:b w:val="0"/>
          <w:bCs/>
          <w:color w:val="auto"/>
          <w:sz w:val="24"/>
          <w:szCs w:val="24"/>
          <w:lang w:val="en-US" w:eastAsia="zh-CN"/>
        </w:rPr>
        <w:t>15.44</w:t>
      </w:r>
      <w:r>
        <w:rPr>
          <w:rFonts w:hint="eastAsia"/>
        </w:rPr>
        <w:t>km</w:t>
      </w:r>
      <w:r>
        <w:rPr>
          <w:rFonts w:hint="eastAsia"/>
          <w:vertAlign w:val="superscript"/>
        </w:rPr>
        <w:t>2</w:t>
      </w:r>
      <w:r>
        <w:rPr>
          <w:rFonts w:hint="eastAsia"/>
        </w:rPr>
        <w:t>，水土流失面积比</w:t>
      </w:r>
      <w:r>
        <w:rPr>
          <w:rFonts w:hint="eastAsia"/>
          <w:lang w:val="en-US" w:eastAsia="zh-CN"/>
        </w:rPr>
        <w:t>41.43</w:t>
      </w:r>
      <w:r>
        <w:rPr>
          <w:rFonts w:hint="eastAsia"/>
        </w:rPr>
        <w:t>%，</w:t>
      </w:r>
      <w:r>
        <w:rPr>
          <w:rFonts w:hint="eastAsia"/>
          <w:color w:val="auto"/>
        </w:rPr>
        <w:t>其中中度及以上水土流失面积占水土流失总面积的</w:t>
      </w:r>
      <w:r>
        <w:rPr>
          <w:rFonts w:hint="eastAsia"/>
          <w:color w:val="auto"/>
          <w:lang w:val="en-US" w:eastAsia="zh-CN"/>
        </w:rPr>
        <w:t>53.59</w:t>
      </w:r>
      <w:r>
        <w:rPr>
          <w:rFonts w:hint="eastAsia"/>
          <w:color w:val="auto"/>
        </w:rPr>
        <w:t>%</w:t>
      </w:r>
      <w:r>
        <w:rPr>
          <w:rFonts w:hint="eastAsia"/>
          <w:color w:val="auto"/>
          <w:lang w:eastAsia="zh-CN"/>
        </w:rPr>
        <w:t>。</w:t>
      </w:r>
    </w:p>
    <w:p w14:paraId="2C9DEB93">
      <w:pPr>
        <w:pStyle w:val="5"/>
        <w:bidi w:val="0"/>
        <w:rPr>
          <w:rFonts w:hint="eastAsia"/>
          <w:lang w:val="en-US" w:eastAsia="zh-CN"/>
        </w:rPr>
      </w:pPr>
      <w:r>
        <w:rPr>
          <w:rFonts w:hint="eastAsia"/>
          <w:lang w:val="en-US" w:eastAsia="zh-CN"/>
        </w:rPr>
        <w:t>通过近几年来不懈的水土流失综合治理，水土流失面积得以减少。人为活动产生新的水土流失得到初步遏制，新增水土流失面积明显减少。土壤侵蚀强度显著降低，人居环境和生产生活条件改善，林草植被覆盖度逐步增加，生态环境明显趋好，蓄水保土能力不断提高，水源涵养能力日益增强。但是仍然存在部分水土流失现象，水土流失综合治理仍需努力。</w:t>
      </w:r>
    </w:p>
    <w:p w14:paraId="782DA4E2">
      <w:pPr>
        <w:pStyle w:val="7"/>
        <w:bidi w:val="0"/>
        <w:ind w:left="0" w:leftChars="0" w:firstLine="0" w:firstLineChars="0"/>
        <w:rPr>
          <w:color w:val="auto"/>
          <w:highlight w:val="none"/>
        </w:rPr>
      </w:pPr>
      <w:r>
        <w:rPr>
          <w:rFonts w:hint="eastAsia"/>
          <w:color w:val="auto"/>
          <w:highlight w:val="none"/>
          <w:lang w:val="en-US" w:eastAsia="zh-CN"/>
        </w:rPr>
        <w:t>执法监管</w:t>
      </w:r>
      <w:r>
        <w:rPr>
          <w:rFonts w:hint="eastAsia"/>
          <w:color w:val="auto"/>
          <w:highlight w:val="none"/>
        </w:rPr>
        <w:t>现状</w:t>
      </w:r>
    </w:p>
    <w:p w14:paraId="1F79E412">
      <w:pPr>
        <w:pStyle w:val="5"/>
        <w:bidi w:val="0"/>
        <w:rPr>
          <w:rFonts w:hint="eastAsia"/>
          <w:lang w:val="en-US" w:eastAsia="zh-CN"/>
        </w:rPr>
      </w:pPr>
      <w:r>
        <w:rPr>
          <w:rFonts w:hint="eastAsia"/>
          <w:lang w:val="en-US" w:eastAsia="zh-CN"/>
        </w:rPr>
        <w:t>为了更好地规范和推进河长制工作，在今后的工作中做到有章可循，按章办事，秀山县河长办公室印发了《秀山县河长巡查制度》等7 个文件，对巡查人员、巡查范围、巡查内容、巡查频率、巡查处置、巡查记录做了明确的要求，严格按照巡查制度规范化、常态化巡河。</w:t>
      </w:r>
    </w:p>
    <w:p w14:paraId="035CDA74">
      <w:pPr>
        <w:pStyle w:val="5"/>
        <w:bidi w:val="0"/>
        <w:rPr>
          <w:rFonts w:hint="eastAsia"/>
          <w:lang w:val="en-US" w:eastAsia="zh-CN"/>
        </w:rPr>
      </w:pPr>
      <w:r>
        <w:rPr>
          <w:rFonts w:hint="eastAsia"/>
          <w:lang w:val="en-US" w:eastAsia="zh-CN"/>
        </w:rPr>
        <w:t>石耶镇各河长按照《秀山县全面推行河长制河长巡查制度》“乡镇级河长巡查频次不少于一月两次，村（社区）级河长巡查频次不少于一周一次”开展巡河。严格落实职责，做到了定时收集河长制相关资料并报送到县河长办，配合县级河长定期检查等工作。</w:t>
      </w:r>
    </w:p>
    <w:p w14:paraId="05B58B20">
      <w:pPr>
        <w:pStyle w:val="6"/>
        <w:bidi w:val="0"/>
        <w:ind w:left="0" w:leftChars="0" w:firstLine="0" w:firstLineChars="0"/>
        <w:rPr>
          <w:rFonts w:hint="eastAsia"/>
          <w:color w:val="auto"/>
          <w:highlight w:val="none"/>
        </w:rPr>
      </w:pPr>
      <w:bookmarkStart w:id="45" w:name="_Toc834"/>
      <w:bookmarkStart w:id="46" w:name="_Toc12971"/>
      <w:r>
        <w:rPr>
          <w:rFonts w:hint="eastAsia"/>
          <w:color w:val="auto"/>
          <w:highlight w:val="none"/>
        </w:rPr>
        <w:t>存在问题分析</w:t>
      </w:r>
      <w:bookmarkEnd w:id="45"/>
      <w:bookmarkEnd w:id="46"/>
    </w:p>
    <w:p w14:paraId="6462A1A4">
      <w:pPr>
        <w:pStyle w:val="7"/>
        <w:bidi w:val="0"/>
        <w:ind w:left="0" w:leftChars="0" w:firstLine="0" w:firstLineChars="0"/>
        <w:rPr>
          <w:rFonts w:hint="eastAsia"/>
          <w:color w:val="auto"/>
          <w:highlight w:val="none"/>
        </w:rPr>
      </w:pPr>
      <w:bookmarkStart w:id="47" w:name="_Toc8952"/>
      <w:bookmarkStart w:id="48" w:name="_Toc3100"/>
      <w:r>
        <w:rPr>
          <w:rFonts w:hint="eastAsia"/>
          <w:color w:val="auto"/>
          <w:highlight w:val="none"/>
        </w:rPr>
        <w:t>水资源保护问题</w:t>
      </w:r>
      <w:bookmarkEnd w:id="47"/>
      <w:bookmarkEnd w:id="48"/>
    </w:p>
    <w:p w14:paraId="224A393C">
      <w:pPr>
        <w:pStyle w:val="27"/>
        <w:bidi w:val="0"/>
        <w:rPr>
          <w:rFonts w:hint="eastAsia"/>
          <w:color w:val="auto"/>
          <w:highlight w:val="none"/>
          <w:lang w:val="en-US" w:eastAsia="zh-CN"/>
        </w:rPr>
      </w:pPr>
      <w:r>
        <w:rPr>
          <w:rFonts w:hint="eastAsia"/>
          <w:color w:val="auto"/>
          <w:highlight w:val="none"/>
          <w:lang w:val="en-US" w:eastAsia="zh-CN"/>
        </w:rPr>
        <w:t>（1）节水用水效率需进一步提升</w:t>
      </w:r>
    </w:p>
    <w:p w14:paraId="6897F45B">
      <w:pPr>
        <w:pStyle w:val="5"/>
        <w:bidi w:val="0"/>
        <w:rPr>
          <w:rFonts w:hint="eastAsia"/>
          <w:lang w:val="en-US" w:eastAsia="zh-CN"/>
        </w:rPr>
      </w:pPr>
      <w:r>
        <w:rPr>
          <w:rFonts w:hint="eastAsia"/>
          <w:lang w:val="en-US" w:eastAsia="zh-CN"/>
        </w:rPr>
        <w:t>秀山县石耶镇通过严格用水管理，推广节水技术，各行业用水均处于较高水平，但人均综合用水量、工业用水重复利用率、农田灌溉水有效利用系数等指标也有进一步提升空间，用水效率仍有较大的提升空间，需要进一步加强节水型社会建设，提高用水效率和效益。</w:t>
      </w:r>
    </w:p>
    <w:p w14:paraId="3ECA6910">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）饮用水水源地保护</w:t>
      </w:r>
      <w:r>
        <w:rPr>
          <w:rFonts w:hint="eastAsia"/>
          <w:color w:val="auto"/>
          <w:highlight w:val="none"/>
          <w:lang w:val="en-US" w:eastAsia="zh-CN"/>
        </w:rPr>
        <w:t>需</w:t>
      </w:r>
      <w:r>
        <w:rPr>
          <w:rFonts w:hint="default"/>
          <w:color w:val="auto"/>
          <w:highlight w:val="none"/>
          <w:lang w:val="en-US" w:eastAsia="zh-CN"/>
        </w:rPr>
        <w:t>持续加强</w:t>
      </w:r>
    </w:p>
    <w:p w14:paraId="5A6BB944">
      <w:pPr>
        <w:pStyle w:val="5"/>
        <w:bidi w:val="0"/>
        <w:rPr>
          <w:rFonts w:hint="eastAsia"/>
          <w:color w:val="auto"/>
          <w:highlight w:val="none"/>
          <w:lang w:val="en-US" w:eastAsia="zh-CN"/>
        </w:rPr>
      </w:pPr>
      <w:r>
        <w:rPr>
          <w:rFonts w:hint="eastAsia"/>
          <w:color w:val="auto"/>
          <w:highlight w:val="none"/>
          <w:lang w:val="en-US" w:eastAsia="zh-CN"/>
        </w:rPr>
        <w:t>①部分饮用水源地存在围栏毁坏及保护区内种植行为。尤其是种植行为不可避免的有使用农药化肥的情况，对饮用水源的保护提出了难题</w:t>
      </w:r>
    </w:p>
    <w:p w14:paraId="3A4A4527">
      <w:pPr>
        <w:pStyle w:val="5"/>
        <w:bidi w:val="0"/>
        <w:rPr>
          <w:rFonts w:hint="eastAsia"/>
          <w:color w:val="auto"/>
          <w:highlight w:val="none"/>
          <w:lang w:val="en-US" w:eastAsia="zh-CN"/>
        </w:rPr>
      </w:pPr>
      <w:r>
        <w:rPr>
          <w:rFonts w:hint="eastAsia"/>
          <w:lang w:val="en-US" w:eastAsia="zh-CN"/>
        </w:rPr>
        <w:t>②水库型</w:t>
      </w:r>
      <w:r>
        <w:rPr>
          <w:rFonts w:hint="eastAsia"/>
          <w:lang w:eastAsia="zh-CN"/>
        </w:rPr>
        <w:t>饮用水源地</w:t>
      </w:r>
      <w:r>
        <w:rPr>
          <w:rFonts w:hint="eastAsia"/>
        </w:rPr>
        <w:t>库区周边存在坡耕地，</w:t>
      </w:r>
      <w:r>
        <w:rPr>
          <w:rFonts w:hint="eastAsia"/>
          <w:lang w:eastAsia="zh-CN"/>
        </w:rPr>
        <w:t>且</w:t>
      </w:r>
      <w:r>
        <w:rPr>
          <w:rFonts w:hint="eastAsia"/>
        </w:rPr>
        <w:t>水源涵养林数量较少，饮用水源地保护力度有待提高</w:t>
      </w:r>
      <w:r>
        <w:rPr>
          <w:rFonts w:hint="eastAsia"/>
          <w:lang w:val="en-US" w:eastAsia="zh-CN"/>
        </w:rPr>
        <w:t>。</w:t>
      </w:r>
    </w:p>
    <w:p w14:paraId="6268D315">
      <w:pPr>
        <w:pStyle w:val="7"/>
        <w:bidi w:val="0"/>
        <w:ind w:left="0" w:leftChars="0" w:firstLine="0" w:firstLineChars="0"/>
        <w:rPr>
          <w:rFonts w:hint="eastAsia"/>
          <w:color w:val="auto"/>
          <w:highlight w:val="none"/>
          <w:lang w:val="en-US" w:eastAsia="zh-CN"/>
        </w:rPr>
      </w:pPr>
      <w:bookmarkStart w:id="49" w:name="_Toc14433"/>
      <w:bookmarkStart w:id="50" w:name="_Toc23494"/>
      <w:r>
        <w:rPr>
          <w:rFonts w:hint="eastAsia"/>
          <w:color w:val="auto"/>
          <w:highlight w:val="none"/>
        </w:rPr>
        <w:t>水域岸线管理保护问题</w:t>
      </w:r>
      <w:bookmarkEnd w:id="49"/>
      <w:bookmarkEnd w:id="50"/>
    </w:p>
    <w:p w14:paraId="6287A63D">
      <w:pPr>
        <w:numPr>
          <w:ilvl w:val="0"/>
          <w:numId w:val="0"/>
        </w:numPr>
        <w:ind w:left="212" w:leftChars="0"/>
        <w:rPr>
          <w:rFonts w:hint="eastAsia" w:ascii="Times New Roman" w:hAnsi="Times New Roman" w:eastAsia="华文中宋" w:cs="Times New Roman"/>
          <w:b/>
          <w:color w:val="auto"/>
          <w:kern w:val="2"/>
          <w:sz w:val="24"/>
          <w:szCs w:val="20"/>
          <w:highlight w:val="none"/>
          <w:lang w:val="en-US" w:eastAsia="zh-CN" w:bidi="ar-SA"/>
        </w:rPr>
      </w:pPr>
      <w:r>
        <w:rPr>
          <w:rFonts w:hint="eastAsia" w:eastAsia="华文中宋" w:cs="Times New Roman"/>
          <w:b/>
          <w:color w:val="auto"/>
          <w:kern w:val="2"/>
          <w:sz w:val="24"/>
          <w:szCs w:val="20"/>
          <w:highlight w:val="none"/>
          <w:lang w:val="en-US" w:eastAsia="zh-CN" w:bidi="ar-SA"/>
        </w:rPr>
        <w:t>（1）桥梁</w:t>
      </w:r>
      <w:r>
        <w:rPr>
          <w:rFonts w:hint="eastAsia" w:ascii="Times New Roman" w:hAnsi="Times New Roman" w:eastAsia="华文中宋" w:cs="Times New Roman"/>
          <w:b/>
          <w:color w:val="auto"/>
          <w:kern w:val="2"/>
          <w:sz w:val="24"/>
          <w:szCs w:val="20"/>
          <w:highlight w:val="none"/>
          <w:lang w:val="en-US" w:eastAsia="zh-CN" w:bidi="ar-SA"/>
        </w:rPr>
        <w:t>被冲毁</w:t>
      </w:r>
    </w:p>
    <w:p w14:paraId="3C5365A6">
      <w:pPr>
        <w:pStyle w:val="48"/>
        <w:numPr>
          <w:ilvl w:val="0"/>
          <w:numId w:val="0"/>
        </w:numPr>
        <w:bidi w:val="0"/>
        <w:ind w:leftChars="0" w:firstLine="484" w:firstLineChars="200"/>
        <w:rPr>
          <w:rFonts w:hint="eastAsia" w:cs="Times New Roman"/>
          <w:color w:val="auto"/>
          <w:kern w:val="2"/>
          <w:sz w:val="24"/>
          <w:szCs w:val="20"/>
          <w:highlight w:val="none"/>
          <w:lang w:val="en-US" w:eastAsia="zh-CN" w:bidi="ar-SA"/>
        </w:rPr>
      </w:pPr>
      <w:r>
        <w:rPr>
          <w:rFonts w:hint="eastAsia"/>
          <w:lang w:val="en-US" w:eastAsia="zh-CN"/>
        </w:rPr>
        <w:t>中平河中平乡石耶镇交界处桥梁损毁</w:t>
      </w:r>
      <w:r>
        <w:rPr>
          <w:rFonts w:hint="eastAsia" w:cs="Times New Roman"/>
          <w:color w:val="auto"/>
          <w:kern w:val="2"/>
          <w:sz w:val="24"/>
          <w:szCs w:val="20"/>
          <w:highlight w:val="none"/>
          <w:lang w:val="en-US" w:eastAsia="zh-CN" w:bidi="ar-SA"/>
        </w:rPr>
        <w:t>。</w:t>
      </w:r>
    </w:p>
    <w:p w14:paraId="1B200518">
      <w:pPr>
        <w:pStyle w:val="48"/>
        <w:numPr>
          <w:ilvl w:val="0"/>
          <w:numId w:val="0"/>
        </w:numPr>
        <w:bidi w:val="0"/>
        <w:ind w:leftChars="0" w:firstLine="484" w:firstLineChars="200"/>
        <w:rPr>
          <w:rFonts w:hint="default" w:cs="Times New Roman"/>
          <w:color w:val="auto"/>
          <w:kern w:val="2"/>
          <w:sz w:val="24"/>
          <w:szCs w:val="20"/>
          <w:highlight w:val="none"/>
          <w:lang w:val="en-US" w:eastAsia="zh-CN" w:bidi="ar-SA"/>
        </w:rPr>
      </w:pP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8" name="图片 38" descr="IMG_20210618_14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10618_143716"/>
                    <pic:cNvPicPr>
                      <a:picLocks noChangeAspect="1"/>
                    </pic:cNvPicPr>
                  </pic:nvPicPr>
                  <pic:blipFill>
                    <a:blip r:embed="rId26"/>
                    <a:stretch>
                      <a:fillRect/>
                    </a:stretch>
                  </pic:blipFill>
                  <pic:spPr>
                    <a:xfrm>
                      <a:off x="0" y="0"/>
                      <a:ext cx="2447925" cy="1835785"/>
                    </a:xfrm>
                    <a:prstGeom prst="rect">
                      <a:avLst/>
                    </a:prstGeom>
                  </pic:spPr>
                </pic:pic>
              </a:graphicData>
            </a:graphic>
          </wp:inline>
        </w:drawing>
      </w:r>
      <w:r>
        <w:rPr>
          <w:rFonts w:hint="default" w:cs="Times New Roman"/>
          <w:color w:val="auto"/>
          <w:kern w:val="2"/>
          <w:sz w:val="24"/>
          <w:szCs w:val="20"/>
          <w:highlight w:val="none"/>
          <w:lang w:val="en-US" w:eastAsia="zh-CN" w:bidi="ar-SA"/>
        </w:rPr>
        <w:drawing>
          <wp:inline distT="0" distB="0" distL="114300" distR="114300">
            <wp:extent cx="2447925" cy="1835785"/>
            <wp:effectExtent l="0" t="0" r="9525" b="12065"/>
            <wp:docPr id="39" name="图片 39" descr="IMG_20210618_14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0618_143735"/>
                    <pic:cNvPicPr>
                      <a:picLocks noChangeAspect="1"/>
                    </pic:cNvPicPr>
                  </pic:nvPicPr>
                  <pic:blipFill>
                    <a:blip r:embed="rId27"/>
                    <a:stretch>
                      <a:fillRect/>
                    </a:stretch>
                  </pic:blipFill>
                  <pic:spPr>
                    <a:xfrm>
                      <a:off x="0" y="0"/>
                      <a:ext cx="2447925" cy="1835785"/>
                    </a:xfrm>
                    <a:prstGeom prst="rect">
                      <a:avLst/>
                    </a:prstGeom>
                  </pic:spPr>
                </pic:pic>
              </a:graphicData>
            </a:graphic>
          </wp:inline>
        </w:drawing>
      </w:r>
    </w:p>
    <w:p w14:paraId="26BD0D33">
      <w:pPr>
        <w:pStyle w:val="31"/>
        <w:bidi w:val="0"/>
        <w:rPr>
          <w:rFonts w:hint="default" w:cs="Times New Roman"/>
          <w:color w:val="auto"/>
          <w:kern w:val="2"/>
          <w:sz w:val="24"/>
          <w:szCs w:val="20"/>
          <w:highlight w:val="none"/>
          <w:lang w:val="en-US" w:eastAsia="zh-CN" w:bidi="ar-SA"/>
        </w:rPr>
      </w:pPr>
      <w:r>
        <w:rPr>
          <w:rFonts w:hint="eastAsia"/>
          <w:color w:val="auto"/>
          <w:highlight w:val="none"/>
          <w:lang w:val="en-US" w:eastAsia="zh-CN"/>
        </w:rPr>
        <w:t>图3.3-2.2中平河中平乡石耶镇交界</w:t>
      </w:r>
      <w:r>
        <w:rPr>
          <w:rFonts w:hint="eastAsia"/>
          <w:lang w:val="en-US" w:eastAsia="zh-CN"/>
        </w:rPr>
        <w:t>处</w:t>
      </w:r>
      <w:r>
        <w:rPr>
          <w:rFonts w:hint="eastAsia"/>
          <w:color w:val="auto"/>
          <w:highlight w:val="none"/>
          <w:lang w:val="en-US" w:eastAsia="zh-CN"/>
        </w:rPr>
        <w:t>桥梁摧毁照片</w:t>
      </w:r>
    </w:p>
    <w:p w14:paraId="11E11943">
      <w:pPr>
        <w:pStyle w:val="7"/>
        <w:bidi w:val="0"/>
        <w:ind w:left="0" w:leftChars="0" w:firstLine="0" w:firstLineChars="0"/>
        <w:rPr>
          <w:rFonts w:hint="eastAsia"/>
          <w:color w:val="auto"/>
          <w:highlight w:val="none"/>
        </w:rPr>
      </w:pPr>
      <w:bookmarkStart w:id="51" w:name="_Toc9278"/>
      <w:r>
        <w:rPr>
          <w:rFonts w:hint="eastAsia"/>
          <w:color w:val="auto"/>
          <w:highlight w:val="none"/>
        </w:rPr>
        <w:t>水污染问题</w:t>
      </w:r>
      <w:bookmarkEnd w:id="51"/>
    </w:p>
    <w:p w14:paraId="2421518E">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val="en-US" w:eastAsia="zh-CN"/>
        </w:rPr>
        <w:t>城镇生活污染</w:t>
      </w:r>
    </w:p>
    <w:p w14:paraId="5F784BFB">
      <w:pPr>
        <w:pStyle w:val="5"/>
        <w:bidi w:val="0"/>
        <w:rPr>
          <w:rFonts w:hint="eastAsia"/>
          <w:lang w:val="en-US" w:eastAsia="zh-CN"/>
        </w:rPr>
      </w:pPr>
      <w:r>
        <w:rPr>
          <w:rFonts w:hint="eastAsia"/>
          <w:lang w:val="en-US" w:eastAsia="zh-CN"/>
        </w:rPr>
        <w:t>石耶镇污水管网建设不够完善，未完成雨污分流，下雨天雨水进入污水管网，导致石耶镇污水处理厂运行压力增大。</w:t>
      </w:r>
    </w:p>
    <w:p w14:paraId="5AE734BA">
      <w:pPr>
        <w:pStyle w:val="27"/>
        <w:bidi w:val="0"/>
        <w:ind w:left="0" w:leftChars="0" w:firstLine="484" w:firstLineChars="200"/>
        <w:rPr>
          <w:rFonts w:hint="default"/>
          <w:color w:val="auto"/>
          <w:highlight w:val="none"/>
          <w:lang w:val="en-US" w:eastAsia="zh-CN"/>
        </w:rPr>
      </w:pPr>
      <w:r>
        <w:rPr>
          <w:rFonts w:hint="eastAsia"/>
          <w:color w:val="auto"/>
          <w:highlight w:val="none"/>
          <w:lang w:val="en-US" w:eastAsia="zh-CN"/>
        </w:rPr>
        <w:t>（2）</w:t>
      </w:r>
      <w:r>
        <w:rPr>
          <w:rFonts w:hint="default"/>
          <w:color w:val="auto"/>
          <w:highlight w:val="none"/>
          <w:lang w:val="en-US" w:eastAsia="zh-CN"/>
        </w:rPr>
        <w:t>农村生活污水、垃圾污染</w:t>
      </w:r>
    </w:p>
    <w:p w14:paraId="77946A0B">
      <w:pPr>
        <w:pStyle w:val="5"/>
        <w:bidi w:val="0"/>
        <w:rPr>
          <w:rFonts w:hint="default"/>
          <w:color w:val="auto"/>
          <w:highlight w:val="none"/>
          <w:lang w:val="en-US" w:eastAsia="zh-CN"/>
        </w:rPr>
      </w:pPr>
      <w:r>
        <w:rPr>
          <w:rFonts w:hint="eastAsia"/>
          <w:lang w:val="en-US" w:eastAsia="zh-CN"/>
        </w:rPr>
        <w:t>随着近些年的农村人居整治方案的实施，石耶镇辖区内农村环境得到大幅度提升。但</w:t>
      </w:r>
      <w:r>
        <w:rPr>
          <w:rFonts w:hint="default"/>
          <w:lang w:val="en-US" w:eastAsia="zh-CN"/>
        </w:rPr>
        <w:t>由于农村区域经济落后、基础条件差，村民环保意识不强，部分不良生活习惯短期尚存。在垃圾处置、脏乱差治理、卫生改厕等工作上，依然主要依赖政府，自身积极性不强。垃圾随处丢弃，废水任意排放，杂物随意堆放现象仍然较为突出，需要继续加强农村环境宣传，提高群众环保意识。</w:t>
      </w:r>
    </w:p>
    <w:p w14:paraId="10C5A0CC">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3</w:t>
      </w:r>
      <w:r>
        <w:rPr>
          <w:rFonts w:hint="default"/>
          <w:color w:val="auto"/>
          <w:highlight w:val="none"/>
          <w:lang w:val="en-US" w:eastAsia="zh-CN"/>
        </w:rPr>
        <w:t>）农业面源污染分散</w:t>
      </w:r>
    </w:p>
    <w:p w14:paraId="673B1CF9">
      <w:pPr>
        <w:pStyle w:val="5"/>
        <w:rPr>
          <w:color w:val="FF0000"/>
        </w:rPr>
      </w:pPr>
      <w:r>
        <w:rPr>
          <w:rFonts w:hint="eastAsia"/>
          <w:color w:val="auto"/>
          <w:highlight w:val="none"/>
          <w:lang w:val="en-US" w:eastAsia="zh-CN"/>
        </w:rPr>
        <w:t>石耶镇</w:t>
      </w:r>
      <w:r>
        <w:rPr>
          <w:rFonts w:hint="default"/>
          <w:color w:val="auto"/>
          <w:highlight w:val="none"/>
          <w:lang w:val="en-US" w:eastAsia="zh-CN"/>
        </w:rPr>
        <w:t>农业种植零星分散、点多面广、治理难度大，且农民传统使用化肥农药耕种习惯很难改变；广大农户对农药化肥减量增效的认识以及产生的经济和生态效益等方面，缺乏足够认识，难自觉的使用。且流域有大面积的坡地耕种情况，</w:t>
      </w:r>
      <w:r>
        <w:rPr>
          <w:rFonts w:hint="eastAsia"/>
          <w:color w:val="auto"/>
          <w:highlight w:val="none"/>
          <w:lang w:val="en-US" w:eastAsia="zh-CN"/>
        </w:rPr>
        <w:t>石耶镇</w:t>
      </w:r>
      <w:r>
        <w:rPr>
          <w:rFonts w:hint="default"/>
          <w:color w:val="auto"/>
          <w:highlight w:val="none"/>
          <w:lang w:val="en-US" w:eastAsia="zh-CN"/>
        </w:rPr>
        <w:t>农业面源污染产生的负荷占比较大。</w:t>
      </w:r>
    </w:p>
    <w:p w14:paraId="658F0AAC">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）畜禽养殖体量较大</w:t>
      </w:r>
    </w:p>
    <w:p w14:paraId="28A8E376">
      <w:pPr>
        <w:pStyle w:val="5"/>
        <w:bidi w:val="0"/>
        <w:rPr>
          <w:rFonts w:hint="default"/>
          <w:lang w:val="en-US" w:eastAsia="zh-CN"/>
        </w:rPr>
      </w:pPr>
      <w:r>
        <w:rPr>
          <w:rFonts w:hint="default"/>
          <w:lang w:val="en-US" w:eastAsia="zh-CN"/>
        </w:rPr>
        <w:t>经过2018-2020年的禁养区养殖场关闭搬迁与围网养殖整治，</w:t>
      </w:r>
      <w:r>
        <w:rPr>
          <w:rFonts w:hint="eastAsia"/>
          <w:lang w:val="en-US" w:eastAsia="zh-CN"/>
        </w:rPr>
        <w:t>石耶镇</w:t>
      </w:r>
      <w:r>
        <w:rPr>
          <w:rFonts w:hint="default"/>
          <w:lang w:val="en-US" w:eastAsia="zh-CN"/>
        </w:rPr>
        <w:t>禁养区内目前不存在大规模</w:t>
      </w:r>
      <w:r>
        <w:rPr>
          <w:rFonts w:hint="eastAsia"/>
          <w:lang w:val="en-US" w:eastAsia="zh-CN"/>
        </w:rPr>
        <w:t>养殖场</w:t>
      </w:r>
      <w:r>
        <w:rPr>
          <w:rFonts w:hint="default"/>
          <w:lang w:val="en-US" w:eastAsia="zh-CN"/>
        </w:rPr>
        <w:t>与大面积围网养殖。但随着近几年畜禽价格的飞涨，</w:t>
      </w:r>
      <w:r>
        <w:rPr>
          <w:rFonts w:hint="eastAsia"/>
          <w:lang w:val="en-US" w:eastAsia="zh-CN"/>
        </w:rPr>
        <w:t>石耶镇</w:t>
      </w:r>
      <w:r>
        <w:rPr>
          <w:rFonts w:hint="default"/>
          <w:lang w:val="en-US" w:eastAsia="zh-CN"/>
        </w:rPr>
        <w:t>仍有大量、不成规模（低于20头）畜禽养殖产业，对水体环境有潜在污染风险；同时部分规模化养殖场虽建有配套的污染治理与再利用设施，但存在部分业主意识不到位，没有对畜禽粪污进行资源化利用。</w:t>
      </w:r>
    </w:p>
    <w:p w14:paraId="500384D1">
      <w:pPr>
        <w:pStyle w:val="7"/>
        <w:bidi w:val="0"/>
        <w:ind w:left="0" w:leftChars="0" w:firstLine="0" w:firstLineChars="0"/>
        <w:rPr>
          <w:rFonts w:hint="eastAsia"/>
          <w:lang w:val="en-US" w:eastAsia="zh-CN"/>
        </w:rPr>
      </w:pPr>
      <w:bookmarkStart w:id="52" w:name="_Toc541"/>
      <w:bookmarkStart w:id="53" w:name="_Toc83"/>
      <w:r>
        <w:rPr>
          <w:rFonts w:hint="eastAsia"/>
          <w:color w:val="auto"/>
          <w:highlight w:val="none"/>
        </w:rPr>
        <w:t>水环境问题</w:t>
      </w:r>
      <w:bookmarkEnd w:id="52"/>
      <w:bookmarkEnd w:id="53"/>
    </w:p>
    <w:p w14:paraId="70559B75">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）部分居民水环境保护意识淡薄，倾倒垃圾入河</w:t>
      </w:r>
    </w:p>
    <w:p w14:paraId="62F097FF">
      <w:pPr>
        <w:pStyle w:val="5"/>
        <w:rPr>
          <w:rFonts w:hint="eastAsia"/>
          <w:color w:val="auto"/>
          <w:highlight w:val="none"/>
          <w:lang w:val="en-US" w:eastAsia="zh-CN"/>
        </w:rPr>
      </w:pPr>
      <w:r>
        <w:rPr>
          <w:rFonts w:hint="default"/>
          <w:color w:val="auto"/>
          <w:highlight w:val="none"/>
          <w:lang w:val="en-US" w:eastAsia="zh-CN"/>
        </w:rPr>
        <w:t>根据现场调研，</w:t>
      </w:r>
      <w:r>
        <w:rPr>
          <w:rFonts w:hint="eastAsia"/>
          <w:color w:val="auto"/>
          <w:highlight w:val="none"/>
          <w:lang w:val="en-US" w:eastAsia="zh-CN"/>
        </w:rPr>
        <w:t>石耶镇</w:t>
      </w:r>
      <w:r>
        <w:rPr>
          <w:rFonts w:hint="default"/>
          <w:color w:val="auto"/>
          <w:highlight w:val="none"/>
          <w:lang w:val="en-US" w:eastAsia="zh-CN"/>
        </w:rPr>
        <w:t>已形成定期清理河面、沿岸垃圾的常态化治理举措，但河道沿岸部分居民水环境保护意识淡薄，倾倒生活垃圾入河，影响水环境表观，水体整洁</w:t>
      </w:r>
      <w:r>
        <w:rPr>
          <w:rFonts w:hint="eastAsia"/>
          <w:color w:val="auto"/>
          <w:highlight w:val="none"/>
          <w:lang w:val="en-US" w:eastAsia="zh-CN"/>
        </w:rPr>
        <w:t>。</w:t>
      </w:r>
    </w:p>
    <w:p w14:paraId="59C51E91">
      <w:pPr>
        <w:pStyle w:val="7"/>
        <w:bidi w:val="0"/>
        <w:ind w:left="0" w:leftChars="0" w:firstLine="0" w:firstLineChars="0"/>
        <w:rPr>
          <w:rFonts w:hint="eastAsia"/>
          <w:color w:val="auto"/>
          <w:highlight w:val="none"/>
          <w:lang w:val="en-US" w:eastAsia="zh-CN"/>
        </w:rPr>
      </w:pPr>
      <w:bookmarkStart w:id="54" w:name="_Toc21212"/>
      <w:bookmarkStart w:id="55" w:name="_Toc330"/>
      <w:r>
        <w:rPr>
          <w:rFonts w:hint="eastAsia"/>
          <w:color w:val="auto"/>
          <w:highlight w:val="none"/>
          <w:lang w:val="en-US" w:eastAsia="zh-CN"/>
        </w:rPr>
        <w:t>水生态问题</w:t>
      </w:r>
      <w:bookmarkEnd w:id="54"/>
      <w:bookmarkEnd w:id="55"/>
    </w:p>
    <w:p w14:paraId="2CFF3412">
      <w:pPr>
        <w:pStyle w:val="27"/>
        <w:bidi w:val="0"/>
        <w:rPr>
          <w:rFonts w:hint="default"/>
          <w:color w:val="auto"/>
          <w:highlight w:val="none"/>
          <w:lang w:val="en-US" w:eastAsia="zh-CN"/>
        </w:rPr>
      </w:pPr>
      <w:r>
        <w:rPr>
          <w:rFonts w:hint="default"/>
          <w:color w:val="auto"/>
          <w:highlight w:val="none"/>
          <w:lang w:val="en-US" w:eastAsia="zh-CN"/>
        </w:rPr>
        <w:t>（1）生态基流需得到进一步保障</w:t>
      </w:r>
    </w:p>
    <w:p w14:paraId="40739020">
      <w:pPr>
        <w:pStyle w:val="5"/>
        <w:bidi w:val="0"/>
        <w:rPr>
          <w:rFonts w:hint="eastAsia"/>
          <w:lang w:val="en-US" w:eastAsia="zh-CN"/>
        </w:rPr>
      </w:pPr>
      <w:r>
        <w:rPr>
          <w:rFonts w:hint="eastAsia"/>
          <w:lang w:val="en-US" w:eastAsia="zh-CN"/>
        </w:rPr>
        <w:t>整体来说，石耶镇各河流基本能够保障河道生态基流。仅水库拦河坝下游段偶有无法满足河道生态基流的情况出现</w:t>
      </w:r>
    </w:p>
    <w:p w14:paraId="6D798A3F">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）流域内存在水土流失情况</w:t>
      </w:r>
    </w:p>
    <w:p w14:paraId="60F0AD91">
      <w:pPr>
        <w:pStyle w:val="5"/>
        <w:bidi w:val="0"/>
        <w:rPr>
          <w:rFonts w:hint="eastAsia"/>
          <w:lang w:val="en-US" w:eastAsia="zh-CN"/>
        </w:rPr>
      </w:pPr>
      <w:r>
        <w:rPr>
          <w:rFonts w:hint="eastAsia"/>
          <w:lang w:val="en-US" w:eastAsia="zh-CN"/>
        </w:rPr>
        <w:t>石耶镇属南部太阳山区水源涵养保土区</w:t>
      </w:r>
      <w:r>
        <w:rPr>
          <w:rFonts w:hint="eastAsia"/>
          <w:lang w:eastAsia="zh-CN"/>
        </w:rPr>
        <w:t>。</w:t>
      </w:r>
      <w:r>
        <w:rPr>
          <w:rFonts w:hint="eastAsia"/>
          <w:lang w:val="en-US" w:eastAsia="zh-CN"/>
        </w:rPr>
        <w:t>该区是水土流失重点预防区，</w:t>
      </w:r>
      <w:r>
        <w:rPr>
          <w:rFonts w:hint="eastAsia"/>
        </w:rPr>
        <w:t>区内自然生态条件相对较好，植被资源丰富</w:t>
      </w:r>
      <w:r>
        <w:rPr>
          <w:rFonts w:hint="default"/>
          <w:lang w:val="en-US" w:eastAsia="zh-CN"/>
        </w:rPr>
        <w:t>，</w:t>
      </w:r>
      <w:r>
        <w:rPr>
          <w:rFonts w:hint="eastAsia"/>
          <w:lang w:val="en-US" w:eastAsia="zh-CN"/>
        </w:rPr>
        <w:t>但</w:t>
      </w:r>
      <w:r>
        <w:rPr>
          <w:rFonts w:hint="default"/>
          <w:lang w:val="en-US" w:eastAsia="zh-CN"/>
        </w:rPr>
        <w:t>近些年受到城镇建设、农田耕种的影响，岸线开发利用程度提高，加上土壤侵蚀，一定程度上导致</w:t>
      </w:r>
      <w:r>
        <w:rPr>
          <w:rFonts w:hint="eastAsia"/>
          <w:lang w:val="en-US" w:eastAsia="zh-CN"/>
        </w:rPr>
        <w:t>石耶镇水土流失面积15.44km</w:t>
      </w:r>
      <w:r>
        <w:rPr>
          <w:rFonts w:hint="eastAsia"/>
          <w:vertAlign w:val="superscript"/>
          <w:lang w:val="en-US" w:eastAsia="zh-CN"/>
        </w:rPr>
        <w:t>2</w:t>
      </w:r>
      <w:r>
        <w:rPr>
          <w:rFonts w:hint="eastAsia"/>
          <w:lang w:val="en-US" w:eastAsia="zh-CN"/>
        </w:rPr>
        <w:t>，年均侵蚀总量4.56万t。</w:t>
      </w:r>
    </w:p>
    <w:p w14:paraId="784F52F1">
      <w:pPr>
        <w:pStyle w:val="27"/>
        <w:bidi w:val="0"/>
        <w:rPr>
          <w:rFonts w:hint="eastAsia"/>
          <w:color w:val="auto"/>
          <w:highlight w:val="none"/>
          <w:lang w:val="en-US" w:eastAsia="zh-CN"/>
        </w:rPr>
      </w:pPr>
      <w:r>
        <w:rPr>
          <w:rFonts w:hint="eastAsia"/>
          <w:color w:val="auto"/>
          <w:highlight w:val="none"/>
          <w:lang w:val="en-US" w:eastAsia="zh-CN"/>
        </w:rPr>
        <w:t>（3）水生态系统修复工作亟需加强</w:t>
      </w:r>
    </w:p>
    <w:p w14:paraId="11A5E35B">
      <w:pPr>
        <w:pStyle w:val="5"/>
        <w:rPr>
          <w:rFonts w:hint="eastAsia"/>
          <w:color w:val="auto"/>
          <w:highlight w:val="none"/>
          <w:lang w:val="en-US" w:eastAsia="zh-CN"/>
        </w:rPr>
      </w:pPr>
      <w:r>
        <w:rPr>
          <w:rFonts w:hint="eastAsia"/>
          <w:color w:val="auto"/>
          <w:highlight w:val="none"/>
          <w:lang w:val="en-US" w:eastAsia="zh-CN"/>
        </w:rPr>
        <w:t>随着经济社会快速发展及人口增加，加之地理地貌影响，石耶河道生态破坏较严重，导致自净能力降低，栖息地破碎化，生态环境退化，河流健康受到威胁，加之现有植被种类较为单一，难以形成生物群落，生物多样性受到威胁。</w:t>
      </w:r>
    </w:p>
    <w:p w14:paraId="0001554F">
      <w:pPr>
        <w:pStyle w:val="7"/>
        <w:bidi w:val="0"/>
        <w:ind w:left="0" w:leftChars="0" w:firstLine="0" w:firstLineChars="0"/>
        <w:rPr>
          <w:rFonts w:hint="eastAsia"/>
          <w:color w:val="auto"/>
          <w:highlight w:val="none"/>
          <w:lang w:val="en-US" w:eastAsia="zh-CN"/>
        </w:rPr>
      </w:pPr>
      <w:bookmarkStart w:id="56" w:name="_Toc12835"/>
      <w:bookmarkStart w:id="57" w:name="_Toc12536"/>
      <w:r>
        <w:rPr>
          <w:rFonts w:hint="eastAsia"/>
          <w:color w:val="auto"/>
          <w:highlight w:val="none"/>
        </w:rPr>
        <w:t>执法监管问题</w:t>
      </w:r>
      <w:bookmarkEnd w:id="56"/>
      <w:bookmarkEnd w:id="57"/>
    </w:p>
    <w:p w14:paraId="12CB3E3A">
      <w:pPr>
        <w:pStyle w:val="27"/>
        <w:bidi w:val="0"/>
        <w:rPr>
          <w:rFonts w:hint="default"/>
          <w:color w:val="auto"/>
          <w:highlight w:val="none"/>
          <w:lang w:val="en-US" w:eastAsia="zh-CN"/>
        </w:rPr>
      </w:pPr>
      <w:r>
        <w:rPr>
          <w:rFonts w:hint="eastAsia"/>
          <w:color w:val="auto"/>
          <w:highlight w:val="none"/>
          <w:lang w:val="en-US" w:eastAsia="zh-CN"/>
        </w:rPr>
        <w:t>（1）需</w:t>
      </w:r>
      <w:r>
        <w:rPr>
          <w:rFonts w:hint="default"/>
          <w:color w:val="auto"/>
          <w:highlight w:val="none"/>
          <w:lang w:val="en-US" w:eastAsia="zh-CN"/>
        </w:rPr>
        <w:t>进一步建立健全联防联控机制</w:t>
      </w:r>
    </w:p>
    <w:p w14:paraId="4159E0B2">
      <w:pPr>
        <w:pStyle w:val="5"/>
        <w:bidi w:val="0"/>
        <w:rPr>
          <w:rFonts w:hint="eastAsia"/>
          <w:color w:val="auto"/>
          <w:highlight w:val="none"/>
        </w:rPr>
      </w:pPr>
      <w:r>
        <w:rPr>
          <w:rFonts w:hint="eastAsia"/>
          <w:lang w:val="en-US" w:eastAsia="zh-CN"/>
        </w:rPr>
        <w:t>梅江河除秀山县外还涉及酉阳县，</w:t>
      </w:r>
      <w:r>
        <w:rPr>
          <w:rFonts w:hint="default"/>
          <w:lang w:val="en-US" w:eastAsia="zh-CN"/>
        </w:rPr>
        <w:t>河道管理部门众多，河道沿岸涉及水利、环保等多部门。如果监管河段处于流域交汇平坦地段，在具体管理过程中，可能会导致部门责任边界交织、联动不利和互相推诿的现象。</w:t>
      </w:r>
      <w:r>
        <w:rPr>
          <w:rFonts w:hint="eastAsia"/>
          <w:lang w:val="en-US" w:eastAsia="zh-CN"/>
        </w:rPr>
        <w:t>故</w:t>
      </w:r>
      <w:r>
        <w:rPr>
          <w:rFonts w:hint="eastAsia"/>
        </w:rPr>
        <w:t>仍需进一步加强跨</w:t>
      </w:r>
      <w:r>
        <w:rPr>
          <w:rFonts w:hint="eastAsia"/>
          <w:lang w:val="en-US" w:eastAsia="zh-CN"/>
        </w:rPr>
        <w:t>县</w:t>
      </w:r>
      <w:r>
        <w:rPr>
          <w:rFonts w:hint="eastAsia"/>
        </w:rPr>
        <w:t>界、镇界河流联防联控工作，破解跨界河流管治难题，实现上下游共治、水上岸上同治。</w:t>
      </w:r>
    </w:p>
    <w:p w14:paraId="1ED0F794">
      <w:pPr>
        <w:pStyle w:val="27"/>
        <w:bidi w:val="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（2）投入经费少，没有稳定的工作经费渠道</w:t>
      </w:r>
    </w:p>
    <w:p w14:paraId="20589BA0">
      <w:pPr>
        <w:pStyle w:val="5"/>
        <w:rPr>
          <w:rFonts w:hint="eastAsia"/>
          <w:color w:val="auto"/>
          <w:highlight w:val="none"/>
          <w:lang w:val="en-US" w:eastAsia="zh-CN"/>
        </w:rPr>
      </w:pPr>
      <w:r>
        <w:t>从各基层单位了解到，目前河长制工作成立了相应的组织机构，也落实了相应的工作人员。但一直以来，河长制工作涉及门类较多，工作量大。尤其是日常巡河、垃圾清理、清漂等需要大量的经费保障。而从目前的调查来看，开展河长制工作缺乏必要的专用经费渠道，且目前经费严重不足，既影响相关人员的工作积极性，也对发现问题不能及时处理，影响河流的保护工作开展</w:t>
      </w:r>
      <w:r>
        <w:rPr>
          <w:rFonts w:hint="eastAsia"/>
          <w:color w:val="auto"/>
          <w:highlight w:val="none"/>
          <w:lang w:val="en-US" w:eastAsia="zh-CN"/>
        </w:rPr>
        <w:t>。</w:t>
      </w:r>
    </w:p>
    <w:p w14:paraId="0E03CDB9">
      <w:pPr>
        <w:pStyle w:val="5"/>
        <w:rPr>
          <w:rFonts w:hint="eastAsia"/>
          <w:color w:val="auto"/>
          <w:highlight w:val="none"/>
          <w:lang w:val="en-US" w:eastAsia="zh-CN"/>
        </w:rPr>
      </w:pPr>
    </w:p>
    <w:p w14:paraId="31952B1F">
      <w:pPr>
        <w:pStyle w:val="5"/>
        <w:rPr>
          <w:rFonts w:hint="eastAsia"/>
          <w:color w:val="auto"/>
          <w:highlight w:val="none"/>
          <w:lang w:val="en-US" w:eastAsia="zh-CN"/>
        </w:rPr>
      </w:pPr>
    </w:p>
    <w:p w14:paraId="0304E0FC">
      <w:pPr>
        <w:rPr>
          <w:rFonts w:hint="eastAsia"/>
          <w:color w:val="auto"/>
          <w:highlight w:val="none"/>
        </w:rPr>
      </w:pPr>
      <w:r>
        <w:rPr>
          <w:rFonts w:hint="eastAsia"/>
          <w:color w:val="auto"/>
          <w:highlight w:val="none"/>
        </w:rPr>
        <w:br w:type="page"/>
      </w:r>
    </w:p>
    <w:p w14:paraId="7F6C0AF7">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58" w:name="_Toc2324"/>
      <w:bookmarkStart w:id="59" w:name="_Toc14155"/>
      <w:r>
        <w:rPr>
          <w:rFonts w:hint="eastAsia"/>
          <w:color w:val="auto"/>
          <w:highlight w:val="none"/>
        </w:rPr>
        <w:t>管理保护目标</w:t>
      </w:r>
      <w:bookmarkEnd w:id="58"/>
      <w:bookmarkEnd w:id="59"/>
    </w:p>
    <w:p w14:paraId="5B6BD7A9">
      <w:pPr>
        <w:pStyle w:val="6"/>
        <w:bidi w:val="0"/>
        <w:ind w:left="0" w:leftChars="0" w:firstLine="0" w:firstLineChars="0"/>
        <w:rPr>
          <w:color w:val="auto"/>
          <w:highlight w:val="none"/>
        </w:rPr>
      </w:pPr>
      <w:bookmarkStart w:id="60" w:name="_Toc18044"/>
      <w:bookmarkStart w:id="61" w:name="_Toc27767"/>
      <w:bookmarkStart w:id="62" w:name="_Toc19791"/>
      <w:r>
        <w:rPr>
          <w:rFonts w:hint="eastAsia"/>
          <w:color w:val="auto"/>
          <w:highlight w:val="none"/>
        </w:rPr>
        <w:t>水资源保护目标</w:t>
      </w:r>
      <w:bookmarkEnd w:id="60"/>
      <w:bookmarkEnd w:id="61"/>
      <w:bookmarkEnd w:id="62"/>
    </w:p>
    <w:p w14:paraId="02BD6E2F">
      <w:pPr>
        <w:pStyle w:val="5"/>
        <w:bidi w:val="0"/>
        <w:rPr>
          <w:rFonts w:hint="eastAsia"/>
          <w:color w:val="auto"/>
          <w:highlight w:val="none"/>
          <w:lang w:eastAsia="zh-CN"/>
        </w:rPr>
      </w:pPr>
      <w:r>
        <w:rPr>
          <w:rFonts w:hint="eastAsia"/>
          <w:color w:val="auto"/>
          <w:highlight w:val="none"/>
          <w:lang w:eastAsia="zh-CN"/>
        </w:rPr>
        <w:t>强化水功能区、</w:t>
      </w:r>
      <w:r>
        <w:rPr>
          <w:rFonts w:hint="eastAsia"/>
          <w:color w:val="auto"/>
          <w:highlight w:val="none"/>
          <w:lang w:val="en-US" w:eastAsia="zh-CN"/>
        </w:rPr>
        <w:t>饮用水源地</w:t>
      </w:r>
      <w:r>
        <w:rPr>
          <w:rFonts w:hint="eastAsia"/>
          <w:color w:val="auto"/>
          <w:highlight w:val="none"/>
          <w:lang w:eastAsia="zh-CN"/>
        </w:rPr>
        <w:t>监督管理，进一步完善水功能区、</w:t>
      </w:r>
      <w:r>
        <w:rPr>
          <w:rFonts w:hint="eastAsia"/>
          <w:color w:val="auto"/>
          <w:highlight w:val="none"/>
          <w:lang w:val="en-US" w:eastAsia="zh-CN"/>
        </w:rPr>
        <w:t>饮用水源地</w:t>
      </w:r>
      <w:r>
        <w:rPr>
          <w:rFonts w:hint="eastAsia"/>
          <w:color w:val="auto"/>
          <w:highlight w:val="none"/>
          <w:lang w:eastAsia="zh-CN"/>
        </w:rPr>
        <w:t>管理的各项制度，严格入河排污口的监督管理，</w:t>
      </w:r>
      <w:r>
        <w:rPr>
          <w:rFonts w:hint="eastAsia"/>
          <w:color w:val="auto"/>
          <w:highlight w:val="none"/>
          <w:lang w:val="en-US" w:eastAsia="zh-CN"/>
        </w:rPr>
        <w:t>确保</w:t>
      </w:r>
      <w:r>
        <w:rPr>
          <w:rFonts w:hint="eastAsia"/>
          <w:color w:val="auto"/>
          <w:highlight w:val="none"/>
          <w:lang w:eastAsia="zh-CN"/>
        </w:rPr>
        <w:t>水功能区、</w:t>
      </w:r>
      <w:r>
        <w:rPr>
          <w:rFonts w:hint="eastAsia"/>
          <w:color w:val="auto"/>
          <w:highlight w:val="none"/>
          <w:lang w:val="en-US" w:eastAsia="zh-CN"/>
        </w:rPr>
        <w:t>饮用水源地</w:t>
      </w:r>
      <w:r>
        <w:rPr>
          <w:rFonts w:hint="default"/>
          <w:color w:val="auto"/>
          <w:highlight w:val="none"/>
          <w:lang w:val="en-US" w:eastAsia="zh-CN"/>
        </w:rPr>
        <w:t>水质达标</w:t>
      </w:r>
      <w:r>
        <w:rPr>
          <w:rFonts w:hint="eastAsia"/>
          <w:color w:val="auto"/>
          <w:highlight w:val="none"/>
          <w:lang w:eastAsia="zh-CN"/>
        </w:rPr>
        <w:t>。</w:t>
      </w:r>
    </w:p>
    <w:p w14:paraId="275D3B1E">
      <w:pPr>
        <w:pStyle w:val="6"/>
        <w:bidi w:val="0"/>
        <w:ind w:left="0" w:leftChars="0" w:firstLine="0" w:firstLineChars="0"/>
        <w:rPr>
          <w:color w:val="auto"/>
          <w:highlight w:val="none"/>
        </w:rPr>
      </w:pPr>
      <w:bookmarkStart w:id="63" w:name="_Toc12152"/>
      <w:bookmarkStart w:id="64" w:name="_Toc26688"/>
      <w:bookmarkStart w:id="65" w:name="_Toc24270"/>
      <w:r>
        <w:rPr>
          <w:rFonts w:hint="eastAsia"/>
          <w:color w:val="auto"/>
          <w:highlight w:val="none"/>
        </w:rPr>
        <w:t>水域岸线管理保护目标</w:t>
      </w:r>
      <w:bookmarkEnd w:id="63"/>
      <w:bookmarkEnd w:id="64"/>
      <w:bookmarkEnd w:id="65"/>
    </w:p>
    <w:p w14:paraId="5A96B321">
      <w:pPr>
        <w:pStyle w:val="27"/>
        <w:bidi w:val="0"/>
        <w:rPr>
          <w:rFonts w:hint="default"/>
          <w:lang w:val="en-US" w:eastAsia="zh-CN"/>
        </w:rPr>
      </w:pPr>
      <w:r>
        <w:rPr>
          <w:rFonts w:hint="eastAsia"/>
          <w:lang w:val="en-US" w:eastAsia="zh-CN"/>
        </w:rPr>
        <w:t>（1）损毁</w:t>
      </w:r>
      <w:r>
        <w:rPr>
          <w:rFonts w:hint="default"/>
          <w:lang w:val="en-US" w:eastAsia="zh-CN"/>
        </w:rPr>
        <w:t>河道堤防、道路、桥梁</w:t>
      </w:r>
      <w:r>
        <w:rPr>
          <w:rFonts w:hint="eastAsia"/>
          <w:lang w:val="en-US" w:eastAsia="zh-CN"/>
        </w:rPr>
        <w:t>修复目标</w:t>
      </w:r>
    </w:p>
    <w:p w14:paraId="36A82F85">
      <w:pPr>
        <w:pStyle w:val="5"/>
        <w:bidi w:val="0"/>
        <w:rPr>
          <w:rFonts w:hint="eastAsia"/>
          <w:lang w:val="en-US" w:eastAsia="zh-CN"/>
        </w:rPr>
      </w:pPr>
      <w:r>
        <w:rPr>
          <w:rFonts w:hint="default"/>
          <w:color w:val="auto"/>
          <w:highlight w:val="none"/>
          <w:lang w:val="en-US" w:eastAsia="zh-CN"/>
        </w:rPr>
        <w:t>①针对河道</w:t>
      </w:r>
      <w:r>
        <w:rPr>
          <w:rFonts w:hint="eastAsia"/>
          <w:color w:val="auto"/>
          <w:highlight w:val="none"/>
          <w:lang w:val="en-US" w:eastAsia="zh-CN"/>
        </w:rPr>
        <w:t>堤防、道路、桥梁被洪水冲毁</w:t>
      </w:r>
      <w:r>
        <w:rPr>
          <w:rFonts w:hint="default"/>
          <w:color w:val="auto"/>
          <w:highlight w:val="none"/>
          <w:lang w:val="en-US" w:eastAsia="zh-CN"/>
        </w:rPr>
        <w:t>等问题，在20</w:t>
      </w:r>
      <w:r>
        <w:rPr>
          <w:rFonts w:hint="eastAsia"/>
          <w:color w:val="auto"/>
          <w:highlight w:val="none"/>
          <w:lang w:val="en-US" w:eastAsia="zh-CN"/>
        </w:rPr>
        <w:t>21</w:t>
      </w:r>
      <w:r>
        <w:rPr>
          <w:rFonts w:hint="default"/>
          <w:color w:val="auto"/>
          <w:highlight w:val="none"/>
          <w:lang w:val="en-US" w:eastAsia="zh-CN"/>
        </w:rPr>
        <w:t>年年末前</w:t>
      </w:r>
      <w:r>
        <w:rPr>
          <w:rFonts w:hint="eastAsia"/>
          <w:color w:val="auto"/>
          <w:highlight w:val="none"/>
          <w:lang w:val="en-US" w:eastAsia="zh-CN"/>
        </w:rPr>
        <w:t>完成相关修复工作</w:t>
      </w:r>
      <w:r>
        <w:rPr>
          <w:rFonts w:hint="eastAsia"/>
          <w:lang w:val="en-US" w:eastAsia="zh-CN"/>
        </w:rPr>
        <w:t>。</w:t>
      </w:r>
    </w:p>
    <w:p w14:paraId="403E6512">
      <w:pPr>
        <w:pStyle w:val="6"/>
        <w:bidi w:val="0"/>
        <w:ind w:left="0" w:leftChars="0" w:firstLine="0" w:firstLineChars="0"/>
        <w:rPr>
          <w:color w:val="auto"/>
          <w:highlight w:val="none"/>
        </w:rPr>
      </w:pPr>
      <w:bookmarkStart w:id="66" w:name="_Toc29241"/>
      <w:bookmarkStart w:id="67" w:name="_Toc11495"/>
      <w:bookmarkStart w:id="68" w:name="_Toc32461"/>
      <w:r>
        <w:rPr>
          <w:rFonts w:hint="eastAsia"/>
          <w:color w:val="auto"/>
          <w:highlight w:val="none"/>
        </w:rPr>
        <w:t>水污染防治目标</w:t>
      </w:r>
      <w:bookmarkEnd w:id="66"/>
      <w:bookmarkEnd w:id="67"/>
      <w:bookmarkEnd w:id="68"/>
    </w:p>
    <w:p w14:paraId="0B8AE854">
      <w:pPr>
        <w:pStyle w:val="27"/>
        <w:bidi w:val="0"/>
        <w:rPr>
          <w:rFonts w:hint="eastAsia"/>
          <w:color w:val="auto"/>
          <w:highlight w:val="none"/>
          <w:lang w:val="en-US" w:eastAsia="zh-CN"/>
        </w:rPr>
      </w:pPr>
      <w:r>
        <w:rPr>
          <w:rFonts w:hint="eastAsia"/>
          <w:color w:val="auto"/>
          <w:highlight w:val="none"/>
          <w:lang w:val="en-US" w:eastAsia="zh-CN"/>
        </w:rPr>
        <w:t>（1）入河排污口整治与监管目标</w:t>
      </w:r>
    </w:p>
    <w:p w14:paraId="6D40565A">
      <w:pPr>
        <w:pStyle w:val="5"/>
        <w:bidi w:val="0"/>
        <w:rPr>
          <w:rFonts w:hint="default"/>
          <w:lang w:val="en-US" w:eastAsia="zh-CN"/>
        </w:rPr>
      </w:pPr>
      <w:r>
        <w:rPr>
          <w:rFonts w:hint="default"/>
          <w:lang w:val="en-US" w:eastAsia="zh-CN"/>
        </w:rPr>
        <w:t>根据</w:t>
      </w:r>
      <w:r>
        <w:rPr>
          <w:rFonts w:hint="eastAsia"/>
          <w:lang w:val="en-US" w:eastAsia="zh-CN"/>
        </w:rPr>
        <w:t>石耶镇</w:t>
      </w:r>
      <w:r>
        <w:rPr>
          <w:rFonts w:hint="default"/>
          <w:lang w:val="en-US" w:eastAsia="zh-CN"/>
        </w:rPr>
        <w:t>排污口分布情况，统一完成排污口识别、整治、信息录入及监管等工作。</w:t>
      </w:r>
    </w:p>
    <w:p w14:paraId="09350C41">
      <w:pPr>
        <w:pStyle w:val="27"/>
        <w:bidi w:val="0"/>
        <w:rPr>
          <w:rFonts w:hint="eastAsia"/>
          <w:color w:val="auto"/>
          <w:highlight w:val="none"/>
          <w:lang w:val="en-US" w:eastAsia="zh-CN"/>
        </w:rPr>
      </w:pPr>
      <w:r>
        <w:rPr>
          <w:rFonts w:hint="eastAsia"/>
          <w:color w:val="auto"/>
          <w:highlight w:val="none"/>
          <w:lang w:val="en-US" w:eastAsia="zh-CN"/>
        </w:rPr>
        <w:t>（2）生活污水收集处理目标</w:t>
      </w:r>
    </w:p>
    <w:p w14:paraId="6DD7ED2B">
      <w:pPr>
        <w:pStyle w:val="5"/>
        <w:bidi w:val="0"/>
        <w:rPr>
          <w:rFonts w:hint="eastAsia"/>
          <w:lang w:val="en-US" w:eastAsia="zh-CN"/>
        </w:rPr>
      </w:pPr>
      <w:r>
        <w:rPr>
          <w:rFonts w:hint="eastAsia"/>
          <w:lang w:val="en-US" w:eastAsia="zh-CN"/>
        </w:rPr>
        <w:t>持续推动城镇管网雨污分流改造，</w:t>
      </w:r>
      <w:r>
        <w:rPr>
          <w:rFonts w:hint="default"/>
          <w:lang w:val="en-US" w:eastAsia="zh-CN"/>
        </w:rPr>
        <w:t>2025年</w:t>
      </w:r>
      <w:r>
        <w:rPr>
          <w:rFonts w:hint="eastAsia"/>
          <w:lang w:val="en-US" w:eastAsia="zh-CN"/>
        </w:rPr>
        <w:t>底乡镇</w:t>
      </w:r>
      <w:r>
        <w:rPr>
          <w:rFonts w:hint="default"/>
          <w:lang w:val="en-US" w:eastAsia="zh-CN"/>
        </w:rPr>
        <w:t>污水集中处理率达到</w:t>
      </w:r>
      <w:r>
        <w:rPr>
          <w:rFonts w:hint="eastAsia"/>
          <w:lang w:val="en-US" w:eastAsia="zh-CN"/>
        </w:rPr>
        <w:t>85</w:t>
      </w:r>
      <w:r>
        <w:rPr>
          <w:rFonts w:hint="default"/>
          <w:lang w:val="en-US" w:eastAsia="zh-CN"/>
        </w:rPr>
        <w:t>%以上。</w:t>
      </w:r>
    </w:p>
    <w:p w14:paraId="6F8D0084">
      <w:pPr>
        <w:pStyle w:val="27"/>
        <w:bidi w:val="0"/>
        <w:rPr>
          <w:rFonts w:hint="eastAsia"/>
          <w:color w:val="auto"/>
          <w:highlight w:val="none"/>
          <w:lang w:val="en-US" w:eastAsia="zh-CN"/>
        </w:rPr>
      </w:pPr>
      <w:r>
        <w:rPr>
          <w:rFonts w:hint="eastAsia"/>
          <w:color w:val="auto"/>
          <w:highlight w:val="none"/>
          <w:lang w:val="en-US" w:eastAsia="zh-CN"/>
        </w:rPr>
        <w:t>（3）农村面源污染控制目标</w:t>
      </w:r>
    </w:p>
    <w:p w14:paraId="01B25337">
      <w:pPr>
        <w:pStyle w:val="5"/>
        <w:bidi w:val="0"/>
        <w:rPr>
          <w:rFonts w:hint="default"/>
          <w:lang w:val="en-US" w:eastAsia="zh-CN"/>
        </w:rPr>
      </w:pPr>
      <w:r>
        <w:rPr>
          <w:rFonts w:hint="eastAsia"/>
          <w:lang w:val="en-US" w:eastAsia="zh-CN"/>
        </w:rPr>
        <w:t>持续推进农村环境整治，全面完成镇域内农村人居环境整治工作，整体提升农村人居环境。农村生活污染治理率稳步提升。</w:t>
      </w:r>
    </w:p>
    <w:p w14:paraId="3C6F0E22">
      <w:pPr>
        <w:pStyle w:val="27"/>
        <w:bidi w:val="0"/>
        <w:rPr>
          <w:rFonts w:hint="eastAsia"/>
          <w:color w:val="auto"/>
          <w:highlight w:val="none"/>
          <w:lang w:val="en-US" w:eastAsia="zh-CN"/>
        </w:rPr>
      </w:pPr>
      <w:r>
        <w:rPr>
          <w:rFonts w:hint="eastAsia"/>
          <w:color w:val="auto"/>
          <w:highlight w:val="none"/>
          <w:lang w:val="en-US" w:eastAsia="zh-CN"/>
        </w:rPr>
        <w:t>（4）农业面源污染控制目标</w:t>
      </w:r>
    </w:p>
    <w:p w14:paraId="39B0AA9C">
      <w:pPr>
        <w:pStyle w:val="5"/>
        <w:bidi w:val="0"/>
        <w:rPr>
          <w:rFonts w:hint="default"/>
          <w:lang w:val="en-US" w:eastAsia="zh-CN"/>
        </w:rPr>
      </w:pPr>
      <w:r>
        <w:rPr>
          <w:rFonts w:hint="default"/>
          <w:lang w:val="en-US" w:eastAsia="zh-CN"/>
        </w:rPr>
        <w:t>2025年，农业面源污染得到有效遏制，实现</w:t>
      </w:r>
      <w:r>
        <w:rPr>
          <w:rFonts w:hint="eastAsia"/>
          <w:lang w:val="en-US" w:eastAsia="zh-CN"/>
        </w:rPr>
        <w:t>“</w:t>
      </w:r>
      <w:r>
        <w:rPr>
          <w:rFonts w:hint="default"/>
          <w:lang w:val="en-US" w:eastAsia="zh-CN"/>
        </w:rPr>
        <w:t>一控两减三基本</w:t>
      </w:r>
      <w:r>
        <w:rPr>
          <w:rFonts w:hint="eastAsia"/>
          <w:lang w:val="en-US" w:eastAsia="zh-CN"/>
        </w:rPr>
        <w:t>”</w:t>
      </w:r>
      <w:r>
        <w:rPr>
          <w:rFonts w:hint="default"/>
          <w:lang w:val="en-US" w:eastAsia="zh-CN"/>
        </w:rPr>
        <w:t>。减少化肥和农药使用量，化肥、农药施用量</w:t>
      </w:r>
      <w:r>
        <w:rPr>
          <w:rFonts w:hint="eastAsia"/>
          <w:lang w:val="en-US" w:eastAsia="zh-CN"/>
        </w:rPr>
        <w:t>“</w:t>
      </w:r>
      <w:r>
        <w:rPr>
          <w:rFonts w:hint="default"/>
          <w:lang w:val="en-US" w:eastAsia="zh-CN"/>
        </w:rPr>
        <w:t>零增长</w:t>
      </w:r>
      <w:r>
        <w:rPr>
          <w:rFonts w:hint="eastAsia"/>
          <w:lang w:val="en-US" w:eastAsia="zh-CN"/>
        </w:rPr>
        <w:t>”</w:t>
      </w:r>
      <w:r>
        <w:rPr>
          <w:rFonts w:hint="default"/>
          <w:lang w:val="en-US" w:eastAsia="zh-CN"/>
        </w:rPr>
        <w:t>。</w:t>
      </w:r>
    </w:p>
    <w:p w14:paraId="273DAD7D">
      <w:pPr>
        <w:pStyle w:val="5"/>
        <w:bidi w:val="0"/>
        <w:rPr>
          <w:rFonts w:hint="default"/>
          <w:lang w:val="en-US" w:eastAsia="zh-CN"/>
        </w:rPr>
      </w:pPr>
      <w:r>
        <w:rPr>
          <w:rFonts w:hint="default"/>
          <w:lang w:val="en-US" w:eastAsia="zh-CN"/>
        </w:rPr>
        <w:t>2025年，化肥利用率提高</w:t>
      </w:r>
      <w:r>
        <w:rPr>
          <w:rFonts w:hint="eastAsia"/>
          <w:lang w:val="en-US" w:eastAsia="zh-CN"/>
        </w:rPr>
        <w:t>保持在40</w:t>
      </w:r>
      <w:r>
        <w:rPr>
          <w:rFonts w:hint="default"/>
          <w:lang w:val="en-US" w:eastAsia="zh-CN"/>
        </w:rPr>
        <w:t>%以上，测土配方覆盖率达到</w:t>
      </w:r>
      <w:r>
        <w:rPr>
          <w:rFonts w:hint="eastAsia"/>
          <w:lang w:val="en-US" w:eastAsia="zh-CN"/>
        </w:rPr>
        <w:t>95</w:t>
      </w:r>
      <w:r>
        <w:rPr>
          <w:rFonts w:hint="default"/>
          <w:lang w:val="en-US" w:eastAsia="zh-CN"/>
        </w:rPr>
        <w:t>%以上。</w:t>
      </w:r>
    </w:p>
    <w:p w14:paraId="1B08371B">
      <w:pPr>
        <w:pStyle w:val="27"/>
        <w:bidi w:val="0"/>
        <w:rPr>
          <w:rFonts w:hint="eastAsia"/>
          <w:color w:val="auto"/>
          <w:highlight w:val="none"/>
          <w:lang w:val="en-US" w:eastAsia="zh-CN"/>
        </w:rPr>
      </w:pPr>
      <w:r>
        <w:rPr>
          <w:rFonts w:hint="eastAsia"/>
          <w:color w:val="auto"/>
          <w:highlight w:val="none"/>
          <w:lang w:val="en-US" w:eastAsia="zh-CN"/>
        </w:rPr>
        <w:t>（5）畜禽养殖与水产养殖污染防治目标</w:t>
      </w:r>
    </w:p>
    <w:p w14:paraId="6A86C88B">
      <w:pPr>
        <w:pStyle w:val="5"/>
        <w:bidi w:val="0"/>
        <w:rPr>
          <w:rFonts w:hint="default"/>
          <w:lang w:val="en-US" w:eastAsia="zh-CN"/>
        </w:rPr>
      </w:pPr>
      <w:r>
        <w:rPr>
          <w:rFonts w:hint="eastAsia"/>
          <w:lang w:val="en-US" w:eastAsia="zh-CN"/>
        </w:rPr>
        <w:t>2025年，镇域内规模养殖场粪污处理设施装备配套率达到95%以上，实现畜禽粪污资源化综合利用。畜禽粪污综合利用率达到80%以上。</w:t>
      </w:r>
    </w:p>
    <w:p w14:paraId="124EE01F">
      <w:pPr>
        <w:pStyle w:val="5"/>
        <w:bidi w:val="0"/>
        <w:rPr>
          <w:rFonts w:hint="default"/>
          <w:lang w:val="en-US" w:eastAsia="zh-CN"/>
        </w:rPr>
      </w:pPr>
      <w:r>
        <w:rPr>
          <w:rFonts w:hint="default"/>
          <w:lang w:val="en-US" w:eastAsia="zh-CN"/>
        </w:rPr>
        <w:t>2025年，水产养殖污染治理率</w:t>
      </w:r>
      <w:r>
        <w:rPr>
          <w:rFonts w:hint="eastAsia"/>
          <w:lang w:val="en-US" w:eastAsia="zh-CN"/>
        </w:rPr>
        <w:t>稳步提升</w:t>
      </w:r>
      <w:r>
        <w:rPr>
          <w:rFonts w:hint="default"/>
          <w:lang w:val="en-US" w:eastAsia="zh-CN"/>
        </w:rPr>
        <w:t>。</w:t>
      </w:r>
    </w:p>
    <w:p w14:paraId="0BD210A3">
      <w:pPr>
        <w:pStyle w:val="6"/>
        <w:bidi w:val="0"/>
        <w:ind w:left="0" w:leftChars="0" w:firstLine="0" w:firstLineChars="0"/>
        <w:rPr>
          <w:color w:val="auto"/>
          <w:highlight w:val="none"/>
        </w:rPr>
      </w:pPr>
      <w:bookmarkStart w:id="69" w:name="_Toc18450"/>
      <w:bookmarkStart w:id="70" w:name="_Toc9051"/>
      <w:bookmarkStart w:id="71" w:name="_Toc29437"/>
      <w:r>
        <w:rPr>
          <w:rFonts w:hint="eastAsia"/>
          <w:color w:val="auto"/>
          <w:highlight w:val="none"/>
        </w:rPr>
        <w:t>水环境治理目标</w:t>
      </w:r>
      <w:bookmarkEnd w:id="69"/>
      <w:bookmarkEnd w:id="70"/>
      <w:bookmarkEnd w:id="71"/>
    </w:p>
    <w:p w14:paraId="265E6E6B">
      <w:pPr>
        <w:pStyle w:val="27"/>
        <w:bidi w:val="0"/>
        <w:rPr>
          <w:rFonts w:hint="eastAsia"/>
          <w:color w:val="auto"/>
          <w:highlight w:val="none"/>
          <w:lang w:val="en-US" w:eastAsia="zh-CN"/>
        </w:rPr>
      </w:pPr>
      <w:r>
        <w:rPr>
          <w:rFonts w:hint="eastAsia"/>
          <w:color w:val="auto"/>
          <w:highlight w:val="none"/>
          <w:lang w:val="en-US" w:eastAsia="zh-CN"/>
        </w:rPr>
        <w:t>（1）石耶镇河流水质目标</w:t>
      </w:r>
    </w:p>
    <w:p w14:paraId="1F1BFA9C">
      <w:pPr>
        <w:pStyle w:val="5"/>
        <w:bidi w:val="0"/>
        <w:rPr>
          <w:rFonts w:hint="eastAsia"/>
          <w:color w:val="auto"/>
          <w:highlight w:val="none"/>
        </w:rPr>
      </w:pPr>
      <w:r>
        <w:rPr>
          <w:rFonts w:hint="default"/>
          <w:color w:val="auto"/>
          <w:lang w:val="en-US" w:eastAsia="zh-CN"/>
        </w:rPr>
        <w:t>到2025年</w:t>
      </w:r>
      <w:r>
        <w:rPr>
          <w:rFonts w:hint="eastAsia"/>
          <w:color w:val="auto"/>
          <w:lang w:val="en-US" w:eastAsia="zh-CN"/>
        </w:rPr>
        <w:t>梅江河流域石耶镇段</w:t>
      </w:r>
      <w:r>
        <w:rPr>
          <w:rFonts w:hint="default"/>
          <w:color w:val="auto"/>
          <w:lang w:val="en-US" w:eastAsia="zh-CN"/>
        </w:rPr>
        <w:t>水质</w:t>
      </w:r>
      <w:r>
        <w:rPr>
          <w:rFonts w:hint="default"/>
          <w:lang w:val="en-US" w:eastAsia="zh-CN"/>
        </w:rPr>
        <w:t>监测断面水质稳定达到III类，达标率持续稳定在100%。</w:t>
      </w:r>
      <w:r>
        <w:rPr>
          <w:rFonts w:hint="eastAsia"/>
          <w:lang w:val="en-US" w:eastAsia="zh-CN"/>
        </w:rPr>
        <w:t>县</w:t>
      </w:r>
      <w:r>
        <w:rPr>
          <w:rFonts w:hint="default"/>
          <w:lang w:val="en-US" w:eastAsia="zh-CN"/>
        </w:rPr>
        <w:t>级断面及主要支流汇入口水质只能变好，不能变坏。</w:t>
      </w:r>
    </w:p>
    <w:p w14:paraId="28A22ABD">
      <w:pPr>
        <w:pStyle w:val="27"/>
        <w:keepNext w:val="0"/>
        <w:keepLines w:val="0"/>
        <w:pageBreakBefore w:val="0"/>
        <w:widowControl w:val="0"/>
        <w:kinsoku/>
        <w:wordWrap/>
        <w:overflowPunct/>
        <w:topLinePunct w:val="0"/>
        <w:autoSpaceDE/>
        <w:autoSpaceDN/>
        <w:bidi w:val="0"/>
        <w:adjustRightInd w:val="0"/>
        <w:snapToGrid w:val="0"/>
        <w:spacing w:before="167" w:beforeLines="50"/>
        <w:textAlignment w:val="baseline"/>
        <w:rPr>
          <w:rFonts w:hint="eastAsia"/>
          <w:color w:val="auto"/>
          <w:highlight w:val="none"/>
          <w:lang w:val="en-US" w:eastAsia="zh-CN"/>
        </w:rPr>
      </w:pPr>
      <w:r>
        <w:rPr>
          <w:rFonts w:hint="eastAsia"/>
          <w:color w:val="auto"/>
          <w:highlight w:val="none"/>
          <w:lang w:val="en-US" w:eastAsia="zh-CN"/>
        </w:rPr>
        <w:t>（2）沿岸垃圾水生植物处理目标</w:t>
      </w:r>
    </w:p>
    <w:p w14:paraId="4F20FACC">
      <w:pPr>
        <w:pStyle w:val="5"/>
        <w:bidi w:val="0"/>
        <w:rPr>
          <w:rFonts w:hint="eastAsia"/>
          <w:color w:val="auto"/>
          <w:highlight w:val="none"/>
          <w:lang w:eastAsia="zh-CN"/>
        </w:rPr>
      </w:pPr>
      <w:r>
        <w:rPr>
          <w:rFonts w:hint="default"/>
          <w:lang w:val="en-US" w:eastAsia="zh-CN"/>
        </w:rPr>
        <w:t>到2025年，完成</w:t>
      </w:r>
      <w:r>
        <w:rPr>
          <w:rFonts w:hint="eastAsia"/>
          <w:lang w:val="en-US" w:eastAsia="zh-CN"/>
        </w:rPr>
        <w:t>石耶镇河流</w:t>
      </w:r>
      <w:r>
        <w:rPr>
          <w:rFonts w:hint="default"/>
          <w:lang w:val="en-US" w:eastAsia="zh-CN"/>
        </w:rPr>
        <w:t>沿岸垃圾清理</w:t>
      </w:r>
      <w:r>
        <w:rPr>
          <w:rFonts w:hint="eastAsia"/>
          <w:lang w:val="en-US" w:eastAsia="zh-CN"/>
        </w:rPr>
        <w:t>及水生植物</w:t>
      </w:r>
      <w:r>
        <w:rPr>
          <w:rFonts w:hint="default"/>
          <w:lang w:val="en-US" w:eastAsia="zh-CN"/>
        </w:rPr>
        <w:t>专项治理工作。</w:t>
      </w:r>
    </w:p>
    <w:p w14:paraId="07C0FEE7">
      <w:pPr>
        <w:pStyle w:val="6"/>
        <w:bidi w:val="0"/>
        <w:ind w:left="0" w:leftChars="0" w:firstLine="0" w:firstLineChars="0"/>
        <w:rPr>
          <w:color w:val="auto"/>
          <w:highlight w:val="none"/>
        </w:rPr>
      </w:pPr>
      <w:bookmarkStart w:id="72" w:name="_Toc27638"/>
      <w:bookmarkStart w:id="73" w:name="_Toc15461"/>
      <w:bookmarkStart w:id="74" w:name="_Toc4248"/>
      <w:bookmarkStart w:id="75" w:name="_Toc19768"/>
      <w:bookmarkStart w:id="76" w:name="_Toc25522"/>
      <w:r>
        <w:rPr>
          <w:rFonts w:hint="eastAsia"/>
          <w:color w:val="auto"/>
          <w:highlight w:val="none"/>
        </w:rPr>
        <w:t>水生态修复目标</w:t>
      </w:r>
      <w:bookmarkEnd w:id="72"/>
      <w:bookmarkEnd w:id="73"/>
      <w:bookmarkEnd w:id="74"/>
    </w:p>
    <w:p w14:paraId="557DFC52">
      <w:pPr>
        <w:pStyle w:val="27"/>
        <w:bidi w:val="0"/>
        <w:rPr>
          <w:rFonts w:hint="eastAsia"/>
          <w:color w:val="auto"/>
          <w:highlight w:val="none"/>
          <w:lang w:val="en-US" w:eastAsia="zh-CN"/>
        </w:rPr>
      </w:pPr>
      <w:r>
        <w:rPr>
          <w:rFonts w:hint="eastAsia"/>
          <w:color w:val="auto"/>
          <w:highlight w:val="none"/>
          <w:lang w:val="en-US" w:eastAsia="zh-CN"/>
        </w:rPr>
        <w:t>（1）生态基流目标</w:t>
      </w:r>
    </w:p>
    <w:p w14:paraId="73BAEC27">
      <w:pPr>
        <w:pStyle w:val="5"/>
        <w:bidi w:val="0"/>
        <w:rPr>
          <w:rFonts w:hint="eastAsia"/>
          <w:lang w:val="en-US" w:eastAsia="zh-CN"/>
        </w:rPr>
      </w:pPr>
      <w:r>
        <w:rPr>
          <w:rFonts w:hint="default"/>
          <w:lang w:val="en-US" w:eastAsia="zh-CN"/>
        </w:rPr>
        <w:t>常年保证</w:t>
      </w:r>
      <w:r>
        <w:rPr>
          <w:rFonts w:hint="eastAsia"/>
          <w:lang w:val="en-US" w:eastAsia="zh-CN"/>
        </w:rPr>
        <w:t>石耶镇各河流</w:t>
      </w:r>
      <w:r>
        <w:rPr>
          <w:rFonts w:hint="default"/>
          <w:lang w:val="en-US" w:eastAsia="zh-CN"/>
        </w:rPr>
        <w:t>不断流，主要控制断面生态基流保证率达到100%</w:t>
      </w:r>
      <w:r>
        <w:rPr>
          <w:rFonts w:hint="eastAsia"/>
          <w:lang w:val="en-US" w:eastAsia="zh-CN"/>
        </w:rPr>
        <w:t>。</w:t>
      </w:r>
    </w:p>
    <w:p w14:paraId="6F38BC5A">
      <w:pPr>
        <w:pStyle w:val="27"/>
        <w:bidi w:val="0"/>
        <w:ind w:left="0" w:leftChars="0" w:firstLine="484" w:firstLineChars="200"/>
        <w:rPr>
          <w:rFonts w:hint="eastAsia"/>
          <w:color w:val="auto"/>
          <w:highlight w:val="none"/>
          <w:lang w:val="en-US" w:eastAsia="zh-CN"/>
        </w:rPr>
      </w:pPr>
      <w:r>
        <w:rPr>
          <w:rFonts w:hint="eastAsia"/>
          <w:color w:val="auto"/>
          <w:highlight w:val="none"/>
          <w:lang w:val="en-US" w:eastAsia="zh-CN"/>
        </w:rPr>
        <w:t>（2）水土流失治理目标</w:t>
      </w:r>
    </w:p>
    <w:p w14:paraId="0477AA44">
      <w:pPr>
        <w:pStyle w:val="5"/>
        <w:bidi w:val="0"/>
        <w:rPr>
          <w:rFonts w:hint="default"/>
          <w:lang w:val="en-US" w:eastAsia="zh-CN"/>
        </w:rPr>
      </w:pPr>
      <w:r>
        <w:rPr>
          <w:rFonts w:hint="default"/>
          <w:color w:val="auto"/>
          <w:highlight w:val="none"/>
          <w:lang w:val="en-US" w:eastAsia="zh-CN"/>
        </w:rPr>
        <w:t>继续稳步推进水土流失治理，逐步实现水土流失治理目标。根据</w:t>
      </w:r>
      <w:r>
        <w:rPr>
          <w:rFonts w:hint="eastAsia"/>
          <w:color w:val="auto"/>
          <w:highlight w:val="none"/>
          <w:lang w:val="en-US" w:eastAsia="zh-CN"/>
        </w:rPr>
        <w:t>秀山县</w:t>
      </w:r>
      <w:r>
        <w:rPr>
          <w:rFonts w:hint="default"/>
          <w:color w:val="auto"/>
          <w:highlight w:val="none"/>
          <w:lang w:val="en-US" w:eastAsia="zh-CN"/>
        </w:rPr>
        <w:t>水土保持规划，到</w:t>
      </w:r>
      <w:r>
        <w:rPr>
          <w:rFonts w:hint="eastAsia"/>
          <w:color w:val="auto"/>
          <w:highlight w:val="none"/>
          <w:lang w:val="en-US" w:eastAsia="zh-CN"/>
        </w:rPr>
        <w:t>2</w:t>
      </w:r>
      <w:r>
        <w:rPr>
          <w:rFonts w:hint="default"/>
          <w:color w:val="auto"/>
          <w:highlight w:val="none"/>
          <w:lang w:val="en-US" w:eastAsia="zh-CN"/>
        </w:rPr>
        <w:t>025年，林草植被和治理成果得到有效保护，水土流失面积和侵蚀强度明显下降，输入江</w:t>
      </w:r>
      <w:r>
        <w:rPr>
          <w:rFonts w:hint="eastAsia"/>
          <w:color w:val="auto"/>
          <w:highlight w:val="none"/>
          <w:lang w:val="en-US" w:eastAsia="zh-CN"/>
        </w:rPr>
        <w:t>河水库</w:t>
      </w:r>
      <w:r>
        <w:rPr>
          <w:rFonts w:hint="default"/>
          <w:color w:val="auto"/>
          <w:highlight w:val="none"/>
          <w:lang w:val="en-US" w:eastAsia="zh-CN"/>
        </w:rPr>
        <w:t>的泥沙明显减少</w:t>
      </w:r>
      <w:r>
        <w:rPr>
          <w:rFonts w:hint="eastAsia"/>
          <w:color w:val="auto"/>
          <w:highlight w:val="none"/>
          <w:lang w:val="en-US" w:eastAsia="zh-CN"/>
        </w:rPr>
        <w:t>，</w:t>
      </w:r>
      <w:r>
        <w:rPr>
          <w:rFonts w:hint="default"/>
          <w:color w:val="auto"/>
          <w:highlight w:val="none"/>
          <w:lang w:val="en-US" w:eastAsia="zh-CN"/>
        </w:rPr>
        <w:t>人为水土流失得到进一步防治</w:t>
      </w:r>
      <w:r>
        <w:rPr>
          <w:rFonts w:hint="default"/>
          <w:lang w:val="en-US" w:eastAsia="zh-CN"/>
        </w:rPr>
        <w:t>。</w:t>
      </w:r>
    </w:p>
    <w:p w14:paraId="24DA3576">
      <w:pPr>
        <w:pStyle w:val="27"/>
        <w:bidi w:val="0"/>
        <w:rPr>
          <w:rFonts w:hint="eastAsia"/>
          <w:color w:val="auto"/>
          <w:highlight w:val="none"/>
          <w:lang w:val="en-US" w:eastAsia="zh-CN"/>
        </w:rPr>
      </w:pPr>
      <w:r>
        <w:rPr>
          <w:rFonts w:hint="eastAsia"/>
          <w:color w:val="auto"/>
          <w:highlight w:val="none"/>
          <w:lang w:val="en-US" w:eastAsia="zh-CN"/>
        </w:rPr>
        <w:t>（3）水生态系统修复目标</w:t>
      </w:r>
    </w:p>
    <w:p w14:paraId="1AB90A0A">
      <w:pPr>
        <w:pStyle w:val="5"/>
        <w:bidi w:val="0"/>
        <w:rPr>
          <w:rFonts w:hint="eastAsia"/>
          <w:color w:val="auto"/>
          <w:highlight w:val="none"/>
          <w:lang w:eastAsia="zh-CN"/>
        </w:rPr>
      </w:pPr>
      <w:r>
        <w:rPr>
          <w:rFonts w:hint="default"/>
          <w:color w:val="auto"/>
          <w:highlight w:val="none"/>
          <w:lang w:val="en-US" w:eastAsia="zh-CN"/>
        </w:rPr>
        <w:t>保持现有水生生物多样性，加大对国家、市级重点保护野生动植物的保护力度，提高其种群的个体数量，禁止非法捕鱼、垂钓。到</w:t>
      </w:r>
      <w:r>
        <w:rPr>
          <w:rFonts w:hint="eastAsia"/>
          <w:color w:val="auto"/>
          <w:highlight w:val="none"/>
          <w:lang w:val="en-US" w:eastAsia="zh-CN"/>
        </w:rPr>
        <w:t>2</w:t>
      </w:r>
      <w:r>
        <w:rPr>
          <w:rFonts w:hint="default"/>
          <w:color w:val="auto"/>
          <w:highlight w:val="none"/>
          <w:lang w:val="en-US" w:eastAsia="zh-CN"/>
        </w:rPr>
        <w:t>025年，</w:t>
      </w:r>
      <w:r>
        <w:rPr>
          <w:rFonts w:hint="eastAsia"/>
          <w:color w:val="auto"/>
          <w:highlight w:val="none"/>
          <w:lang w:val="en-US" w:eastAsia="zh-CN"/>
        </w:rPr>
        <w:t>完成</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color w:val="auto"/>
          <w:highlight w:val="none"/>
          <w:lang w:val="en-US" w:eastAsia="zh-CN"/>
        </w:rPr>
        <w:t>（石耶镇段）</w:t>
      </w:r>
      <w:r>
        <w:rPr>
          <w:rFonts w:hint="eastAsia"/>
          <w:color w:val="auto"/>
          <w:highlight w:val="none"/>
          <w:lang w:eastAsia="zh-CN"/>
        </w:rPr>
        <w:t>。</w:t>
      </w:r>
    </w:p>
    <w:p w14:paraId="35CAA7F9">
      <w:pPr>
        <w:pStyle w:val="6"/>
        <w:bidi w:val="0"/>
        <w:ind w:left="0" w:leftChars="0" w:firstLine="0" w:firstLineChars="0"/>
        <w:rPr>
          <w:rFonts w:hint="eastAsia"/>
          <w:color w:val="auto"/>
          <w:highlight w:val="none"/>
          <w:lang w:val="en-US" w:eastAsia="zh-CN"/>
        </w:rPr>
      </w:pPr>
      <w:r>
        <w:rPr>
          <w:rFonts w:hint="eastAsia"/>
          <w:color w:val="auto"/>
          <w:highlight w:val="none"/>
          <w:lang w:val="en-US" w:eastAsia="zh-CN"/>
        </w:rPr>
        <w:t>执法监管目标</w:t>
      </w:r>
      <w:bookmarkEnd w:id="75"/>
      <w:bookmarkEnd w:id="76"/>
    </w:p>
    <w:p w14:paraId="528B15D9">
      <w:pPr>
        <w:pStyle w:val="5"/>
        <w:bidi w:val="0"/>
        <w:rPr>
          <w:rFonts w:hint="default"/>
          <w:lang w:val="en-US" w:eastAsia="zh-CN"/>
        </w:rPr>
      </w:pPr>
      <w:r>
        <w:rPr>
          <w:rFonts w:hint="eastAsia"/>
          <w:lang w:val="en-US" w:eastAsia="zh-CN"/>
        </w:rPr>
        <w:t>（1）</w:t>
      </w:r>
      <w:r>
        <w:rPr>
          <w:rFonts w:hint="default"/>
        </w:rPr>
        <w:t>健全监督执法机制</w:t>
      </w:r>
      <w:r>
        <w:rPr>
          <w:rFonts w:hint="eastAsia"/>
          <w:lang w:eastAsia="zh-CN"/>
        </w:rPr>
        <w:t>，</w:t>
      </w:r>
      <w:r>
        <w:t>加强上下游联合执法力度，加强各相关执法部门强化协同合作，建立长效监管机制，提升联合执法力度</w:t>
      </w:r>
      <w:r>
        <w:rPr>
          <w:rFonts w:hint="default"/>
          <w:lang w:val="en-US" w:eastAsia="zh-CN"/>
        </w:rPr>
        <w:t>。</w:t>
      </w:r>
    </w:p>
    <w:p w14:paraId="0A483506">
      <w:pPr>
        <w:pStyle w:val="5"/>
        <w:bidi w:val="0"/>
        <w:rPr>
          <w:rFonts w:hint="eastAsia"/>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eastAsia"/>
          <w:lang w:val="en-US" w:eastAsia="zh-CN"/>
        </w:rPr>
        <w:t>（2）</w:t>
      </w:r>
      <w:r>
        <w:rPr>
          <w:rFonts w:hint="eastAsia"/>
        </w:rPr>
        <w:t>明确工作经费渠道，加强经费的使用管理。与</w:t>
      </w:r>
      <w:r>
        <w:rPr>
          <w:rFonts w:hint="eastAsia"/>
          <w:lang w:val="en-US" w:eastAsia="zh-CN"/>
        </w:rPr>
        <w:t>县</w:t>
      </w:r>
      <w:r>
        <w:rPr>
          <w:rFonts w:hint="eastAsia"/>
        </w:rPr>
        <w:t>相关部门进行沟通协商，明确开展河长制工作的经费渠道与经费保障</w:t>
      </w:r>
      <w:r>
        <w:rPr>
          <w:rFonts w:hint="eastAsia"/>
          <w:lang w:eastAsia="zh-CN"/>
        </w:rPr>
        <w:t>，</w:t>
      </w:r>
      <w:r>
        <w:rPr>
          <w:rFonts w:hint="eastAsia"/>
        </w:rPr>
        <w:t>明确可用的支出类型。重点保障</w:t>
      </w:r>
      <w:r>
        <w:t>日常巡河、垃圾清理、清漂等</w:t>
      </w:r>
      <w:r>
        <w:rPr>
          <w:rFonts w:hint="eastAsia"/>
          <w:lang w:val="en-US" w:eastAsia="zh-CN"/>
        </w:rPr>
        <w:t>工作</w:t>
      </w:r>
      <w:r>
        <w:rPr>
          <w:rFonts w:hint="eastAsia"/>
        </w:rPr>
        <w:t>经费。通过适当补贴，加强村级河长的工作积极性</w:t>
      </w:r>
      <w:r>
        <w:rPr>
          <w:rFonts w:hint="eastAsia"/>
          <w:lang w:val="en-US" w:eastAsia="zh-CN"/>
        </w:rPr>
        <w:t>。</w:t>
      </w:r>
    </w:p>
    <w:p w14:paraId="2C9BC2B5">
      <w:pPr>
        <w:pStyle w:val="4"/>
        <w:bidi w:val="0"/>
        <w:ind w:left="0" w:leftChars="0" w:firstLine="0" w:firstLineChars="0"/>
        <w:rPr>
          <w:rFonts w:hint="eastAsia"/>
          <w:color w:val="auto"/>
          <w:highlight w:val="none"/>
        </w:rPr>
      </w:pPr>
      <w:r>
        <w:rPr>
          <w:rFonts w:hint="eastAsia"/>
          <w:color w:val="auto"/>
          <w:highlight w:val="none"/>
          <w:lang w:val="en-US" w:eastAsia="zh-CN"/>
        </w:rPr>
        <w:t xml:space="preserve">  </w:t>
      </w:r>
      <w:bookmarkStart w:id="77" w:name="_Toc18313"/>
      <w:bookmarkStart w:id="78" w:name="_Toc30414"/>
      <w:r>
        <w:rPr>
          <w:rFonts w:hint="eastAsia"/>
          <w:color w:val="auto"/>
          <w:highlight w:val="none"/>
        </w:rPr>
        <w:t>管理保护任务</w:t>
      </w:r>
      <w:bookmarkEnd w:id="77"/>
      <w:bookmarkEnd w:id="78"/>
    </w:p>
    <w:p w14:paraId="607645BE">
      <w:pPr>
        <w:pStyle w:val="6"/>
        <w:bidi w:val="0"/>
        <w:ind w:left="0" w:leftChars="0" w:firstLine="0" w:firstLineChars="0"/>
        <w:rPr>
          <w:color w:val="auto"/>
          <w:highlight w:val="none"/>
        </w:rPr>
      </w:pPr>
      <w:bookmarkStart w:id="79" w:name="_Toc23128"/>
      <w:bookmarkStart w:id="80" w:name="_Toc13709"/>
      <w:bookmarkStart w:id="81" w:name="_Toc15312"/>
      <w:r>
        <w:rPr>
          <w:rFonts w:hint="eastAsia"/>
          <w:color w:val="auto"/>
          <w:highlight w:val="none"/>
        </w:rPr>
        <w:t>水资源保护任务</w:t>
      </w:r>
      <w:bookmarkEnd w:id="79"/>
      <w:bookmarkEnd w:id="80"/>
      <w:bookmarkEnd w:id="81"/>
    </w:p>
    <w:p w14:paraId="312EC596">
      <w:pPr>
        <w:pStyle w:val="27"/>
        <w:bidi w:val="0"/>
        <w:rPr>
          <w:rFonts w:hint="default"/>
          <w:color w:val="auto"/>
          <w:highlight w:val="none"/>
          <w:lang w:val="en-US" w:eastAsia="zh-CN"/>
        </w:rPr>
      </w:pPr>
      <w:r>
        <w:rPr>
          <w:rFonts w:hint="default"/>
          <w:color w:val="auto"/>
          <w:highlight w:val="none"/>
          <w:lang w:val="en-US" w:eastAsia="zh-CN"/>
        </w:rPr>
        <w:t>（1）落实最严格水资源管理制度</w:t>
      </w:r>
    </w:p>
    <w:p w14:paraId="2154A878">
      <w:pPr>
        <w:pStyle w:val="5"/>
        <w:bidi w:val="0"/>
        <w:rPr>
          <w:rFonts w:hint="default"/>
          <w:lang w:val="en-US" w:eastAsia="zh-CN"/>
        </w:rPr>
      </w:pPr>
      <w:r>
        <w:rPr>
          <w:rFonts w:hint="eastAsia"/>
          <w:lang w:val="en-US" w:eastAsia="zh-CN"/>
        </w:rPr>
        <w:t>①</w:t>
      </w:r>
      <w:r>
        <w:rPr>
          <w:rFonts w:hint="default"/>
          <w:lang w:val="en-US" w:eastAsia="zh-CN"/>
        </w:rPr>
        <w:t>深入推进水资源管理。严守</w:t>
      </w:r>
      <w:r>
        <w:rPr>
          <w:rFonts w:hint="eastAsia"/>
          <w:lang w:val="en-US" w:eastAsia="zh-CN"/>
        </w:rPr>
        <w:t>“</w:t>
      </w:r>
      <w:r>
        <w:rPr>
          <w:rFonts w:hint="default"/>
          <w:lang w:val="en-US" w:eastAsia="zh-CN"/>
        </w:rPr>
        <w:t>用水总量控制、用水效率控制、水功能区限制纳污控制</w:t>
      </w:r>
      <w:r>
        <w:rPr>
          <w:rFonts w:hint="eastAsia"/>
          <w:lang w:val="en-US" w:eastAsia="zh-CN"/>
        </w:rPr>
        <w:t>”</w:t>
      </w:r>
      <w:r>
        <w:rPr>
          <w:rFonts w:hint="default"/>
          <w:lang w:val="en-US" w:eastAsia="zh-CN"/>
        </w:rPr>
        <w:t>三条红线</w:t>
      </w:r>
      <w:r>
        <w:rPr>
          <w:rFonts w:hint="eastAsia"/>
          <w:lang w:val="en-US" w:eastAsia="zh-CN"/>
        </w:rPr>
        <w:t>，</w:t>
      </w:r>
      <w:r>
        <w:rPr>
          <w:rFonts w:hint="default"/>
          <w:lang w:val="en-US" w:eastAsia="zh-CN"/>
        </w:rPr>
        <w:t>加强水资源用途管制。加强最严格水资源管理制度考核及考核结果运用。</w:t>
      </w:r>
    </w:p>
    <w:p w14:paraId="3915747B">
      <w:pPr>
        <w:pStyle w:val="5"/>
        <w:bidi w:val="0"/>
        <w:rPr>
          <w:rFonts w:hint="default"/>
          <w:lang w:val="en-US" w:eastAsia="zh-CN"/>
        </w:rPr>
      </w:pPr>
      <w:r>
        <w:rPr>
          <w:rFonts w:hint="eastAsia"/>
          <w:lang w:val="en-US" w:eastAsia="zh-CN"/>
        </w:rPr>
        <w:t>②</w:t>
      </w:r>
      <w:r>
        <w:rPr>
          <w:rFonts w:hint="default"/>
          <w:lang w:val="en-US" w:eastAsia="zh-CN"/>
        </w:rPr>
        <w:t>全面推进节水型社会建设。建立健全节水法规制度，建立节约用水激励机制，强化用水效率目标管理，把节水目标任务完成情况纳入地方政府绩效考核。强力推进计划用水、各类节水载体建设、超定额超计划加价等节水制度实施。加强节约用水宣传，推广应用节水技术。加强用水定额应用。积极开展合同节水、水效领跑者引领行动。加强节水管理机构队伍建设。</w:t>
      </w:r>
    </w:p>
    <w:p w14:paraId="35541211">
      <w:pPr>
        <w:pStyle w:val="5"/>
        <w:bidi w:val="0"/>
        <w:rPr>
          <w:rFonts w:hint="default"/>
          <w:lang w:val="en-US" w:eastAsia="zh-CN"/>
        </w:rPr>
      </w:pPr>
      <w:r>
        <w:rPr>
          <w:rFonts w:hint="eastAsia"/>
          <w:lang w:val="en-US" w:eastAsia="zh-CN"/>
        </w:rPr>
        <w:t>③</w:t>
      </w:r>
      <w:r>
        <w:rPr>
          <w:rFonts w:hint="default"/>
          <w:lang w:val="en-US" w:eastAsia="zh-CN"/>
        </w:rPr>
        <w:t>大力推进重点领域节水，全面提高用水效率。加大农业节水力度</w:t>
      </w:r>
      <w:r>
        <w:rPr>
          <w:rFonts w:hint="eastAsia"/>
          <w:lang w:val="en-US" w:eastAsia="zh-CN"/>
        </w:rPr>
        <w:t>，</w:t>
      </w:r>
      <w:r>
        <w:rPr>
          <w:rFonts w:hint="default"/>
          <w:lang w:val="en-US" w:eastAsia="zh-CN"/>
        </w:rPr>
        <w:t>发展高效节水灌溉；加快推进工业节水；积极推进城镇生活节水。推进中水回用和雨水利用。</w:t>
      </w:r>
    </w:p>
    <w:p w14:paraId="755038DF">
      <w:pPr>
        <w:pStyle w:val="27"/>
        <w:bidi w:val="0"/>
        <w:rPr>
          <w:rFonts w:hint="default"/>
          <w:color w:val="auto"/>
          <w:highlight w:val="none"/>
          <w:lang w:val="en-US" w:eastAsia="zh-CN"/>
        </w:rPr>
      </w:pPr>
      <w:r>
        <w:rPr>
          <w:rFonts w:hint="default"/>
          <w:color w:val="auto"/>
          <w:highlight w:val="none"/>
          <w:lang w:val="en-US" w:eastAsia="zh-CN"/>
        </w:rPr>
        <w:t>（2）严格水功能区管理</w:t>
      </w:r>
    </w:p>
    <w:p w14:paraId="1172EB0B">
      <w:pPr>
        <w:pStyle w:val="5"/>
        <w:bidi w:val="0"/>
        <w:rPr>
          <w:rFonts w:hint="default"/>
          <w:lang w:val="en-US" w:eastAsia="zh-CN"/>
        </w:rPr>
      </w:pPr>
      <w:r>
        <w:rPr>
          <w:rFonts w:hint="default"/>
          <w:lang w:val="en-US" w:eastAsia="zh-CN"/>
        </w:rPr>
        <w:t>严格</w:t>
      </w:r>
      <w:r>
        <w:rPr>
          <w:rFonts w:hint="eastAsia"/>
          <w:lang w:val="en-US" w:eastAsia="zh-CN"/>
        </w:rPr>
        <w:t>梅江河流域石耶镇段</w:t>
      </w:r>
      <w:r>
        <w:rPr>
          <w:rFonts w:hint="default"/>
          <w:lang w:val="en-US" w:eastAsia="zh-CN"/>
        </w:rPr>
        <w:t>水功能区管理，保障水功能区水质达标。</w:t>
      </w:r>
    </w:p>
    <w:p w14:paraId="302CB753">
      <w:pPr>
        <w:pStyle w:val="27"/>
        <w:bidi w:val="0"/>
        <w:rPr>
          <w:rFonts w:hint="default"/>
          <w:color w:val="auto"/>
          <w:highlight w:val="none"/>
          <w:lang w:val="en-US" w:eastAsia="zh-CN"/>
        </w:rPr>
      </w:pPr>
      <w:r>
        <w:rPr>
          <w:rFonts w:hint="default"/>
          <w:color w:val="auto"/>
          <w:highlight w:val="none"/>
          <w:lang w:val="en-US" w:eastAsia="zh-CN"/>
        </w:rPr>
        <w:t>（3）加强饮用水源地的保护</w:t>
      </w:r>
    </w:p>
    <w:p w14:paraId="76084C52">
      <w:pPr>
        <w:pStyle w:val="5"/>
        <w:bidi w:val="0"/>
        <w:rPr>
          <w:rFonts w:hint="eastAsia"/>
          <w:color w:val="auto"/>
          <w:highlight w:val="none"/>
          <w:lang w:eastAsia="zh-CN"/>
        </w:rPr>
      </w:pPr>
      <w:r>
        <w:rPr>
          <w:rFonts w:hint="eastAsia"/>
          <w:color w:val="auto"/>
          <w:highlight w:val="none"/>
          <w:lang w:val="en-US" w:eastAsia="zh-CN"/>
        </w:rPr>
        <w:t>推进石耶镇</w:t>
      </w:r>
      <w:r>
        <w:rPr>
          <w:rFonts w:hint="default"/>
          <w:color w:val="auto"/>
          <w:highlight w:val="none"/>
          <w:lang w:val="en-US" w:eastAsia="zh-CN"/>
        </w:rPr>
        <w:t>饮用水水源地涵养保护及生态修复巩固提升工程</w:t>
      </w:r>
      <w:r>
        <w:rPr>
          <w:rFonts w:hint="eastAsia"/>
          <w:color w:val="auto"/>
          <w:highlight w:val="none"/>
          <w:lang w:val="en-US" w:eastAsia="zh-CN"/>
        </w:rPr>
        <w:t>，并对饮用水源地环境进行综合整治。</w:t>
      </w:r>
    </w:p>
    <w:p w14:paraId="69362265">
      <w:pPr>
        <w:pStyle w:val="6"/>
        <w:bidi w:val="0"/>
        <w:ind w:left="0" w:leftChars="0" w:firstLine="0" w:firstLineChars="0"/>
        <w:rPr>
          <w:rFonts w:hint="eastAsia"/>
          <w:color w:val="auto"/>
          <w:highlight w:val="none"/>
          <w:lang w:eastAsia="zh-CN"/>
        </w:rPr>
      </w:pPr>
      <w:bookmarkStart w:id="82" w:name="_Toc15555"/>
      <w:bookmarkStart w:id="83" w:name="_Toc6081"/>
      <w:bookmarkStart w:id="84" w:name="_Toc15395"/>
      <w:r>
        <w:rPr>
          <w:rFonts w:hint="eastAsia"/>
          <w:color w:val="auto"/>
          <w:highlight w:val="none"/>
        </w:rPr>
        <w:t>水域岸线管理保护任务</w:t>
      </w:r>
      <w:bookmarkEnd w:id="82"/>
      <w:bookmarkEnd w:id="83"/>
      <w:bookmarkEnd w:id="84"/>
    </w:p>
    <w:p w14:paraId="749F5030">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1</w:t>
      </w:r>
      <w:r>
        <w:rPr>
          <w:rFonts w:hint="default"/>
          <w:color w:val="auto"/>
          <w:highlight w:val="none"/>
          <w:lang w:val="en-US" w:eastAsia="zh-CN"/>
        </w:rPr>
        <w:t>）加强涉河建设项目管理</w:t>
      </w:r>
    </w:p>
    <w:p w14:paraId="58B192C7">
      <w:pPr>
        <w:pStyle w:val="5"/>
        <w:bidi w:val="0"/>
        <w:rPr>
          <w:rFonts w:hint="default"/>
          <w:lang w:val="en-US" w:eastAsia="zh-CN"/>
        </w:rPr>
      </w:pPr>
      <w:r>
        <w:rPr>
          <w:rFonts w:hint="default"/>
          <w:lang w:val="en-US" w:eastAsia="zh-CN"/>
        </w:rPr>
        <w:t>规范河道岸线利用行为，确保区域内水域面积占补平衡，建设项目确需占用水域的，必须落实等效补偿措施。落实规划岸线功能分区管理要求，完善部门联合审查机制，严格执行涉及河道岸线保护和利用建设项目审查审批制度，切实强化岸线保护和节约集约利用。</w:t>
      </w:r>
    </w:p>
    <w:p w14:paraId="61CF3B7D">
      <w:pPr>
        <w:pStyle w:val="27"/>
        <w:bidi w:val="0"/>
        <w:rPr>
          <w:rFonts w:hint="default"/>
          <w:color w:val="FF0000"/>
          <w:highlight w:val="none"/>
          <w:lang w:val="en-US" w:eastAsia="zh-CN"/>
        </w:rPr>
      </w:pPr>
      <w:r>
        <w:rPr>
          <w:rFonts w:hint="eastAsia"/>
          <w:color w:val="auto"/>
          <w:highlight w:val="none"/>
          <w:lang w:val="en-US" w:eastAsia="zh-CN"/>
        </w:rPr>
        <w:t>（2）河道岸线治理维护</w:t>
      </w:r>
    </w:p>
    <w:p w14:paraId="405D0167">
      <w:pPr>
        <w:pStyle w:val="5"/>
        <w:bidi w:val="0"/>
        <w:rPr>
          <w:rFonts w:hint="eastAsia"/>
          <w:color w:val="auto"/>
          <w:highlight w:val="none"/>
          <w:lang w:val="en-US" w:eastAsia="zh-CN"/>
        </w:rPr>
      </w:pPr>
      <w:r>
        <w:rPr>
          <w:rFonts w:hint="default"/>
          <w:lang w:val="en-US" w:eastAsia="zh-CN"/>
        </w:rPr>
        <w:t>①针对河道</w:t>
      </w:r>
      <w:r>
        <w:rPr>
          <w:rFonts w:hint="eastAsia"/>
          <w:lang w:val="en-US" w:eastAsia="zh-CN"/>
        </w:rPr>
        <w:t>堤防、道路、桥梁被洪水冲毁</w:t>
      </w:r>
      <w:r>
        <w:rPr>
          <w:rFonts w:hint="default"/>
          <w:lang w:val="en-US" w:eastAsia="zh-CN"/>
        </w:rPr>
        <w:t>及</w:t>
      </w:r>
      <w:r>
        <w:rPr>
          <w:rFonts w:hint="eastAsia"/>
          <w:lang w:val="en-US" w:eastAsia="zh-CN"/>
        </w:rPr>
        <w:t>堤防种菜</w:t>
      </w:r>
      <w:r>
        <w:rPr>
          <w:rFonts w:hint="default"/>
          <w:lang w:val="en-US" w:eastAsia="zh-CN"/>
        </w:rPr>
        <w:t>等问题，</w:t>
      </w:r>
      <w:r>
        <w:rPr>
          <w:rFonts w:hint="eastAsia"/>
          <w:lang w:val="en-US" w:eastAsia="zh-CN"/>
        </w:rPr>
        <w:t>开展</w:t>
      </w:r>
      <w:r>
        <w:rPr>
          <w:rFonts w:hint="default"/>
          <w:lang w:val="en-US" w:eastAsia="zh-CN"/>
        </w:rPr>
        <w:t>修复工作</w:t>
      </w:r>
    </w:p>
    <w:p w14:paraId="6F672069">
      <w:pPr>
        <w:pStyle w:val="6"/>
        <w:bidi w:val="0"/>
        <w:ind w:left="0" w:leftChars="0" w:firstLine="0" w:firstLineChars="0"/>
        <w:rPr>
          <w:color w:val="auto"/>
          <w:highlight w:val="none"/>
        </w:rPr>
      </w:pPr>
      <w:bookmarkStart w:id="85" w:name="_Toc10499"/>
      <w:bookmarkStart w:id="86" w:name="_Toc22540"/>
      <w:bookmarkStart w:id="87" w:name="_Toc25343"/>
      <w:r>
        <w:rPr>
          <w:rFonts w:hint="eastAsia"/>
          <w:color w:val="auto"/>
          <w:highlight w:val="none"/>
        </w:rPr>
        <w:t>水污染防治任务</w:t>
      </w:r>
      <w:bookmarkEnd w:id="85"/>
      <w:bookmarkEnd w:id="86"/>
      <w:bookmarkEnd w:id="87"/>
    </w:p>
    <w:p w14:paraId="664A7EB0">
      <w:pPr>
        <w:pStyle w:val="27"/>
        <w:bidi w:val="0"/>
        <w:rPr>
          <w:rFonts w:hint="default"/>
          <w:color w:val="auto"/>
          <w:highlight w:val="none"/>
          <w:lang w:val="en-US" w:eastAsia="zh-CN"/>
        </w:rPr>
      </w:pPr>
      <w:r>
        <w:rPr>
          <w:rFonts w:hint="default"/>
          <w:color w:val="auto"/>
          <w:highlight w:val="none"/>
          <w:lang w:val="en-US" w:eastAsia="zh-CN"/>
        </w:rPr>
        <w:t>（1）入河排污口治理任务</w:t>
      </w:r>
    </w:p>
    <w:p w14:paraId="66A6947D">
      <w:pPr>
        <w:pStyle w:val="5"/>
        <w:bidi w:val="0"/>
        <w:rPr>
          <w:rFonts w:hint="default"/>
          <w:lang w:val="en-US" w:eastAsia="zh-CN"/>
        </w:rPr>
      </w:pPr>
      <w:r>
        <w:rPr>
          <w:rFonts w:hint="default"/>
          <w:lang w:val="en-US" w:eastAsia="zh-CN"/>
        </w:rPr>
        <w:t>加强入河排污口的监管。</w:t>
      </w:r>
    </w:p>
    <w:p w14:paraId="0BD68B6E">
      <w:pPr>
        <w:pStyle w:val="27"/>
        <w:bidi w:val="0"/>
        <w:rPr>
          <w:rFonts w:hint="default"/>
          <w:color w:val="auto"/>
          <w:highlight w:val="none"/>
          <w:lang w:val="en-US" w:eastAsia="zh-CN"/>
        </w:rPr>
      </w:pPr>
      <w:r>
        <w:rPr>
          <w:rFonts w:hint="default"/>
          <w:color w:val="auto"/>
          <w:highlight w:val="none"/>
          <w:lang w:val="en-US" w:eastAsia="zh-CN"/>
        </w:rPr>
        <w:t>（2）场镇生活污染治理任务</w:t>
      </w:r>
    </w:p>
    <w:p w14:paraId="6C0DA292">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注重解决污水收集及雨污分流问题。消除沿河污水直排口；提高乡镇污水集中收集率和污水处理率。</w:t>
      </w:r>
    </w:p>
    <w:p w14:paraId="3A20FCA7">
      <w:pPr>
        <w:pStyle w:val="27"/>
        <w:bidi w:val="0"/>
        <w:ind w:left="0" w:leftChars="0" w:firstLine="484" w:firstLineChars="20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）农村生活污染治理任务</w:t>
      </w:r>
    </w:p>
    <w:p w14:paraId="16543736">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加强对农村居民聚集点生活污水处理设施运营的监管工作，加强农村生活污染防治。</w:t>
      </w:r>
    </w:p>
    <w:p w14:paraId="05AF54FD">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4</w:t>
      </w:r>
      <w:r>
        <w:rPr>
          <w:rFonts w:hint="default"/>
          <w:color w:val="auto"/>
          <w:highlight w:val="none"/>
          <w:lang w:val="en-US" w:eastAsia="zh-CN"/>
        </w:rPr>
        <w:t>）农田面源污染治理任务</w:t>
      </w:r>
    </w:p>
    <w:p w14:paraId="39B98FB8">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开展农田面源污染治理工作，实施化肥、农药减量化行动，减少化肥、农药的使用量。</w:t>
      </w:r>
    </w:p>
    <w:p w14:paraId="5B1455D5">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5</w:t>
      </w:r>
      <w:r>
        <w:rPr>
          <w:rFonts w:hint="default"/>
          <w:color w:val="auto"/>
          <w:highlight w:val="none"/>
          <w:lang w:val="en-US" w:eastAsia="zh-CN"/>
        </w:rPr>
        <w:t>）畜禽污染治理任务</w:t>
      </w:r>
    </w:p>
    <w:p w14:paraId="39E3B75D">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加强规模化</w:t>
      </w:r>
      <w:r>
        <w:rPr>
          <w:rFonts w:hint="eastAsia" w:ascii="Times New Roman" w:hAnsi="Times New Roman" w:cs="Times New Roman"/>
          <w:lang w:val="en-US" w:eastAsia="zh-CN"/>
        </w:rPr>
        <w:t>养殖场</w:t>
      </w:r>
      <w:r>
        <w:rPr>
          <w:rFonts w:hint="default" w:ascii="Times New Roman" w:hAnsi="Times New Roman" w:cs="Times New Roman"/>
          <w:lang w:val="en-US" w:eastAsia="zh-CN"/>
        </w:rPr>
        <w:t>的监督管理，推进畜禽养殖农牧结合、种养平衡、生态循环。</w:t>
      </w:r>
    </w:p>
    <w:p w14:paraId="352554C1">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6</w:t>
      </w:r>
      <w:r>
        <w:rPr>
          <w:rFonts w:hint="default"/>
          <w:color w:val="auto"/>
          <w:highlight w:val="none"/>
          <w:lang w:val="en-US" w:eastAsia="zh-CN"/>
        </w:rPr>
        <w:t>）水产养殖污染治理任务</w:t>
      </w:r>
    </w:p>
    <w:p w14:paraId="4A477049">
      <w:pPr>
        <w:pStyle w:val="5"/>
        <w:bidi w:val="0"/>
        <w:rPr>
          <w:rFonts w:hint="default"/>
          <w:color w:val="auto"/>
          <w:highlight w:val="none"/>
          <w:lang w:val="en-US" w:eastAsia="zh-CN"/>
        </w:rPr>
      </w:pPr>
      <w:r>
        <w:rPr>
          <w:rFonts w:hint="default" w:ascii="Times New Roman" w:hAnsi="Times New Roman" w:cs="Times New Roman"/>
          <w:lang w:val="en-US" w:eastAsia="zh-CN"/>
        </w:rPr>
        <w:t>规范化水产养殖户养殖行为，全面禁止肥水养鱼，养殖尾水达标排放。</w:t>
      </w:r>
    </w:p>
    <w:p w14:paraId="68D6701B">
      <w:pPr>
        <w:pStyle w:val="6"/>
        <w:bidi w:val="0"/>
        <w:ind w:left="0" w:leftChars="0" w:firstLine="0" w:firstLineChars="0"/>
        <w:rPr>
          <w:color w:val="auto"/>
          <w:highlight w:val="none"/>
        </w:rPr>
      </w:pPr>
      <w:bookmarkStart w:id="88" w:name="_Toc12006"/>
      <w:bookmarkStart w:id="89" w:name="_Toc15781"/>
      <w:bookmarkStart w:id="90" w:name="_Toc1060"/>
      <w:r>
        <w:rPr>
          <w:rFonts w:hint="eastAsia"/>
          <w:color w:val="auto"/>
          <w:highlight w:val="none"/>
        </w:rPr>
        <w:t>水环境治理任务</w:t>
      </w:r>
      <w:bookmarkEnd w:id="88"/>
      <w:bookmarkEnd w:id="89"/>
      <w:bookmarkEnd w:id="90"/>
    </w:p>
    <w:p w14:paraId="2587621D">
      <w:pPr>
        <w:pStyle w:val="27"/>
        <w:bidi w:val="0"/>
        <w:rPr>
          <w:rFonts w:hint="default"/>
          <w:color w:val="auto"/>
          <w:highlight w:val="none"/>
          <w:lang w:val="en-US" w:eastAsia="zh-CN"/>
        </w:rPr>
      </w:pPr>
      <w:r>
        <w:rPr>
          <w:rFonts w:hint="default"/>
          <w:color w:val="auto"/>
          <w:highlight w:val="none"/>
          <w:lang w:val="en-US" w:eastAsia="zh-CN"/>
        </w:rPr>
        <w:t>（1）强化河道水质保障</w:t>
      </w:r>
    </w:p>
    <w:p w14:paraId="468FE3EA">
      <w:pPr>
        <w:pStyle w:val="5"/>
        <w:bidi w:val="0"/>
        <w:rPr>
          <w:rFonts w:hint="default"/>
          <w:lang w:val="en-US" w:eastAsia="zh-CN"/>
        </w:rPr>
      </w:pPr>
      <w:r>
        <w:rPr>
          <w:rFonts w:hint="default"/>
          <w:lang w:val="en-US" w:eastAsia="zh-CN"/>
        </w:rPr>
        <w:t>强化河道水质保障</w:t>
      </w:r>
      <w:r>
        <w:rPr>
          <w:rFonts w:hint="eastAsia"/>
          <w:lang w:val="en-US" w:eastAsia="zh-CN"/>
        </w:rPr>
        <w:t>，</w:t>
      </w:r>
      <w:r>
        <w:rPr>
          <w:rFonts w:hint="default"/>
          <w:lang w:val="en-US" w:eastAsia="zh-CN"/>
        </w:rPr>
        <w:t>严格执行水污染各项防治措施，加强水质监督保障机制。</w:t>
      </w:r>
    </w:p>
    <w:p w14:paraId="39F569C8">
      <w:pPr>
        <w:pStyle w:val="27"/>
        <w:bidi w:val="0"/>
        <w:rPr>
          <w:rFonts w:hint="eastAsia" w:ascii="Times New Roman" w:hAnsi="Times New Roman" w:cs="Times New Roman"/>
          <w:color w:val="auto"/>
          <w:highlight w:val="none"/>
          <w:lang w:val="en-US" w:eastAsia="zh-CN"/>
        </w:rPr>
      </w:pPr>
      <w:r>
        <w:rPr>
          <w:rFonts w:hint="default" w:ascii="Times New Roman" w:hAnsi="Times New Roman" w:cs="Times New Roman"/>
          <w:b w:val="0"/>
          <w:bCs/>
          <w:color w:val="auto"/>
          <w:highlight w:val="none"/>
          <w:lang w:val="en-US" w:eastAsia="zh-CN"/>
        </w:rPr>
        <w:t>（</w:t>
      </w:r>
      <w:r>
        <w:rPr>
          <w:rFonts w:hint="eastAsia" w:ascii="Times New Roman" w:hAnsi="Times New Roman" w:cs="Times New Roman"/>
          <w:b w:val="0"/>
          <w:bCs/>
          <w:color w:val="auto"/>
          <w:highlight w:val="none"/>
          <w:lang w:val="en-US" w:eastAsia="zh-CN"/>
        </w:rPr>
        <w:t>2</w:t>
      </w:r>
      <w:r>
        <w:rPr>
          <w:rFonts w:hint="default" w:ascii="Times New Roman" w:hAnsi="Times New Roman" w:cs="Times New Roman"/>
          <w:b w:val="0"/>
          <w:bCs/>
          <w:color w:val="auto"/>
          <w:highlight w:val="none"/>
          <w:lang w:val="en-US" w:eastAsia="zh-CN"/>
        </w:rPr>
        <w:t>）继续加强沿河垃圾清理及水面漂浮物打捞，增强沿岸居民水环境保护意识。</w:t>
      </w:r>
    </w:p>
    <w:p w14:paraId="2710ACE5">
      <w:pPr>
        <w:pStyle w:val="6"/>
        <w:bidi w:val="0"/>
        <w:ind w:left="0" w:leftChars="0" w:firstLine="0" w:firstLineChars="0"/>
        <w:rPr>
          <w:color w:val="auto"/>
          <w:highlight w:val="none"/>
        </w:rPr>
      </w:pPr>
      <w:bookmarkStart w:id="91" w:name="_Toc8006"/>
      <w:bookmarkStart w:id="92" w:name="_Toc20169"/>
      <w:bookmarkStart w:id="93" w:name="_Toc16265"/>
      <w:r>
        <w:rPr>
          <w:rFonts w:hint="eastAsia"/>
          <w:color w:val="auto"/>
          <w:highlight w:val="none"/>
        </w:rPr>
        <w:t>水生态修复任务</w:t>
      </w:r>
      <w:bookmarkEnd w:id="91"/>
      <w:bookmarkEnd w:id="92"/>
      <w:bookmarkEnd w:id="93"/>
    </w:p>
    <w:p w14:paraId="3C55319B">
      <w:pPr>
        <w:pStyle w:val="27"/>
        <w:bidi w:val="0"/>
        <w:rPr>
          <w:rFonts w:hint="default"/>
          <w:color w:val="auto"/>
          <w:highlight w:val="none"/>
          <w:lang w:val="en-US" w:eastAsia="zh-CN"/>
        </w:rPr>
      </w:pPr>
      <w:r>
        <w:rPr>
          <w:rFonts w:hint="eastAsia"/>
          <w:color w:val="auto"/>
          <w:highlight w:val="none"/>
          <w:lang w:val="en-US" w:eastAsia="zh-CN"/>
        </w:rPr>
        <w:t>（1）保障生态基流</w:t>
      </w:r>
    </w:p>
    <w:p w14:paraId="361BEF9C">
      <w:pPr>
        <w:pStyle w:val="5"/>
        <w:bidi w:val="0"/>
        <w:rPr>
          <w:rFonts w:hint="eastAsia"/>
          <w:lang w:val="en-US" w:eastAsia="zh-CN"/>
        </w:rPr>
      </w:pPr>
      <w:r>
        <w:rPr>
          <w:rFonts w:hint="eastAsia"/>
          <w:lang w:val="en-US" w:eastAsia="zh-CN"/>
        </w:rPr>
        <w:t>严格控制镇域内电站下泄生态流量，保障石耶镇各河流生态基流。</w:t>
      </w:r>
    </w:p>
    <w:p w14:paraId="6E115D60">
      <w:pPr>
        <w:pStyle w:val="27"/>
        <w:bidi w:val="0"/>
        <w:rPr>
          <w:rFonts w:hint="default"/>
          <w:color w:val="auto"/>
          <w:highlight w:val="none"/>
          <w:lang w:val="en-US" w:eastAsia="zh-CN"/>
        </w:rPr>
      </w:pP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）水土流失防治</w:t>
      </w:r>
    </w:p>
    <w:p w14:paraId="79DA77A3">
      <w:pPr>
        <w:pStyle w:val="5"/>
        <w:bidi w:val="0"/>
        <w:rPr>
          <w:rFonts w:hint="default"/>
          <w:lang w:val="en-US" w:eastAsia="zh-CN"/>
        </w:rPr>
      </w:pPr>
      <w:r>
        <w:rPr>
          <w:rFonts w:hint="default"/>
          <w:lang w:val="en-US" w:eastAsia="zh-CN"/>
        </w:rPr>
        <w:t>继续推进</w:t>
      </w:r>
      <w:r>
        <w:rPr>
          <w:rFonts w:hint="eastAsia"/>
          <w:lang w:val="en-US" w:eastAsia="zh-CN"/>
        </w:rPr>
        <w:t>石耶镇</w:t>
      </w:r>
      <w:r>
        <w:rPr>
          <w:rFonts w:hint="default"/>
          <w:lang w:val="en-US" w:eastAsia="zh-CN"/>
        </w:rPr>
        <w:t>水土流失预防和治理，全面实施岸线绿化，绿化荒山荒坡</w:t>
      </w:r>
      <w:r>
        <w:rPr>
          <w:rFonts w:hint="eastAsia"/>
          <w:lang w:val="en-US" w:eastAsia="zh-CN"/>
        </w:rPr>
        <w:t>；实施重点小流域治理（中平河）</w:t>
      </w:r>
      <w:r>
        <w:rPr>
          <w:rFonts w:hint="default"/>
          <w:lang w:val="en-US" w:eastAsia="zh-CN"/>
        </w:rPr>
        <w:t>。</w:t>
      </w:r>
    </w:p>
    <w:p w14:paraId="5E3EA332">
      <w:pPr>
        <w:pStyle w:val="27"/>
        <w:bidi w:val="0"/>
        <w:rPr>
          <w:rFonts w:hint="default"/>
          <w:color w:val="auto"/>
          <w:highlight w:val="none"/>
          <w:lang w:val="en-US" w:eastAsia="zh-CN"/>
        </w:rPr>
      </w:pPr>
      <w:r>
        <w:rPr>
          <w:rFonts w:hint="eastAsia"/>
          <w:color w:val="auto"/>
          <w:highlight w:val="none"/>
          <w:lang w:val="en-US" w:eastAsia="zh-CN"/>
        </w:rPr>
        <w:t>（3）</w:t>
      </w:r>
      <w:r>
        <w:rPr>
          <w:rFonts w:hint="default"/>
          <w:color w:val="auto"/>
          <w:highlight w:val="none"/>
          <w:lang w:val="en-US" w:eastAsia="zh-CN"/>
        </w:rPr>
        <w:t>生物资源保障</w:t>
      </w:r>
    </w:p>
    <w:p w14:paraId="5F5CFEA3">
      <w:pPr>
        <w:pStyle w:val="5"/>
        <w:bidi w:val="0"/>
        <w:rPr>
          <w:rFonts w:hint="default"/>
          <w:color w:val="auto"/>
          <w:highlight w:val="none"/>
          <w:lang w:val="en-US" w:eastAsia="zh-CN"/>
        </w:rPr>
      </w:pPr>
      <w:r>
        <w:rPr>
          <w:rFonts w:hint="default"/>
          <w:color w:val="auto"/>
          <w:highlight w:val="none"/>
          <w:lang w:val="en-US" w:eastAsia="zh-CN"/>
        </w:rPr>
        <w:t>强化生态管控，保护流域内水生生物资源，保证流域内生物资源不减少。</w:t>
      </w:r>
      <w:r>
        <w:rPr>
          <w:rFonts w:hint="eastAsia"/>
          <w:color w:val="auto"/>
          <w:highlight w:val="none"/>
          <w:lang w:val="en-US" w:eastAsia="zh-CN"/>
        </w:rPr>
        <w:t>实施</w:t>
      </w:r>
      <w:r>
        <w:rPr>
          <w:rFonts w:hint="default"/>
          <w:color w:val="auto"/>
          <w:highlight w:val="none"/>
          <w:lang w:val="en-US" w:eastAsia="zh-CN"/>
        </w:rPr>
        <w:t>秀山县</w:t>
      </w:r>
      <w:r>
        <w:rPr>
          <w:rFonts w:hint="eastAsia"/>
          <w:color w:val="auto"/>
          <w:highlight w:val="none"/>
          <w:lang w:val="en-US" w:eastAsia="zh-CN"/>
        </w:rPr>
        <w:t>梅江</w:t>
      </w:r>
      <w:r>
        <w:rPr>
          <w:rFonts w:hint="default"/>
          <w:color w:val="auto"/>
          <w:highlight w:val="none"/>
          <w:lang w:val="en-US" w:eastAsia="zh-CN"/>
        </w:rPr>
        <w:t>河水生态综合治理工程</w:t>
      </w:r>
      <w:r>
        <w:rPr>
          <w:rFonts w:hint="eastAsia"/>
          <w:lang w:val="en-US" w:eastAsia="zh-CN"/>
        </w:rPr>
        <w:t>（石耶镇段）</w:t>
      </w:r>
      <w:r>
        <w:rPr>
          <w:rFonts w:hint="eastAsia"/>
          <w:color w:val="auto"/>
          <w:highlight w:val="none"/>
          <w:lang w:val="en-US" w:eastAsia="zh-CN"/>
        </w:rPr>
        <w:t>。</w:t>
      </w:r>
    </w:p>
    <w:p w14:paraId="4B190EB0">
      <w:pPr>
        <w:pStyle w:val="6"/>
        <w:bidi w:val="0"/>
        <w:ind w:left="0" w:leftChars="0" w:firstLine="0" w:firstLineChars="0"/>
        <w:rPr>
          <w:color w:val="auto"/>
          <w:highlight w:val="none"/>
        </w:rPr>
      </w:pPr>
      <w:bookmarkStart w:id="94" w:name="_Toc136"/>
      <w:bookmarkStart w:id="95" w:name="_Toc22194"/>
      <w:bookmarkStart w:id="96" w:name="_Toc20808"/>
      <w:r>
        <w:rPr>
          <w:rFonts w:hint="eastAsia"/>
          <w:color w:val="auto"/>
          <w:highlight w:val="none"/>
        </w:rPr>
        <w:t>执法监管任务</w:t>
      </w:r>
      <w:bookmarkEnd w:id="94"/>
      <w:bookmarkEnd w:id="95"/>
      <w:bookmarkEnd w:id="96"/>
    </w:p>
    <w:p w14:paraId="18C6FA59">
      <w:pPr>
        <w:pStyle w:val="27"/>
        <w:bidi w:val="0"/>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健全监督执法机制</w:t>
      </w:r>
    </w:p>
    <w:p w14:paraId="17FD3A12">
      <w:pPr>
        <w:pStyle w:val="5"/>
        <w:bidi w:val="0"/>
        <w:rPr>
          <w:rFonts w:hint="default"/>
          <w:lang w:val="en-US" w:eastAsia="zh-CN"/>
        </w:rPr>
      </w:pPr>
      <w:r>
        <w:rPr>
          <w:rFonts w:hint="default"/>
          <w:lang w:val="en-US" w:eastAsia="zh-CN"/>
        </w:rPr>
        <w:t>完善建立联席会议制度，建立健全部门联合执法机制，落实执法责任主体，加强执法队伍与装备建设，开展日常巡查和动态监管，打击涉河库违法行为。</w:t>
      </w:r>
    </w:p>
    <w:p w14:paraId="54F78A71">
      <w:pPr>
        <w:pStyle w:val="27"/>
        <w:bidi w:val="0"/>
        <w:rPr>
          <w:rFonts w:hint="default"/>
          <w:color w:val="auto"/>
          <w:highlight w:val="none"/>
          <w:lang w:val="en-US" w:eastAsia="zh-CN"/>
        </w:rPr>
      </w:pPr>
      <w:r>
        <w:rPr>
          <w:rFonts w:hint="eastAsia"/>
          <w:color w:val="auto"/>
          <w:highlight w:val="none"/>
          <w:lang w:val="en-US" w:eastAsia="zh-CN"/>
        </w:rPr>
        <w:t>（2）</w:t>
      </w:r>
      <w:r>
        <w:rPr>
          <w:rFonts w:hint="eastAsia"/>
          <w:color w:val="auto"/>
          <w:highlight w:val="none"/>
        </w:rPr>
        <w:t>建立河长制工作专项经费渠道</w:t>
      </w:r>
    </w:p>
    <w:p w14:paraId="3469403D">
      <w:pPr>
        <w:pStyle w:val="5"/>
        <w:bidi w:val="0"/>
        <w:rPr>
          <w:color w:val="auto"/>
          <w:highlight w:val="none"/>
        </w:rPr>
      </w:pPr>
      <w:r>
        <w:rPr>
          <w:rFonts w:hint="eastAsia"/>
        </w:rPr>
        <w:t>明确开展河长制工作的经费渠道与经费保障。明确可用的支出类型。重点保障</w:t>
      </w:r>
      <w:r>
        <w:t>日常巡河、垃圾清理、清漂等</w:t>
      </w:r>
      <w:r>
        <w:rPr>
          <w:rFonts w:hint="eastAsia"/>
        </w:rPr>
        <w:t>的经费</w:t>
      </w:r>
      <w:r>
        <w:rPr>
          <w:rFonts w:hint="eastAsia"/>
          <w:lang w:eastAsia="zh-CN"/>
        </w:rPr>
        <w:t>。</w:t>
      </w:r>
      <w:r>
        <w:rPr>
          <w:rFonts w:hint="eastAsia"/>
          <w:color w:val="auto"/>
          <w:highlight w:val="none"/>
        </w:rPr>
        <w:br w:type="page"/>
      </w:r>
    </w:p>
    <w:p w14:paraId="6A27C288">
      <w:pPr>
        <w:pStyle w:val="4"/>
        <w:bidi w:val="0"/>
        <w:ind w:left="0" w:leftChars="0" w:firstLine="0" w:firstLineChars="0"/>
        <w:rPr>
          <w:rFonts w:hint="eastAsia"/>
          <w:color w:val="auto"/>
          <w:highlight w:val="none"/>
        </w:rPr>
      </w:pPr>
      <w:bookmarkStart w:id="97" w:name="_Toc21737"/>
      <w:bookmarkStart w:id="98" w:name="_Toc31057"/>
      <w:r>
        <w:rPr>
          <w:rFonts w:hint="eastAsia"/>
          <w:color w:val="auto"/>
          <w:highlight w:val="none"/>
          <w:lang w:val="en-US" w:eastAsia="zh-CN"/>
        </w:rPr>
        <w:t xml:space="preserve">  </w:t>
      </w:r>
      <w:bookmarkStart w:id="99" w:name="_Toc26154"/>
      <w:r>
        <w:rPr>
          <w:rFonts w:hint="eastAsia"/>
          <w:color w:val="auto"/>
          <w:highlight w:val="none"/>
        </w:rPr>
        <w:t>管理保护</w:t>
      </w:r>
      <w:r>
        <w:rPr>
          <w:rFonts w:hint="eastAsia"/>
          <w:color w:val="auto"/>
          <w:highlight w:val="none"/>
          <w:lang w:val="en-US" w:eastAsia="zh-CN"/>
        </w:rPr>
        <w:t>措施</w:t>
      </w:r>
      <w:bookmarkEnd w:id="99"/>
    </w:p>
    <w:p w14:paraId="7857D416">
      <w:pPr>
        <w:pStyle w:val="6"/>
        <w:bidi w:val="0"/>
        <w:rPr>
          <w:rFonts w:hint="default"/>
          <w:color w:val="auto"/>
          <w:highlight w:val="none"/>
          <w:lang w:val="en-US" w:eastAsia="zh-CN"/>
        </w:rPr>
      </w:pPr>
      <w:bookmarkStart w:id="100" w:name="_Toc30361"/>
      <w:r>
        <w:rPr>
          <w:rFonts w:hint="default"/>
          <w:color w:val="auto"/>
          <w:highlight w:val="none"/>
          <w:lang w:val="en-US" w:eastAsia="zh-CN"/>
        </w:rPr>
        <w:t>水资源保护</w:t>
      </w:r>
      <w:bookmarkEnd w:id="97"/>
      <w:bookmarkEnd w:id="98"/>
      <w:r>
        <w:rPr>
          <w:rFonts w:hint="eastAsia"/>
          <w:color w:val="auto"/>
          <w:highlight w:val="none"/>
          <w:lang w:val="en-US" w:eastAsia="zh-CN"/>
        </w:rPr>
        <w:t>措施</w:t>
      </w:r>
      <w:bookmarkEnd w:id="100"/>
    </w:p>
    <w:p w14:paraId="3F68E15F">
      <w:pPr>
        <w:pStyle w:val="7"/>
        <w:bidi w:val="0"/>
        <w:ind w:left="0" w:leftChars="0" w:firstLine="0" w:firstLineChars="0"/>
        <w:rPr>
          <w:rFonts w:hint="default"/>
          <w:lang w:val="en-US" w:eastAsia="zh-CN"/>
        </w:rPr>
      </w:pPr>
      <w:r>
        <w:rPr>
          <w:rFonts w:hint="default"/>
          <w:color w:val="auto"/>
          <w:highlight w:val="none"/>
          <w:lang w:val="en-US" w:eastAsia="zh-CN"/>
        </w:rPr>
        <w:t>落实最严格水资源管理制度</w:t>
      </w:r>
    </w:p>
    <w:p w14:paraId="6B19DFE0">
      <w:pPr>
        <w:pStyle w:val="5"/>
        <w:bidi w:val="0"/>
        <w:rPr>
          <w:rFonts w:hint="default"/>
          <w:lang w:val="en-US" w:eastAsia="zh-CN"/>
        </w:rPr>
      </w:pPr>
      <w:r>
        <w:rPr>
          <w:rFonts w:hint="default"/>
          <w:lang w:val="en-US" w:eastAsia="zh-CN"/>
        </w:rPr>
        <w:t>严格落实水资源开发利用控制、用水效率控制、水功能区限制纳污</w:t>
      </w:r>
      <w:r>
        <w:rPr>
          <w:rFonts w:hint="eastAsia"/>
          <w:lang w:val="en-US" w:eastAsia="zh-CN"/>
        </w:rPr>
        <w:t>“</w:t>
      </w:r>
      <w:r>
        <w:rPr>
          <w:rFonts w:hint="default"/>
          <w:lang w:val="en-US" w:eastAsia="zh-CN"/>
        </w:rPr>
        <w:t>三条红线</w:t>
      </w:r>
      <w:r>
        <w:rPr>
          <w:rFonts w:hint="eastAsia"/>
          <w:lang w:val="en-US" w:eastAsia="zh-CN"/>
        </w:rPr>
        <w:t>”和水资源消耗总量和强度双控指标</w:t>
      </w:r>
      <w:r>
        <w:rPr>
          <w:rFonts w:hint="default"/>
          <w:lang w:val="en-US" w:eastAsia="zh-CN"/>
        </w:rPr>
        <w:t>，并将其作为流域内建设项目水资源论证报告的重要依据和内容。</w:t>
      </w:r>
    </w:p>
    <w:p w14:paraId="71550F20">
      <w:pPr>
        <w:pStyle w:val="5"/>
        <w:bidi w:val="0"/>
        <w:rPr>
          <w:rFonts w:hint="eastAsia"/>
          <w:lang w:eastAsia="zh-CN"/>
        </w:rPr>
      </w:pPr>
      <w:r>
        <w:rPr>
          <w:rFonts w:hint="default"/>
          <w:lang w:val="en-US" w:eastAsia="zh-CN"/>
        </w:rPr>
        <w:t>保证流域用水总量和用水效率得到有效控制，地下水管理全面加强。建立水资源监控体系、统一调度体系</w:t>
      </w:r>
      <w:r>
        <w:rPr>
          <w:rFonts w:hint="eastAsia"/>
          <w:lang w:eastAsia="zh-CN"/>
        </w:rPr>
        <w:t>。</w:t>
      </w:r>
    </w:p>
    <w:p w14:paraId="33A3F7CB">
      <w:pPr>
        <w:pStyle w:val="7"/>
        <w:bidi w:val="0"/>
        <w:ind w:left="0" w:leftChars="0" w:firstLine="0" w:firstLineChars="0"/>
        <w:rPr>
          <w:rFonts w:hint="default"/>
          <w:lang w:val="en-US" w:eastAsia="zh-CN"/>
        </w:rPr>
      </w:pPr>
      <w:r>
        <w:rPr>
          <w:rFonts w:hint="default"/>
          <w:color w:val="auto"/>
          <w:highlight w:val="none"/>
          <w:lang w:val="en-US" w:eastAsia="zh-CN"/>
        </w:rPr>
        <w:t>加强城镇节水</w:t>
      </w:r>
    </w:p>
    <w:p w14:paraId="6CF81E0F">
      <w:pPr>
        <w:pStyle w:val="5"/>
        <w:bidi w:val="0"/>
        <w:rPr>
          <w:rFonts w:hint="eastAsia"/>
          <w:lang w:val="en-US" w:eastAsia="zh-CN"/>
        </w:rPr>
      </w:pPr>
      <w:r>
        <w:rPr>
          <w:rFonts w:hint="default"/>
          <w:lang w:val="en-US" w:eastAsia="zh-CN"/>
        </w:rPr>
        <w:t>巩固提升</w:t>
      </w:r>
      <w:r>
        <w:rPr>
          <w:rFonts w:hint="eastAsia"/>
          <w:lang w:val="en-US" w:eastAsia="zh-CN"/>
        </w:rPr>
        <w:t>“</w:t>
      </w:r>
      <w:r>
        <w:rPr>
          <w:rFonts w:hint="default"/>
          <w:lang w:val="en-US" w:eastAsia="zh-CN"/>
        </w:rPr>
        <w:t>十三五</w:t>
      </w:r>
      <w:r>
        <w:rPr>
          <w:rFonts w:hint="eastAsia"/>
          <w:lang w:val="en-US" w:eastAsia="zh-CN"/>
        </w:rPr>
        <w:t>”</w:t>
      </w:r>
      <w:r>
        <w:rPr>
          <w:rFonts w:hint="default"/>
          <w:lang w:val="en-US" w:eastAsia="zh-CN"/>
        </w:rPr>
        <w:t>节水型社会试点成效，全面推进</w:t>
      </w:r>
      <w:r>
        <w:rPr>
          <w:rFonts w:hint="eastAsia"/>
          <w:lang w:val="en-US" w:eastAsia="zh-CN"/>
        </w:rPr>
        <w:t>“</w:t>
      </w:r>
      <w:r>
        <w:rPr>
          <w:rFonts w:hint="default"/>
          <w:lang w:val="en-US" w:eastAsia="zh-CN"/>
        </w:rPr>
        <w:t>节水型城市</w:t>
      </w:r>
      <w:r>
        <w:rPr>
          <w:rFonts w:hint="eastAsia"/>
          <w:lang w:val="en-US" w:eastAsia="zh-CN"/>
        </w:rPr>
        <w:t>”</w:t>
      </w:r>
      <w:r>
        <w:rPr>
          <w:rFonts w:hint="default"/>
          <w:lang w:val="en-US" w:eastAsia="zh-CN"/>
        </w:rPr>
        <w:t>建设。以分区计量和供水管网更新改造为重点</w:t>
      </w:r>
      <w:r>
        <w:rPr>
          <w:rFonts w:hint="eastAsia"/>
          <w:lang w:val="en-US" w:eastAsia="zh-CN"/>
        </w:rPr>
        <w:t>，</w:t>
      </w:r>
      <w:r>
        <w:rPr>
          <w:rFonts w:hint="default"/>
          <w:lang w:val="en-US" w:eastAsia="zh-CN"/>
        </w:rPr>
        <w:t>建立公共供水系统精细化管理平台和漏损管控体系，加强城镇供水和公共领域节水。从严控制高用水行业用水定额管理，普及推广节水型器具</w:t>
      </w:r>
      <w:r>
        <w:rPr>
          <w:rFonts w:hint="eastAsia"/>
          <w:lang w:val="en-US" w:eastAsia="zh-CN"/>
        </w:rPr>
        <w:t>。</w:t>
      </w:r>
    </w:p>
    <w:p w14:paraId="3F713454">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农业</w:t>
      </w:r>
      <w:r>
        <w:rPr>
          <w:rFonts w:hint="default"/>
          <w:color w:val="auto"/>
          <w:highlight w:val="none"/>
          <w:lang w:val="en-US" w:eastAsia="zh-CN"/>
        </w:rPr>
        <w:t>节水</w:t>
      </w:r>
    </w:p>
    <w:p w14:paraId="3DCCE5A8">
      <w:pPr>
        <w:pStyle w:val="5"/>
        <w:bidi w:val="0"/>
        <w:rPr>
          <w:rFonts w:hint="default"/>
          <w:color w:val="auto"/>
          <w:highlight w:val="none"/>
          <w:lang w:val="en-US" w:eastAsia="zh-CN"/>
        </w:rPr>
      </w:pPr>
      <w:r>
        <w:rPr>
          <w:rFonts w:hint="default"/>
          <w:lang w:val="en-US" w:eastAsia="zh-CN"/>
        </w:rPr>
        <w:t>以提高灌溉水利用效率为核心，结合新农村建设，调整农业种植结构，优化</w:t>
      </w:r>
      <w:r>
        <w:rPr>
          <w:rFonts w:hint="eastAsia"/>
          <w:lang w:val="en-US" w:eastAsia="zh-CN"/>
        </w:rPr>
        <w:t>配置</w:t>
      </w:r>
      <w:r>
        <w:rPr>
          <w:rFonts w:hint="default"/>
          <w:lang w:val="en-US" w:eastAsia="zh-CN"/>
        </w:rPr>
        <w:t>水资源，加快建设高效输配水工程等农业节水基础设施，对现有灌区进行续建配套和节水改造，推广和普及节水技术，优先在粮食主乡（镇）、严重缺水村社发展节水灌溉和推广旱作节水农业示范试点。</w:t>
      </w:r>
    </w:p>
    <w:p w14:paraId="3239EC55">
      <w:pPr>
        <w:pStyle w:val="5"/>
        <w:bidi w:val="0"/>
        <w:rPr>
          <w:rFonts w:hint="default"/>
          <w:lang w:val="en-US" w:eastAsia="zh-CN"/>
        </w:rPr>
      </w:pPr>
      <w:r>
        <w:rPr>
          <w:rStyle w:val="84"/>
          <w:rFonts w:hint="eastAsia"/>
          <w:lang w:val="en-US" w:eastAsia="zh-CN"/>
        </w:rPr>
        <w:t>（1）</w:t>
      </w:r>
      <w:r>
        <w:rPr>
          <w:rStyle w:val="84"/>
          <w:rFonts w:hint="default"/>
          <w:lang w:val="en-US" w:eastAsia="zh-CN"/>
        </w:rPr>
        <w:t>优化农业种植结构。</w:t>
      </w:r>
      <w:r>
        <w:rPr>
          <w:rFonts w:hint="default"/>
          <w:lang w:val="en-US" w:eastAsia="zh-CN"/>
        </w:rPr>
        <w:t>根据水资源承载能力，与生态建设相协调，合理安排作物种植结构和发展灌溉规模，优化农业种植结构和布局，发展高效节水农业和生态农业。水资源短缺的镇乡或村社要限制和压缩高用水、低产出作物种植面积，因地制宜地发展旱作节水农业，积极培育和推广耐旱的优质高效作物品种，发展雨热同期作物。</w:t>
      </w:r>
    </w:p>
    <w:p w14:paraId="1C111FDE">
      <w:pPr>
        <w:pStyle w:val="5"/>
        <w:bidi w:val="0"/>
        <w:rPr>
          <w:rFonts w:hint="default"/>
          <w:lang w:val="en-US" w:eastAsia="zh-CN"/>
        </w:rPr>
      </w:pPr>
      <w:r>
        <w:rPr>
          <w:rStyle w:val="84"/>
          <w:rFonts w:hint="eastAsia"/>
          <w:lang w:val="en-US" w:eastAsia="zh-CN"/>
        </w:rPr>
        <w:t>（2）</w:t>
      </w:r>
      <w:r>
        <w:rPr>
          <w:rStyle w:val="84"/>
          <w:rFonts w:hint="default"/>
          <w:lang w:val="en-US" w:eastAsia="zh-CN"/>
        </w:rPr>
        <w:t>加快已成灌区的节水改造。</w:t>
      </w:r>
      <w:r>
        <w:rPr>
          <w:rFonts w:hint="default"/>
          <w:lang w:val="en-US" w:eastAsia="zh-CN"/>
        </w:rPr>
        <w:t>逐步开展已成灌区的节水改造，提高用水效率。重点解决骨干工程老化失修、渠系不配套、渗漏损失严重等问题。加大田间节水改造力度。因地制宜发展喷微灌等节水灌溉工程，推广田间节水灌溉技术，提高田间用水效率。改革传统耕作方式，发展保护性耕作，推广各种生物、农艺节水技术和保墒技术，研究开发和推广耐旱、高产、优质农作物品种。推广使用高效、无污染的绿色肥料，减少农业面源污染。</w:t>
      </w:r>
    </w:p>
    <w:p w14:paraId="139A90CD">
      <w:pPr>
        <w:pStyle w:val="7"/>
        <w:bidi w:val="0"/>
        <w:ind w:left="0" w:leftChars="0" w:firstLine="0" w:firstLineChars="0"/>
        <w:rPr>
          <w:rFonts w:hint="default"/>
          <w:lang w:val="en-US" w:eastAsia="zh-CN"/>
        </w:rPr>
      </w:pPr>
      <w:r>
        <w:rPr>
          <w:rFonts w:hint="default"/>
          <w:color w:val="auto"/>
          <w:highlight w:val="none"/>
          <w:lang w:val="en-US" w:eastAsia="zh-CN"/>
        </w:rPr>
        <w:t>加强</w:t>
      </w:r>
      <w:r>
        <w:rPr>
          <w:rFonts w:hint="eastAsia"/>
          <w:color w:val="auto"/>
          <w:highlight w:val="none"/>
          <w:lang w:val="en-US" w:eastAsia="zh-CN"/>
        </w:rPr>
        <w:t>工业</w:t>
      </w:r>
      <w:r>
        <w:rPr>
          <w:rFonts w:hint="default"/>
          <w:color w:val="auto"/>
          <w:highlight w:val="none"/>
          <w:lang w:val="en-US" w:eastAsia="zh-CN"/>
        </w:rPr>
        <w:t>节水</w:t>
      </w:r>
    </w:p>
    <w:p w14:paraId="2DA51567">
      <w:pPr>
        <w:pStyle w:val="5"/>
        <w:bidi w:val="0"/>
        <w:rPr>
          <w:rFonts w:hint="default"/>
          <w:color w:val="auto"/>
          <w:highlight w:val="none"/>
          <w:lang w:val="en-US" w:eastAsia="zh-CN"/>
        </w:rPr>
      </w:pPr>
      <w:r>
        <w:rPr>
          <w:rFonts w:hint="default"/>
          <w:color w:val="auto"/>
          <w:highlight w:val="none"/>
          <w:lang w:val="en-US" w:eastAsia="zh-CN"/>
        </w:rPr>
        <w:t>深入开展工业节水、加快高耗水工业节水技术改造，推广节水工艺和技术，稳步提高用水效率和效益。</w:t>
      </w:r>
    </w:p>
    <w:p w14:paraId="717024B1">
      <w:pPr>
        <w:pStyle w:val="7"/>
        <w:bidi w:val="0"/>
        <w:ind w:left="0" w:leftChars="0" w:firstLine="0" w:firstLineChars="0"/>
        <w:rPr>
          <w:rFonts w:hint="default"/>
          <w:lang w:val="en-US" w:eastAsia="zh-CN"/>
        </w:rPr>
      </w:pPr>
      <w:r>
        <w:rPr>
          <w:rFonts w:hint="default"/>
          <w:color w:val="auto"/>
          <w:highlight w:val="none"/>
          <w:lang w:val="en-US" w:eastAsia="zh-CN"/>
        </w:rPr>
        <w:t>加强农村节水</w:t>
      </w:r>
    </w:p>
    <w:p w14:paraId="1C7632E2">
      <w:pPr>
        <w:pStyle w:val="5"/>
        <w:bidi w:val="0"/>
        <w:rPr>
          <w:rFonts w:hint="default"/>
          <w:color w:val="auto"/>
          <w:highlight w:val="none"/>
          <w:lang w:val="en-US" w:eastAsia="zh-CN"/>
        </w:rPr>
      </w:pPr>
      <w:r>
        <w:rPr>
          <w:rFonts w:hint="default"/>
          <w:color w:val="auto"/>
          <w:highlight w:val="none"/>
          <w:lang w:val="en-US" w:eastAsia="zh-CN"/>
        </w:rPr>
        <w:t>加快推进农村集中供水、排水体系建设，完善农村供水、排水设施，提高供排水计量器具配备率。认真开展农村生活节水、饮用水水源保护、水质监测、污水集中收集处理等工作，改善农村用水环境。探索建立农村供水水价机制，促进农村节约用水。</w:t>
      </w:r>
    </w:p>
    <w:p w14:paraId="3A51B3D0">
      <w:pPr>
        <w:pStyle w:val="7"/>
        <w:bidi w:val="0"/>
        <w:ind w:left="0" w:leftChars="0" w:firstLine="0" w:firstLineChars="0"/>
        <w:rPr>
          <w:rFonts w:hint="default"/>
          <w:lang w:val="en-US" w:eastAsia="zh-CN"/>
        </w:rPr>
      </w:pPr>
      <w:r>
        <w:rPr>
          <w:rFonts w:hint="default"/>
          <w:color w:val="auto"/>
          <w:highlight w:val="none"/>
          <w:lang w:val="en-US" w:eastAsia="zh-CN"/>
        </w:rPr>
        <w:t>加强节水宣传</w:t>
      </w:r>
    </w:p>
    <w:p w14:paraId="12B91840">
      <w:pPr>
        <w:pStyle w:val="5"/>
        <w:bidi w:val="0"/>
        <w:rPr>
          <w:rFonts w:hint="default"/>
          <w:color w:val="auto"/>
          <w:highlight w:val="none"/>
          <w:lang w:val="en-US" w:eastAsia="zh-CN"/>
        </w:rPr>
      </w:pPr>
      <w:r>
        <w:rPr>
          <w:rFonts w:hint="default"/>
          <w:color w:val="auto"/>
          <w:highlight w:val="none"/>
          <w:lang w:val="en-US" w:eastAsia="zh-CN"/>
        </w:rPr>
        <w:t>在宣传过程中</w:t>
      </w:r>
      <w:r>
        <w:rPr>
          <w:rFonts w:hint="eastAsia"/>
          <w:color w:val="auto"/>
          <w:highlight w:val="none"/>
          <w:lang w:val="en-US" w:eastAsia="zh-CN"/>
        </w:rPr>
        <w:t>应</w:t>
      </w:r>
      <w:r>
        <w:rPr>
          <w:rFonts w:hint="default"/>
          <w:color w:val="auto"/>
          <w:highlight w:val="none"/>
          <w:lang w:val="en-US" w:eastAsia="zh-CN"/>
        </w:rPr>
        <w:t>不断创新形式，开展了一些富有特色的节水宣传活动，使群众在参与的过程中接受节水知识宣传教育，提高了节水意识。具体措施包括：提倡节水型学校创建、节水进校园、</w:t>
      </w:r>
      <w:r>
        <w:rPr>
          <w:rFonts w:hint="eastAsia"/>
          <w:color w:val="auto"/>
          <w:highlight w:val="none"/>
          <w:lang w:val="en-US" w:eastAsia="zh-CN"/>
        </w:rPr>
        <w:t>“</w:t>
      </w:r>
      <w:r>
        <w:rPr>
          <w:rFonts w:hint="default"/>
          <w:color w:val="auto"/>
          <w:highlight w:val="none"/>
          <w:lang w:val="en-US" w:eastAsia="zh-CN"/>
        </w:rPr>
        <w:t>绿色小使者</w:t>
      </w:r>
      <w:r>
        <w:rPr>
          <w:rFonts w:hint="eastAsia"/>
          <w:color w:val="auto"/>
          <w:highlight w:val="none"/>
          <w:lang w:val="en-US" w:eastAsia="zh-CN"/>
        </w:rPr>
        <w:t>”</w:t>
      </w:r>
      <w:r>
        <w:rPr>
          <w:rFonts w:hint="default"/>
          <w:color w:val="auto"/>
          <w:highlight w:val="none"/>
          <w:lang w:val="en-US" w:eastAsia="zh-CN"/>
        </w:rPr>
        <w:t>评选等节水宣传、节水奖惩机制；在机关、单位、企业、学校和小区等地张贴节约用水宣传海报；在世界水日、中国水周、世界环境日等重要节点定期开展节水宣传教育活动；充分利用微信、QQ等宣传媒介不定时进行节水宣传，组织网络节水知识竞答；特别注重学生节水意识的培养，开展节水宣传进校园活动，切实加强节水宣传教育，普及水情和节水知识，提高公众节水意识。</w:t>
      </w:r>
    </w:p>
    <w:p w14:paraId="48D2F88F">
      <w:pPr>
        <w:pStyle w:val="7"/>
        <w:bidi w:val="0"/>
        <w:ind w:left="0" w:leftChars="0" w:firstLine="0" w:firstLineChars="0"/>
        <w:rPr>
          <w:rFonts w:hint="default"/>
          <w:lang w:val="en-US" w:eastAsia="zh-CN"/>
        </w:rPr>
      </w:pPr>
      <w:r>
        <w:rPr>
          <w:rFonts w:hint="default"/>
          <w:color w:val="auto"/>
          <w:highlight w:val="none"/>
          <w:lang w:val="en-US" w:eastAsia="zh-CN"/>
        </w:rPr>
        <w:t>加强饮用水水源地</w:t>
      </w:r>
      <w:r>
        <w:rPr>
          <w:rFonts w:hint="eastAsia"/>
          <w:color w:val="auto"/>
          <w:highlight w:val="none"/>
          <w:lang w:val="en-US" w:eastAsia="zh-CN"/>
        </w:rPr>
        <w:t>保护</w:t>
      </w:r>
    </w:p>
    <w:p w14:paraId="4CAA4447">
      <w:pPr>
        <w:pStyle w:val="5"/>
        <w:bidi w:val="0"/>
        <w:rPr>
          <w:rFonts w:hint="default"/>
          <w:lang w:val="en-US" w:eastAsia="zh-CN"/>
        </w:rPr>
      </w:pPr>
      <w:r>
        <w:rPr>
          <w:rFonts w:hint="eastAsia"/>
        </w:rPr>
        <w:t>加强</w:t>
      </w:r>
      <w:r>
        <w:rPr>
          <w:rFonts w:hint="eastAsia"/>
          <w:lang w:eastAsia="zh-CN"/>
        </w:rPr>
        <w:t>流域内饮用水源地</w:t>
      </w:r>
      <w:r>
        <w:rPr>
          <w:rFonts w:hint="eastAsia"/>
        </w:rPr>
        <w:t>监测力度及保护力度，属地政府和供水企业要加强对饮用水源地供水干渠（管）、道路警示标志、饮用水源地标志牌等常规设施设备的日常管护力度。加强水环保宣传工作，加强针对群众环保意识的宣传，减少污染物入库，让群众养成自发保护环境的习惯；养护水库周边水源涵养林，加强库区坡耕地的水土保持能力，提高水库水源涵养的能力</w:t>
      </w:r>
      <w:r>
        <w:rPr>
          <w:rFonts w:hint="default"/>
          <w:lang w:val="en-US" w:eastAsia="zh-CN"/>
        </w:rPr>
        <w:t>。</w:t>
      </w:r>
    </w:p>
    <w:p w14:paraId="1B346DB3">
      <w:pPr>
        <w:pStyle w:val="5"/>
        <w:bidi w:val="0"/>
        <w:rPr>
          <w:rFonts w:hint="default"/>
          <w:color w:val="auto"/>
          <w:lang w:val="en-US" w:eastAsia="zh-CN"/>
        </w:rPr>
      </w:pPr>
      <w:r>
        <w:rPr>
          <w:rFonts w:hint="eastAsia"/>
          <w:color w:val="auto"/>
          <w:lang w:val="en-US" w:eastAsia="zh-CN"/>
        </w:rPr>
        <w:t>对石耶集镇水厂水源地实施水资源涵养保护项目，建设内容为：岸边植被带，生态涵养林建设等。</w:t>
      </w:r>
    </w:p>
    <w:p w14:paraId="2314EFA3">
      <w:pPr>
        <w:pStyle w:val="6"/>
        <w:bidi w:val="0"/>
        <w:rPr>
          <w:rFonts w:hint="default"/>
          <w:color w:val="auto"/>
          <w:highlight w:val="none"/>
          <w:lang w:val="en-US" w:eastAsia="zh-CN"/>
        </w:rPr>
      </w:pPr>
      <w:bookmarkStart w:id="101" w:name="_Toc4029"/>
      <w:r>
        <w:rPr>
          <w:rFonts w:hint="eastAsia"/>
          <w:color w:val="auto"/>
          <w:highlight w:val="none"/>
          <w:lang w:val="en-US" w:eastAsia="zh-CN"/>
        </w:rPr>
        <w:t>水域岸线管理</w:t>
      </w:r>
      <w:r>
        <w:rPr>
          <w:rFonts w:hint="default"/>
          <w:color w:val="auto"/>
          <w:highlight w:val="none"/>
          <w:lang w:val="en-US" w:eastAsia="zh-CN"/>
        </w:rPr>
        <w:t>保护</w:t>
      </w:r>
      <w:r>
        <w:rPr>
          <w:rFonts w:hint="eastAsia"/>
          <w:color w:val="auto"/>
          <w:highlight w:val="none"/>
          <w:lang w:val="en-US" w:eastAsia="zh-CN"/>
        </w:rPr>
        <w:t>措施</w:t>
      </w:r>
      <w:bookmarkEnd w:id="101"/>
    </w:p>
    <w:p w14:paraId="40627D21">
      <w:pPr>
        <w:pStyle w:val="7"/>
        <w:bidi w:val="0"/>
        <w:ind w:left="0" w:leftChars="0" w:firstLine="0" w:firstLineChars="0"/>
        <w:rPr>
          <w:rFonts w:hint="default"/>
          <w:lang w:val="en-US" w:eastAsia="zh-CN"/>
        </w:rPr>
      </w:pPr>
      <w:r>
        <w:rPr>
          <w:rFonts w:hint="default"/>
          <w:color w:val="auto"/>
          <w:highlight w:val="none"/>
          <w:lang w:val="en-US" w:eastAsia="zh-CN"/>
        </w:rPr>
        <w:t>加强河道岸线管控</w:t>
      </w:r>
    </w:p>
    <w:p w14:paraId="7E0608EE">
      <w:pPr>
        <w:pStyle w:val="5"/>
        <w:bidi w:val="0"/>
        <w:rPr>
          <w:rFonts w:hint="default"/>
          <w:lang w:val="en-US" w:eastAsia="zh-CN"/>
        </w:rPr>
      </w:pPr>
      <w:r>
        <w:rPr>
          <w:rFonts w:hint="default"/>
        </w:rPr>
        <w:t>落实规划岸线功能分区管理要求，完善部门联合审查机制，严格执行涉及河道岸线保护和利用建设项目审查审批制度，切实强化岸线保护和节约集约利用。</w:t>
      </w:r>
    </w:p>
    <w:p w14:paraId="42D2B329">
      <w:pPr>
        <w:pStyle w:val="5"/>
        <w:bidi w:val="0"/>
        <w:rPr>
          <w:rFonts w:hint="default"/>
          <w:lang w:val="en-US" w:eastAsia="zh-CN"/>
        </w:rPr>
      </w:pPr>
      <w:r>
        <w:rPr>
          <w:rFonts w:hint="default"/>
          <w:lang w:val="en-US" w:eastAsia="zh-CN"/>
        </w:rPr>
        <w:t>通过现场巡查、卫星遥感监控、无人机巡查等多种方式，切实加强日常巡查，做到</w:t>
      </w:r>
      <w:r>
        <w:rPr>
          <w:rFonts w:hint="eastAsia"/>
          <w:lang w:val="en-US" w:eastAsia="zh-CN"/>
        </w:rPr>
        <w:t>“</w:t>
      </w:r>
      <w:r>
        <w:rPr>
          <w:rFonts w:hint="default"/>
          <w:lang w:val="en-US" w:eastAsia="zh-CN"/>
        </w:rPr>
        <w:t>四乱（乱占、乱采、乱堆、乱建）</w:t>
      </w:r>
      <w:r>
        <w:rPr>
          <w:rFonts w:hint="eastAsia"/>
          <w:lang w:val="en-US" w:eastAsia="zh-CN"/>
        </w:rPr>
        <w:t>”</w:t>
      </w:r>
      <w:r>
        <w:rPr>
          <w:rFonts w:hint="default"/>
          <w:lang w:val="en-US" w:eastAsia="zh-CN"/>
        </w:rPr>
        <w:t>问题早发现、早制止、早报告，建立</w:t>
      </w:r>
      <w:r>
        <w:rPr>
          <w:rFonts w:hint="eastAsia"/>
          <w:lang w:val="en-US" w:eastAsia="zh-CN"/>
        </w:rPr>
        <w:t>“</w:t>
      </w:r>
      <w:r>
        <w:rPr>
          <w:rFonts w:hint="default"/>
          <w:lang w:val="en-US" w:eastAsia="zh-CN"/>
        </w:rPr>
        <w:t>四乱</w:t>
      </w:r>
      <w:r>
        <w:rPr>
          <w:rFonts w:hint="eastAsia"/>
          <w:lang w:val="en-US" w:eastAsia="zh-CN"/>
        </w:rPr>
        <w:t>”</w:t>
      </w:r>
      <w:r>
        <w:rPr>
          <w:rFonts w:hint="default"/>
          <w:lang w:val="en-US" w:eastAsia="zh-CN"/>
        </w:rPr>
        <w:t>问题定期报告制度。</w:t>
      </w:r>
    </w:p>
    <w:p w14:paraId="68C4A640">
      <w:pPr>
        <w:pStyle w:val="7"/>
        <w:bidi w:val="0"/>
        <w:ind w:left="0" w:leftChars="0" w:firstLine="0" w:firstLineChars="0"/>
        <w:rPr>
          <w:rFonts w:hint="default"/>
          <w:lang w:val="en-US" w:eastAsia="zh-CN"/>
        </w:rPr>
      </w:pPr>
      <w:r>
        <w:rPr>
          <w:rFonts w:hint="default"/>
          <w:color w:val="auto"/>
          <w:highlight w:val="none"/>
          <w:lang w:val="en-US" w:eastAsia="zh-CN"/>
        </w:rPr>
        <w:t>河道岸线</w:t>
      </w:r>
      <w:r>
        <w:rPr>
          <w:rFonts w:hint="eastAsia"/>
          <w:color w:val="auto"/>
          <w:highlight w:val="none"/>
          <w:lang w:val="en-US" w:eastAsia="zh-CN"/>
        </w:rPr>
        <w:t>治理</w:t>
      </w:r>
    </w:p>
    <w:p w14:paraId="04FEC02B">
      <w:pPr>
        <w:pStyle w:val="27"/>
        <w:bidi w:val="0"/>
        <w:ind w:left="0" w:leftChars="0" w:firstLine="484" w:firstLineChars="200"/>
        <w:rPr>
          <w:rFonts w:hint="default"/>
          <w:color w:val="auto"/>
          <w:highlight w:val="none"/>
          <w:lang w:val="en-US" w:eastAsia="zh-CN"/>
        </w:rPr>
      </w:pPr>
      <w:r>
        <w:rPr>
          <w:rFonts w:hint="eastAsia"/>
          <w:lang w:val="en-US" w:eastAsia="zh-CN"/>
        </w:rPr>
        <w:t>（1）损坏河道堤防、道路、桥梁等涉河建筑物修复</w:t>
      </w:r>
    </w:p>
    <w:p w14:paraId="35E2E7B1">
      <w:pPr>
        <w:bidi w:val="0"/>
        <w:ind w:firstLine="484" w:firstLineChars="200"/>
        <w:rPr>
          <w:rFonts w:hint="eastAsia"/>
          <w:lang w:val="en-US" w:eastAsia="zh-CN"/>
        </w:rPr>
      </w:pPr>
      <w:r>
        <w:rPr>
          <w:rStyle w:val="85"/>
          <w:rFonts w:hint="eastAsia" w:ascii="宋体" w:hAnsi="宋体" w:eastAsia="宋体" w:cs="宋体"/>
          <w:sz w:val="24"/>
          <w:szCs w:val="24"/>
          <w:lang w:val="en-US" w:eastAsia="zh-CN"/>
        </w:rPr>
        <w:t>针对河道堤防、道路、桥梁被洪水冲毁及堤防种菜等问题，在2021年年末前完成（中平河中平乡石耶镇交界处）修复工作，并加强日常巡视，规范岸坡管理</w:t>
      </w:r>
      <w:r>
        <w:rPr>
          <w:rFonts w:hint="eastAsia"/>
          <w:color w:val="auto"/>
          <w:highlight w:val="none"/>
          <w:lang w:val="en-US" w:eastAsia="zh-CN"/>
        </w:rPr>
        <w:t>。</w:t>
      </w:r>
    </w:p>
    <w:p w14:paraId="5345D3D0">
      <w:pPr>
        <w:pStyle w:val="6"/>
        <w:bidi w:val="0"/>
        <w:rPr>
          <w:rFonts w:hint="default"/>
          <w:color w:val="auto"/>
          <w:highlight w:val="none"/>
          <w:lang w:val="en-US" w:eastAsia="zh-CN"/>
        </w:rPr>
      </w:pPr>
      <w:bookmarkStart w:id="102" w:name="_Toc4141"/>
      <w:r>
        <w:rPr>
          <w:rFonts w:hint="eastAsia"/>
          <w:color w:val="auto"/>
          <w:highlight w:val="none"/>
          <w:lang w:val="en-US" w:eastAsia="zh-CN"/>
        </w:rPr>
        <w:t>水污染防治措施</w:t>
      </w:r>
      <w:bookmarkEnd w:id="102"/>
    </w:p>
    <w:p w14:paraId="091F37C3">
      <w:pPr>
        <w:pStyle w:val="7"/>
        <w:bidi w:val="0"/>
        <w:ind w:left="0" w:leftChars="0" w:firstLine="0" w:firstLineChars="0"/>
        <w:rPr>
          <w:rFonts w:hint="default"/>
          <w:lang w:val="en-US" w:eastAsia="zh-CN"/>
        </w:rPr>
      </w:pPr>
      <w:r>
        <w:rPr>
          <w:rFonts w:hint="eastAsia"/>
          <w:color w:val="auto"/>
          <w:highlight w:val="none"/>
          <w:lang w:val="en-US" w:eastAsia="zh-CN"/>
        </w:rPr>
        <w:t>入河排污口管理措施</w:t>
      </w:r>
    </w:p>
    <w:p w14:paraId="091E9A32">
      <w:pPr>
        <w:pStyle w:val="5"/>
        <w:bidi w:val="0"/>
        <w:rPr>
          <w:rFonts w:hint="eastAsia"/>
          <w:color w:val="auto"/>
          <w:highlight w:val="none"/>
          <w:lang w:eastAsia="zh-CN"/>
        </w:rPr>
      </w:pPr>
      <w:r>
        <w:rPr>
          <w:rFonts w:hint="eastAsia"/>
          <w:color w:val="auto"/>
          <w:highlight w:val="none"/>
          <w:lang w:val="en-US" w:eastAsia="zh-CN"/>
        </w:rPr>
        <w:t>推进排污口责任主体自行监测、信息公开，开展企事业单位、污水集中处理设施排污口监督性监测，开展入河排污口不定期巡查抽测。加大排污口环境执法力度，依法处罚未经同意设置或不按规定排污的行为，严厉查处私设暗管等逃避监管的行为。推进排污口规范化整治，清理违规接入排污管线，更新维护老化破损排污管网，完善入河排污口标示标牌设置。</w:t>
      </w:r>
    </w:p>
    <w:p w14:paraId="751CAB34">
      <w:pPr>
        <w:pStyle w:val="7"/>
        <w:bidi w:val="0"/>
        <w:ind w:left="0" w:leftChars="0" w:firstLine="0" w:firstLineChars="0"/>
        <w:rPr>
          <w:rFonts w:hint="default"/>
          <w:lang w:val="en-US" w:eastAsia="zh-CN"/>
        </w:rPr>
      </w:pPr>
      <w:r>
        <w:rPr>
          <w:rFonts w:hint="eastAsia"/>
          <w:color w:val="auto"/>
          <w:highlight w:val="none"/>
          <w:lang w:val="en-US" w:eastAsia="zh-CN"/>
        </w:rPr>
        <w:t>城镇污水管网整治</w:t>
      </w:r>
    </w:p>
    <w:p w14:paraId="2D6D2DCB">
      <w:pPr>
        <w:pStyle w:val="5"/>
        <w:bidi w:val="0"/>
        <w:rPr>
          <w:rFonts w:hint="eastAsia"/>
          <w:lang w:val="en-US" w:eastAsia="zh-CN"/>
        </w:rPr>
      </w:pPr>
      <w:r>
        <w:rPr>
          <w:rFonts w:hint="eastAsia"/>
        </w:rPr>
        <w:t>加强</w:t>
      </w:r>
      <w:r>
        <w:rPr>
          <w:rFonts w:hint="eastAsia"/>
          <w:lang w:val="en-US" w:eastAsia="zh-CN"/>
        </w:rPr>
        <w:t>石耶镇</w:t>
      </w:r>
      <w:r>
        <w:rPr>
          <w:rFonts w:hint="eastAsia"/>
          <w:lang w:eastAsia="zh-CN"/>
        </w:rPr>
        <w:t>现有污水</w:t>
      </w:r>
      <w:r>
        <w:rPr>
          <w:rFonts w:hint="eastAsia"/>
        </w:rPr>
        <w:t>管网和污水处理设施运行维护、监管。</w:t>
      </w:r>
      <w:r>
        <w:rPr>
          <w:rFonts w:hint="eastAsia"/>
          <w:lang w:val="en-US" w:eastAsia="zh-CN"/>
        </w:rPr>
        <w:t>推动场镇污水收集处理，加快补齐生活污水收集和处理设施短板，推进老旧污水管网改造和破损修复，提升场镇污水处理水平。</w:t>
      </w:r>
    </w:p>
    <w:p w14:paraId="01AD4C20">
      <w:pPr>
        <w:pStyle w:val="5"/>
        <w:bidi w:val="0"/>
        <w:rPr>
          <w:rFonts w:hint="eastAsia"/>
          <w:lang w:val="en-US" w:eastAsia="zh-CN"/>
        </w:rPr>
      </w:pPr>
      <w:r>
        <w:rPr>
          <w:rFonts w:hint="eastAsia"/>
          <w:lang w:val="en-US" w:eastAsia="zh-CN"/>
        </w:rPr>
        <w:t>规划实施石耶镇污水处理厂管网新建或改造工程，提高污水收集、处理覆盖率。</w:t>
      </w:r>
    </w:p>
    <w:p w14:paraId="54054BD3">
      <w:pPr>
        <w:pStyle w:val="7"/>
        <w:bidi w:val="0"/>
        <w:ind w:left="0" w:leftChars="0" w:firstLine="0" w:firstLineChars="0"/>
        <w:rPr>
          <w:rFonts w:hint="default"/>
          <w:color w:val="auto"/>
          <w:lang w:val="en-US" w:eastAsia="zh-CN"/>
        </w:rPr>
      </w:pPr>
      <w:r>
        <w:rPr>
          <w:rFonts w:hint="eastAsia"/>
          <w:color w:val="auto"/>
          <w:highlight w:val="none"/>
          <w:lang w:val="en-US" w:eastAsia="zh-CN"/>
        </w:rPr>
        <w:t>农村人居环境整治</w:t>
      </w:r>
    </w:p>
    <w:p w14:paraId="15F4B022">
      <w:pPr>
        <w:pStyle w:val="27"/>
        <w:bidi w:val="0"/>
        <w:rPr>
          <w:rFonts w:hint="eastAsia"/>
          <w:color w:val="auto"/>
          <w:highlight w:val="none"/>
          <w:lang w:val="en-US" w:eastAsia="zh-CN"/>
        </w:rPr>
      </w:pPr>
      <w:r>
        <w:rPr>
          <w:rFonts w:hint="eastAsia"/>
          <w:color w:val="auto"/>
          <w:highlight w:val="none"/>
          <w:lang w:val="en-US" w:eastAsia="zh-CN"/>
        </w:rPr>
        <w:t>（1）农村生活污水整治</w:t>
      </w:r>
    </w:p>
    <w:p w14:paraId="359B5374">
      <w:pPr>
        <w:pStyle w:val="5"/>
        <w:bidi w:val="0"/>
        <w:rPr>
          <w:rFonts w:hint="eastAsia"/>
          <w:lang w:val="en-US" w:eastAsia="zh-CN"/>
        </w:rPr>
      </w:pPr>
      <w:r>
        <w:rPr>
          <w:rFonts w:hint="eastAsia"/>
          <w:lang w:val="en-US" w:eastAsia="zh-CN"/>
        </w:rPr>
        <w:t>持续推进农村“厕所革命”，达到相关政策指标要求。</w:t>
      </w:r>
    </w:p>
    <w:p w14:paraId="169ABB08">
      <w:pPr>
        <w:pStyle w:val="27"/>
        <w:bidi w:val="0"/>
        <w:rPr>
          <w:rFonts w:hint="eastAsia"/>
          <w:color w:val="auto"/>
          <w:highlight w:val="none"/>
          <w:lang w:val="en-US" w:eastAsia="zh-CN"/>
        </w:rPr>
      </w:pPr>
      <w:r>
        <w:rPr>
          <w:rFonts w:hint="eastAsia"/>
          <w:color w:val="auto"/>
          <w:highlight w:val="none"/>
          <w:lang w:val="en-US" w:eastAsia="zh-CN"/>
        </w:rPr>
        <w:t>（2）农村生活垃圾整治</w:t>
      </w:r>
    </w:p>
    <w:p w14:paraId="3B5A9A91">
      <w:pPr>
        <w:pStyle w:val="5"/>
        <w:bidi w:val="0"/>
        <w:rPr>
          <w:rFonts w:hint="eastAsia"/>
          <w:lang w:val="en-US" w:eastAsia="zh-CN"/>
        </w:rPr>
      </w:pPr>
      <w:r>
        <w:rPr>
          <w:rFonts w:hint="eastAsia"/>
          <w:lang w:val="en-US" w:eastAsia="zh-CN"/>
        </w:rPr>
        <w:t>开展农村生活垃圾分类减量化试点，推行垃圾就地分类和资源化利用。</w:t>
      </w:r>
    </w:p>
    <w:p w14:paraId="4335FA03">
      <w:pPr>
        <w:pStyle w:val="7"/>
        <w:bidi w:val="0"/>
        <w:ind w:left="0" w:leftChars="0" w:firstLine="0" w:firstLineChars="0"/>
        <w:rPr>
          <w:rFonts w:hint="default"/>
          <w:color w:val="auto"/>
          <w:lang w:val="en-US" w:eastAsia="zh-CN"/>
        </w:rPr>
      </w:pPr>
      <w:r>
        <w:rPr>
          <w:rFonts w:hint="eastAsia"/>
          <w:color w:val="auto"/>
          <w:highlight w:val="none"/>
          <w:lang w:val="en-US" w:eastAsia="zh-CN"/>
        </w:rPr>
        <w:t>农业面源污染防治</w:t>
      </w:r>
    </w:p>
    <w:p w14:paraId="6C40E25C">
      <w:pPr>
        <w:pStyle w:val="5"/>
        <w:ind w:firstLine="480"/>
        <w:rPr>
          <w:rFonts w:hint="eastAsia"/>
          <w:color w:val="auto"/>
          <w:highlight w:val="none"/>
        </w:rPr>
      </w:pPr>
      <w:r>
        <w:rPr>
          <w:rFonts w:hint="eastAsia"/>
          <w:color w:val="auto"/>
          <w:highlight w:val="none"/>
        </w:rPr>
        <w:t>实施化肥、农药施用量负增长行动。开展化肥、农药减量利用和替代利用，引导科学合理施肥施药。促进测土配方施肥技术落地；促进有机肥使用补贴规范扩面；促进肥料新品种新技术新机具加快推广（水肥一体化、机械施肥、缓控释肥）；促进耕地质量提升技术加快推广（酸化土壤改良、有机质提升）。</w:t>
      </w:r>
    </w:p>
    <w:p w14:paraId="31DA3B0F">
      <w:pPr>
        <w:pStyle w:val="5"/>
        <w:bidi w:val="0"/>
        <w:rPr>
          <w:color w:val="auto"/>
          <w:highlight w:val="none"/>
        </w:rPr>
      </w:pPr>
      <w:r>
        <w:rPr>
          <w:rFonts w:hint="eastAsia"/>
          <w:color w:val="auto"/>
          <w:highlight w:val="none"/>
        </w:rPr>
        <w:t>推广化肥减量增效技术，实施病虫害绿色防控和专业化通防统治，通过安装太阳能杀虫灯以及普及粘虫板、捕食螨、性诱剂等植保新技术实现农药减量施用</w:t>
      </w:r>
      <w:r>
        <w:rPr>
          <w:color w:val="auto"/>
          <w:highlight w:val="none"/>
        </w:rPr>
        <w:t>。</w:t>
      </w:r>
    </w:p>
    <w:p w14:paraId="51B27E43">
      <w:pPr>
        <w:pStyle w:val="7"/>
        <w:bidi w:val="0"/>
        <w:ind w:left="0" w:leftChars="0" w:firstLine="0" w:firstLineChars="0"/>
        <w:rPr>
          <w:rFonts w:hint="default"/>
          <w:color w:val="auto"/>
          <w:lang w:val="en-US" w:eastAsia="zh-CN"/>
        </w:rPr>
      </w:pPr>
      <w:r>
        <w:rPr>
          <w:rFonts w:hint="eastAsia"/>
          <w:color w:val="auto"/>
          <w:highlight w:val="none"/>
          <w:lang w:val="en-US" w:eastAsia="zh-CN"/>
        </w:rPr>
        <w:t>畜禽水产养殖污染控制</w:t>
      </w:r>
    </w:p>
    <w:p w14:paraId="7AF9B852">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default"/>
          <w:color w:val="auto"/>
          <w:highlight w:val="none"/>
        </w:rPr>
        <w:t>优化调整畜禽养殖布局，持续推进渔业绿色发展</w:t>
      </w:r>
    </w:p>
    <w:p w14:paraId="4441DBE9">
      <w:pPr>
        <w:pStyle w:val="5"/>
        <w:bidi w:val="0"/>
        <w:rPr>
          <w:rFonts w:hint="eastAsia"/>
        </w:rPr>
      </w:pPr>
      <w:r>
        <w:rPr>
          <w:rFonts w:hint="eastAsia"/>
        </w:rPr>
        <w:t>实施水产养殖污染防治。科学规划养殖水域，大力推广健康养殖技术，如池塘鱼菜共生养殖、绿色养殖等，构建资源节约、环境友好的水产养殖业，减少和避免因养殖规模、密度过大造成局部水质恶化现象，减少养殖废水的排放。推广健康水产养殖技术</w:t>
      </w:r>
      <w:r>
        <w:rPr>
          <w:rFonts w:hint="eastAsia"/>
          <w:lang w:eastAsia="zh-CN"/>
        </w:rPr>
        <w:t>，如</w:t>
      </w:r>
      <w:r>
        <w:rPr>
          <w:rFonts w:hint="eastAsia"/>
        </w:rPr>
        <w:t>循环流水槽养殖</w:t>
      </w:r>
      <w:r>
        <w:rPr>
          <w:rFonts w:hint="eastAsia"/>
          <w:lang w:eastAsia="zh-CN"/>
        </w:rPr>
        <w:t>、</w:t>
      </w:r>
      <w:r>
        <w:rPr>
          <w:rFonts w:hint="eastAsia"/>
        </w:rPr>
        <w:t>高位水池养殖</w:t>
      </w:r>
      <w:r>
        <w:rPr>
          <w:rFonts w:hint="eastAsia"/>
          <w:lang w:eastAsia="zh-CN"/>
        </w:rPr>
        <w:t>、</w:t>
      </w:r>
      <w:r>
        <w:rPr>
          <w:rFonts w:hint="eastAsia"/>
        </w:rPr>
        <w:t>鱼菜共生-鱼养菜循环利用生态养殖</w:t>
      </w:r>
      <w:r>
        <w:rPr>
          <w:rFonts w:hint="eastAsia"/>
          <w:lang w:eastAsia="zh-CN"/>
        </w:rPr>
        <w:t>及</w:t>
      </w:r>
      <w:r>
        <w:rPr>
          <w:rFonts w:hint="eastAsia"/>
        </w:rPr>
        <w:t>绿色养殖</w:t>
      </w:r>
      <w:r>
        <w:rPr>
          <w:rFonts w:hint="eastAsia"/>
          <w:lang w:eastAsia="zh-CN"/>
        </w:rPr>
        <w:t>等。</w:t>
      </w:r>
    </w:p>
    <w:p w14:paraId="1239760B">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推进养殖生产清洁化和产业模式生态化，加强畜禽粪污资源化利用</w:t>
      </w:r>
    </w:p>
    <w:p w14:paraId="02403E59">
      <w:pPr>
        <w:pStyle w:val="5"/>
        <w:bidi w:val="0"/>
        <w:rPr>
          <w:rFonts w:hint="eastAsia"/>
        </w:rPr>
      </w:pPr>
      <w:r>
        <w:rPr>
          <w:rFonts w:hint="eastAsia"/>
        </w:rPr>
        <w:t>推进畜禽养殖标准化示范创建升级，带动畜牧业绿色可持续发展。实施畜禽养殖清洁生产管理，推广节水、节料等清洁养殖工艺和干清粪、微生物发酵等实用技术，实现源头减量。严格规范兽药、饲料添加剂的生产和使用，严厉打击生产企业违法违规使用兽用抗菌药物的行为。</w:t>
      </w:r>
    </w:p>
    <w:p w14:paraId="264C97F9">
      <w:pPr>
        <w:pStyle w:val="5"/>
        <w:bidi w:val="0"/>
        <w:rPr>
          <w:rFonts w:hint="eastAsia"/>
        </w:rPr>
      </w:pPr>
      <w:r>
        <w:rPr>
          <w:rFonts w:hint="eastAsia"/>
          <w:lang w:val="en-US" w:eastAsia="zh-CN"/>
        </w:rPr>
        <w:t>支持规模养殖场采用现代化设施设备，改进畜禽养殖和粪污贮存发酵工艺，推广使用节水式饮水器，建设漏缝地板、舍下贮存池、自动清粪、雨污分流等设施，减少粪污产生总量，降低粪污处理和利用难度。统筹考虑资源环境、养殖畜种、养殖场规模、农田作物等基础条件，推广堆（沤）肥、固液混合发酵等经济高效的粪污利用方式。加强对畜禽粪肥还田方式、时间、用量等方面的指导，实现粪污资源化利用</w:t>
      </w:r>
      <w:r>
        <w:rPr>
          <w:rFonts w:hint="eastAsia"/>
        </w:rPr>
        <w:t>。</w:t>
      </w:r>
    </w:p>
    <w:p w14:paraId="390F6669">
      <w:pPr>
        <w:pStyle w:val="27"/>
        <w:bidi w:val="0"/>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加强畜禽养殖环境监管</w:t>
      </w:r>
    </w:p>
    <w:p w14:paraId="60A42670">
      <w:pPr>
        <w:pStyle w:val="5"/>
        <w:bidi w:val="0"/>
        <w:rPr>
          <w:rFonts w:hint="eastAsia"/>
          <w:color w:val="auto"/>
          <w:highlight w:val="none"/>
          <w:lang w:val="en-US" w:eastAsia="zh-CN"/>
        </w:rPr>
      </w:pPr>
      <w:r>
        <w:rPr>
          <w:rFonts w:hint="default"/>
          <w:color w:val="auto"/>
          <w:highlight w:val="none"/>
        </w:rPr>
        <w:t>加强禁养区执法，将规模以上畜禽养殖场纳入重点污染源管理。严格落实环境影响评价和排污许可制度，对</w:t>
      </w:r>
      <w:r>
        <w:rPr>
          <w:rFonts w:hint="eastAsia"/>
          <w:color w:val="auto"/>
          <w:highlight w:val="none"/>
          <w:lang w:eastAsia="zh-CN"/>
        </w:rPr>
        <w:t>“</w:t>
      </w:r>
      <w:r>
        <w:rPr>
          <w:rFonts w:hint="default"/>
          <w:color w:val="auto"/>
          <w:highlight w:val="none"/>
        </w:rPr>
        <w:t>未批先建</w:t>
      </w:r>
      <w:r>
        <w:rPr>
          <w:rFonts w:hint="eastAsia"/>
          <w:color w:val="auto"/>
          <w:highlight w:val="none"/>
          <w:lang w:eastAsia="zh-CN"/>
        </w:rPr>
        <w:t>”“</w:t>
      </w:r>
      <w:r>
        <w:rPr>
          <w:rFonts w:hint="default"/>
          <w:color w:val="auto"/>
          <w:highlight w:val="none"/>
        </w:rPr>
        <w:t>批建不符</w:t>
      </w:r>
      <w:r>
        <w:rPr>
          <w:rFonts w:hint="eastAsia"/>
          <w:color w:val="auto"/>
          <w:highlight w:val="none"/>
          <w:lang w:eastAsia="zh-CN"/>
        </w:rPr>
        <w:t>”</w:t>
      </w:r>
      <w:r>
        <w:rPr>
          <w:rFonts w:hint="default"/>
          <w:color w:val="auto"/>
          <w:highlight w:val="none"/>
        </w:rPr>
        <w:t>、无证排污或不按证排污等环境违法行为，加大查处力度。将符合有关标准和要求的还田利用量作为统计污染物削减量的重要依据。推动畜禽养殖场配备视频监控设施，记录粪污处理、运输和资源化利用等情况，防止粪污偷运偷排</w:t>
      </w:r>
      <w:r>
        <w:rPr>
          <w:rFonts w:hint="eastAsia"/>
          <w:color w:val="auto"/>
          <w:highlight w:val="none"/>
          <w:lang w:val="en-US" w:eastAsia="zh-CN"/>
        </w:rPr>
        <w:t>。</w:t>
      </w:r>
    </w:p>
    <w:p w14:paraId="7B0CC08F">
      <w:pPr>
        <w:pStyle w:val="6"/>
        <w:bidi w:val="0"/>
        <w:rPr>
          <w:rFonts w:hint="default"/>
          <w:color w:val="auto"/>
          <w:highlight w:val="none"/>
          <w:lang w:val="en-US" w:eastAsia="zh-CN"/>
        </w:rPr>
      </w:pPr>
      <w:bookmarkStart w:id="103" w:name="_Toc27062"/>
      <w:r>
        <w:rPr>
          <w:rFonts w:hint="eastAsia"/>
          <w:color w:val="auto"/>
          <w:highlight w:val="none"/>
          <w:lang w:val="en-US" w:eastAsia="zh-CN"/>
        </w:rPr>
        <w:t>水环境治理措施</w:t>
      </w:r>
      <w:bookmarkEnd w:id="103"/>
    </w:p>
    <w:p w14:paraId="5522A979">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水质</w:t>
      </w:r>
      <w:r>
        <w:rPr>
          <w:rFonts w:hint="eastAsia"/>
          <w:color w:val="auto"/>
          <w:highlight w:val="none"/>
          <w:lang w:val="en-US" w:eastAsia="zh-CN"/>
        </w:rPr>
        <w:t>达标</w:t>
      </w:r>
    </w:p>
    <w:p w14:paraId="236113CD">
      <w:pPr>
        <w:pStyle w:val="5"/>
        <w:bidi w:val="0"/>
        <w:rPr>
          <w:rFonts w:hint="default"/>
          <w:color w:val="auto"/>
          <w:highlight w:val="none"/>
          <w:lang w:val="en-US" w:eastAsia="zh-CN"/>
        </w:rPr>
      </w:pPr>
      <w:r>
        <w:rPr>
          <w:rFonts w:hint="default"/>
          <w:color w:val="auto"/>
          <w:highlight w:val="none"/>
          <w:lang w:val="en-US" w:eastAsia="zh-CN"/>
        </w:rPr>
        <w:t>建立健全水环境监测预警体系，规范监测、预警、应急响应等具体程序，落实具体应对措施。推进针对涉及有毒有害污染物或持续性有机污染物的企业排放口全部安装在线监控。</w:t>
      </w:r>
    </w:p>
    <w:p w14:paraId="6A7C89D5">
      <w:pPr>
        <w:pStyle w:val="7"/>
        <w:bidi w:val="0"/>
        <w:rPr>
          <w:rFonts w:hint="default"/>
          <w:color w:val="auto"/>
          <w:lang w:val="en-US" w:eastAsia="zh-CN"/>
        </w:rPr>
      </w:pPr>
      <w:r>
        <w:rPr>
          <w:rFonts w:hint="eastAsia"/>
          <w:color w:val="auto"/>
          <w:highlight w:val="none"/>
          <w:lang w:val="en-US" w:eastAsia="zh-CN"/>
        </w:rPr>
        <w:t>加</w:t>
      </w:r>
      <w:r>
        <w:rPr>
          <w:rFonts w:hint="eastAsia"/>
          <w:color w:val="auto"/>
          <w:highlight w:val="none"/>
        </w:rPr>
        <w:t>强</w:t>
      </w:r>
      <w:r>
        <w:rPr>
          <w:rFonts w:hint="eastAsia"/>
          <w:color w:val="auto"/>
          <w:highlight w:val="none"/>
          <w:lang w:val="en-US" w:eastAsia="zh-CN"/>
        </w:rPr>
        <w:t>日常清漂保洁</w:t>
      </w:r>
    </w:p>
    <w:p w14:paraId="1A0F878E">
      <w:pPr>
        <w:pStyle w:val="5"/>
        <w:rPr>
          <w:rFonts w:hint="default"/>
          <w:color w:val="auto"/>
          <w:highlight w:val="none"/>
          <w:lang w:val="en-US" w:eastAsia="zh-CN"/>
        </w:rPr>
      </w:pPr>
      <w:r>
        <w:rPr>
          <w:rFonts w:hint="default"/>
          <w:color w:val="auto"/>
          <w:highlight w:val="none"/>
          <w:lang w:val="en-US" w:eastAsia="zh-CN"/>
        </w:rPr>
        <w:t>继续保持</w:t>
      </w:r>
      <w:r>
        <w:rPr>
          <w:rFonts w:hint="eastAsia"/>
          <w:color w:val="auto"/>
          <w:highlight w:val="none"/>
          <w:lang w:val="en-US" w:eastAsia="zh-CN"/>
        </w:rPr>
        <w:t>河道岸线</w:t>
      </w:r>
      <w:r>
        <w:rPr>
          <w:rFonts w:hint="default"/>
          <w:color w:val="auto"/>
          <w:highlight w:val="none"/>
          <w:lang w:val="en-US" w:eastAsia="zh-CN"/>
        </w:rPr>
        <w:t>日常清漂保洁工作，落实人员管理</w:t>
      </w:r>
      <w:r>
        <w:rPr>
          <w:rFonts w:hint="eastAsia"/>
          <w:color w:val="auto"/>
          <w:highlight w:val="none"/>
          <w:lang w:val="en-US" w:eastAsia="zh-CN"/>
        </w:rPr>
        <w:t>；</w:t>
      </w:r>
      <w:r>
        <w:rPr>
          <w:rFonts w:hint="default"/>
          <w:color w:val="auto"/>
          <w:highlight w:val="none"/>
          <w:lang w:val="en-US" w:eastAsia="zh-CN"/>
        </w:rPr>
        <w:t>加强对沿河居民的宣传、教育工作，增设沿岸环保标语，在沿岸景观步道设</w:t>
      </w:r>
      <w:r>
        <w:rPr>
          <w:rFonts w:hint="eastAsia"/>
          <w:color w:val="auto"/>
          <w:highlight w:val="none"/>
          <w:lang w:val="en-US" w:eastAsia="zh-CN"/>
        </w:rPr>
        <w:t>置</w:t>
      </w:r>
      <w:r>
        <w:rPr>
          <w:rFonts w:hint="default"/>
          <w:color w:val="auto"/>
          <w:highlight w:val="none"/>
          <w:lang w:val="en-US" w:eastAsia="zh-CN"/>
        </w:rPr>
        <w:t>环保警示牌，逐步提高居民对河流环境的保护思想。</w:t>
      </w:r>
    </w:p>
    <w:p w14:paraId="06E3FE74">
      <w:pPr>
        <w:pStyle w:val="6"/>
        <w:bidi w:val="0"/>
        <w:rPr>
          <w:rFonts w:hint="default"/>
          <w:color w:val="auto"/>
          <w:highlight w:val="none"/>
          <w:lang w:val="en-US" w:eastAsia="zh-CN"/>
        </w:rPr>
      </w:pPr>
      <w:bookmarkStart w:id="104" w:name="_Toc20799"/>
      <w:r>
        <w:rPr>
          <w:rFonts w:hint="eastAsia"/>
          <w:color w:val="auto"/>
          <w:highlight w:val="none"/>
          <w:lang w:val="en-US" w:eastAsia="zh-CN"/>
        </w:rPr>
        <w:t>水</w:t>
      </w:r>
      <w:r>
        <w:rPr>
          <w:rFonts w:hint="eastAsia"/>
          <w:color w:val="auto"/>
          <w:highlight w:val="none"/>
          <w:lang w:eastAsia="zh-CN"/>
        </w:rPr>
        <w:t>生态</w:t>
      </w:r>
      <w:r>
        <w:rPr>
          <w:rFonts w:hint="eastAsia"/>
          <w:color w:val="auto"/>
          <w:highlight w:val="none"/>
          <w:lang w:val="en-US" w:eastAsia="zh-CN"/>
        </w:rPr>
        <w:t>修复措施</w:t>
      </w:r>
      <w:bookmarkEnd w:id="104"/>
    </w:p>
    <w:p w14:paraId="17AD168E">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生态基流</w:t>
      </w:r>
    </w:p>
    <w:p w14:paraId="28C8D431">
      <w:pPr>
        <w:pStyle w:val="5"/>
        <w:rPr>
          <w:rFonts w:hint="eastAsia"/>
          <w:color w:val="auto"/>
          <w:highlight w:val="none"/>
          <w:lang w:eastAsia="zh-CN"/>
        </w:rPr>
      </w:pPr>
      <w:r>
        <w:rPr>
          <w:rFonts w:hint="default"/>
          <w:color w:val="auto"/>
          <w:highlight w:val="none"/>
        </w:rPr>
        <w:t>加强流域内水电站调度管理，要求水电站严格按照要求泄放生态流量，保障</w:t>
      </w:r>
      <w:r>
        <w:rPr>
          <w:rFonts w:hint="eastAsia"/>
          <w:color w:val="auto"/>
          <w:highlight w:val="none"/>
          <w:lang w:eastAsia="zh-CN"/>
        </w:rPr>
        <w:t>梅江河</w:t>
      </w:r>
      <w:r>
        <w:rPr>
          <w:rFonts w:hint="default"/>
          <w:color w:val="auto"/>
          <w:highlight w:val="none"/>
        </w:rPr>
        <w:t>枯水期基本生态流量需求</w:t>
      </w:r>
      <w:r>
        <w:rPr>
          <w:rFonts w:hint="eastAsia"/>
          <w:color w:val="auto"/>
          <w:highlight w:val="none"/>
          <w:lang w:eastAsia="zh-CN"/>
        </w:rPr>
        <w:t>，并</w:t>
      </w:r>
      <w:r>
        <w:rPr>
          <w:rFonts w:hint="default"/>
          <w:color w:val="auto"/>
          <w:highlight w:val="none"/>
        </w:rPr>
        <w:t>加强电站生态下泄设施管理维护</w:t>
      </w:r>
      <w:r>
        <w:rPr>
          <w:rFonts w:hint="eastAsia"/>
          <w:color w:val="auto"/>
          <w:highlight w:val="none"/>
          <w:lang w:eastAsia="zh-CN"/>
        </w:rPr>
        <w:t>。</w:t>
      </w:r>
    </w:p>
    <w:p w14:paraId="0E540043">
      <w:pPr>
        <w:pStyle w:val="7"/>
        <w:bidi w:val="0"/>
        <w:rPr>
          <w:rFonts w:hint="default"/>
          <w:color w:val="auto"/>
          <w:lang w:val="en-US" w:eastAsia="zh-CN"/>
        </w:rPr>
      </w:pPr>
      <w:r>
        <w:rPr>
          <w:rFonts w:hint="eastAsia"/>
          <w:color w:val="auto"/>
          <w:highlight w:val="none"/>
          <w:lang w:val="en-US" w:eastAsia="zh-CN"/>
        </w:rPr>
        <w:t>保障</w:t>
      </w:r>
      <w:r>
        <w:rPr>
          <w:rFonts w:hint="default"/>
          <w:color w:val="auto"/>
          <w:highlight w:val="none"/>
          <w:lang w:val="en-US" w:eastAsia="zh-CN"/>
        </w:rPr>
        <w:t>水体充分连通</w:t>
      </w:r>
    </w:p>
    <w:p w14:paraId="4EB3934A">
      <w:pPr>
        <w:pStyle w:val="5"/>
        <w:rPr>
          <w:rFonts w:hint="eastAsia"/>
          <w:color w:val="auto"/>
          <w:highlight w:val="none"/>
          <w:lang w:val="en-US" w:eastAsia="zh-CN"/>
        </w:rPr>
      </w:pPr>
      <w:r>
        <w:rPr>
          <w:rFonts w:hint="default"/>
          <w:color w:val="auto"/>
          <w:highlight w:val="none"/>
        </w:rPr>
        <w:t>明确涉河构筑物管理制度，规范涉性河构筑物新（改）建工程，加强涉河建筑物审批</w:t>
      </w:r>
      <w:r>
        <w:rPr>
          <w:rFonts w:hint="eastAsia"/>
          <w:color w:val="auto"/>
          <w:highlight w:val="none"/>
          <w:lang w:val="en-US" w:eastAsia="zh-CN"/>
        </w:rPr>
        <w:t>。</w:t>
      </w:r>
    </w:p>
    <w:p w14:paraId="58A01563">
      <w:pPr>
        <w:pStyle w:val="7"/>
        <w:bidi w:val="0"/>
        <w:rPr>
          <w:rFonts w:hint="default"/>
          <w:color w:val="auto"/>
          <w:lang w:val="en-US" w:eastAsia="zh-CN"/>
        </w:rPr>
      </w:pPr>
      <w:r>
        <w:rPr>
          <w:rFonts w:hint="default"/>
          <w:color w:val="auto"/>
          <w:highlight w:val="none"/>
          <w:lang w:val="en-US" w:eastAsia="zh-CN"/>
        </w:rPr>
        <w:t>防治水土流失</w:t>
      </w:r>
    </w:p>
    <w:p w14:paraId="232837CB">
      <w:pPr>
        <w:pStyle w:val="5"/>
        <w:bidi w:val="0"/>
        <w:rPr>
          <w:rFonts w:hint="default"/>
          <w:lang w:val="en-US" w:eastAsia="zh-CN"/>
        </w:rPr>
      </w:pPr>
      <w:r>
        <w:rPr>
          <w:rFonts w:hint="default"/>
          <w:lang w:val="en-US" w:eastAsia="zh-CN"/>
        </w:rPr>
        <w:t>加强现有植被的管护和培育，同时继续推进流域内水土保持林建设，对流域内水土流失严重的区域实施封禁治理。具体工程措施如下：</w:t>
      </w:r>
    </w:p>
    <w:p w14:paraId="33014FF2">
      <w:pPr>
        <w:pStyle w:val="5"/>
        <w:bidi w:val="0"/>
        <w:rPr>
          <w:rFonts w:hint="default"/>
          <w:lang w:val="en-US" w:eastAsia="zh-CN"/>
        </w:rPr>
      </w:pPr>
      <w:r>
        <w:rPr>
          <w:rFonts w:hint="eastAsia"/>
          <w:lang w:val="en-US" w:eastAsia="zh-CN"/>
        </w:rPr>
        <w:t>（1）</w:t>
      </w:r>
      <w:r>
        <w:rPr>
          <w:rFonts w:hint="default"/>
          <w:lang w:val="en-US" w:eastAsia="zh-CN"/>
        </w:rPr>
        <w:t>加强对现有林（草）植被和水土流失治理成果的管护，防止人为破坏。涉及林地占用及林木采伐的，必须按照《森林法》等有关法律、法规的要求，及时办理相关用地手续及采伐手续。</w:t>
      </w:r>
    </w:p>
    <w:p w14:paraId="58609304">
      <w:pPr>
        <w:pStyle w:val="5"/>
        <w:bidi w:val="0"/>
        <w:rPr>
          <w:rFonts w:hint="default"/>
          <w:lang w:val="en-US" w:eastAsia="zh-CN"/>
        </w:rPr>
      </w:pPr>
      <w:r>
        <w:rPr>
          <w:rFonts w:hint="eastAsia"/>
          <w:lang w:val="en-US" w:eastAsia="zh-CN"/>
        </w:rPr>
        <w:t>（2）</w:t>
      </w:r>
      <w:r>
        <w:rPr>
          <w:rFonts w:hint="default"/>
          <w:lang w:val="en-US" w:eastAsia="zh-CN"/>
        </w:rPr>
        <w:t>对于侵占岸线的</w:t>
      </w:r>
      <w:r>
        <w:rPr>
          <w:rFonts w:hint="eastAsia"/>
          <w:lang w:val="en-US" w:eastAsia="zh-CN"/>
        </w:rPr>
        <w:t>耕作行为</w:t>
      </w:r>
      <w:r>
        <w:rPr>
          <w:rFonts w:hint="default"/>
          <w:lang w:val="en-US" w:eastAsia="zh-CN"/>
        </w:rPr>
        <w:t>全面实施岸线绿化，绿化荒山荒坡。进一步提高林草植被覆盖率，大力增强涵养水源、净化水质的功能。</w:t>
      </w:r>
    </w:p>
    <w:p w14:paraId="0782E03A">
      <w:pPr>
        <w:pStyle w:val="5"/>
        <w:bidi w:val="0"/>
        <w:rPr>
          <w:rFonts w:hint="default"/>
          <w:lang w:val="en-US" w:eastAsia="zh-CN"/>
        </w:rPr>
      </w:pPr>
      <w:r>
        <w:rPr>
          <w:rFonts w:hint="eastAsia"/>
          <w:lang w:val="en-US" w:eastAsia="zh-CN"/>
        </w:rPr>
        <w:t>（3）</w:t>
      </w:r>
      <w:r>
        <w:rPr>
          <w:rFonts w:hint="default"/>
          <w:lang w:val="en-US" w:eastAsia="zh-CN"/>
        </w:rPr>
        <w:t>坚持山、水、林、路、库综合治理，构建生态保护、生态治理、生态修复三道防线，减少入河泥沙，防治面源污染，保障水体质量。</w:t>
      </w:r>
    </w:p>
    <w:p w14:paraId="357AE560">
      <w:pPr>
        <w:pStyle w:val="5"/>
        <w:bidi w:val="0"/>
        <w:rPr>
          <w:rFonts w:hint="default"/>
          <w:lang w:val="en-US" w:eastAsia="zh-CN"/>
        </w:rPr>
      </w:pPr>
      <w:r>
        <w:rPr>
          <w:rFonts w:hint="eastAsia"/>
          <w:lang w:val="en-US" w:eastAsia="zh-CN"/>
        </w:rPr>
        <w:t>（4）</w:t>
      </w:r>
      <w:r>
        <w:rPr>
          <w:rFonts w:hint="default"/>
          <w:lang w:val="en-US" w:eastAsia="zh-CN"/>
        </w:rPr>
        <w:t>严格控制流域内的生产建设活动，防治人为新增水土流失。</w:t>
      </w:r>
    </w:p>
    <w:p w14:paraId="5B4454F0">
      <w:pPr>
        <w:pStyle w:val="5"/>
        <w:bidi w:val="0"/>
        <w:rPr>
          <w:rFonts w:hint="default"/>
          <w:vertAlign w:val="baseline"/>
          <w:lang w:val="en-US" w:eastAsia="zh-CN"/>
        </w:rPr>
      </w:pPr>
      <w:r>
        <w:rPr>
          <w:rFonts w:hint="eastAsia"/>
          <w:lang w:val="en-US" w:eastAsia="zh-CN"/>
        </w:rPr>
        <w:t>（5）实施重点小流域治理（中平河）；治理面积62.62km</w:t>
      </w:r>
      <w:r>
        <w:rPr>
          <w:rFonts w:hint="eastAsia"/>
          <w:vertAlign w:val="superscript"/>
          <w:lang w:val="en-US" w:eastAsia="zh-CN"/>
        </w:rPr>
        <w:t>2</w:t>
      </w:r>
      <w:r>
        <w:rPr>
          <w:rFonts w:hint="eastAsia"/>
          <w:vertAlign w:val="baseline"/>
          <w:lang w:val="en-US" w:eastAsia="zh-CN"/>
        </w:rPr>
        <w:t>。</w:t>
      </w:r>
    </w:p>
    <w:p w14:paraId="25D5395C">
      <w:pPr>
        <w:pStyle w:val="7"/>
        <w:bidi w:val="0"/>
        <w:rPr>
          <w:rFonts w:hint="default"/>
          <w:color w:val="auto"/>
          <w:lang w:val="en-US" w:eastAsia="zh-CN"/>
        </w:rPr>
      </w:pPr>
      <w:r>
        <w:rPr>
          <w:rFonts w:hint="default"/>
          <w:color w:val="auto"/>
          <w:highlight w:val="none"/>
          <w:lang w:val="en-US" w:eastAsia="zh-CN"/>
        </w:rPr>
        <w:t>推进</w:t>
      </w:r>
      <w:r>
        <w:rPr>
          <w:rFonts w:hint="eastAsia"/>
          <w:color w:val="auto"/>
          <w:highlight w:val="none"/>
          <w:lang w:val="en-US" w:eastAsia="zh-CN"/>
        </w:rPr>
        <w:t>河库</w:t>
      </w:r>
      <w:r>
        <w:rPr>
          <w:rFonts w:hint="default"/>
          <w:color w:val="auto"/>
          <w:highlight w:val="none"/>
          <w:lang w:val="en-US" w:eastAsia="zh-CN"/>
        </w:rPr>
        <w:t>生态修复</w:t>
      </w:r>
    </w:p>
    <w:p w14:paraId="5391FDE4">
      <w:pPr>
        <w:pStyle w:val="5"/>
        <w:bidi w:val="0"/>
        <w:rPr>
          <w:rFonts w:hint="eastAsia"/>
          <w:lang w:eastAsia="zh-CN"/>
        </w:rPr>
      </w:pPr>
      <w:r>
        <w:rPr>
          <w:rFonts w:hint="default"/>
          <w:lang w:val="en-US" w:eastAsia="zh-CN"/>
        </w:rPr>
        <w:t>在</w:t>
      </w:r>
      <w:r>
        <w:rPr>
          <w:rFonts w:hint="eastAsia"/>
          <w:lang w:val="en-US" w:eastAsia="zh-CN"/>
        </w:rPr>
        <w:t>河库</w:t>
      </w:r>
      <w:r>
        <w:rPr>
          <w:rFonts w:hint="default"/>
          <w:lang w:val="en-US" w:eastAsia="zh-CN"/>
        </w:rPr>
        <w:t>水生态保护和修复方面，分类实施空间管控，</w:t>
      </w:r>
      <w:r>
        <w:rPr>
          <w:rFonts w:hint="default"/>
        </w:rPr>
        <w:t>加强现有流域内已成水生态修复工程的管理维护</w:t>
      </w:r>
      <w:r>
        <w:rPr>
          <w:rFonts w:hint="eastAsia"/>
          <w:lang w:eastAsia="zh-CN"/>
        </w:rPr>
        <w:t>。</w:t>
      </w:r>
    </w:p>
    <w:p w14:paraId="564A56DE">
      <w:pPr>
        <w:pStyle w:val="5"/>
        <w:bidi w:val="0"/>
        <w:rPr>
          <w:rFonts w:hint="eastAsia"/>
          <w:lang w:val="en-US" w:eastAsia="zh-CN"/>
        </w:rPr>
      </w:pPr>
      <w:r>
        <w:rPr>
          <w:rFonts w:hint="eastAsia"/>
          <w:lang w:val="en-US" w:eastAsia="zh-CN"/>
        </w:rPr>
        <w:t>实施梅江河水生态综合治理工程（石耶镇段），包括生态护坡、生态步道、河流清淤、河堤加固、水生态环修复等治理项目。</w:t>
      </w:r>
    </w:p>
    <w:p w14:paraId="6F82ADAD">
      <w:pPr>
        <w:pStyle w:val="6"/>
        <w:bidi w:val="0"/>
        <w:rPr>
          <w:rFonts w:hint="default"/>
          <w:color w:val="auto"/>
          <w:highlight w:val="none"/>
          <w:lang w:val="en-US" w:eastAsia="zh-CN"/>
        </w:rPr>
      </w:pPr>
      <w:bookmarkStart w:id="105" w:name="_Toc25674"/>
      <w:bookmarkStart w:id="106" w:name="_Toc7975"/>
      <w:bookmarkStart w:id="107" w:name="_Toc28712"/>
      <w:r>
        <w:rPr>
          <w:rFonts w:hint="default"/>
          <w:color w:val="auto"/>
          <w:highlight w:val="none"/>
          <w:lang w:val="en-US" w:eastAsia="zh-CN"/>
        </w:rPr>
        <w:t>执法监管措施</w:t>
      </w:r>
      <w:bookmarkEnd w:id="105"/>
      <w:bookmarkEnd w:id="106"/>
      <w:bookmarkEnd w:id="107"/>
    </w:p>
    <w:p w14:paraId="701FE528">
      <w:pPr>
        <w:pStyle w:val="7"/>
        <w:bidi w:val="0"/>
        <w:rPr>
          <w:rFonts w:hint="default"/>
          <w:color w:val="auto"/>
          <w:lang w:val="en-US" w:eastAsia="zh-CN"/>
        </w:rPr>
      </w:pPr>
      <w:bookmarkStart w:id="108" w:name="_Toc3486"/>
      <w:bookmarkStart w:id="109" w:name="_Toc69155318"/>
      <w:r>
        <w:rPr>
          <w:color w:val="auto"/>
          <w:highlight w:val="none"/>
        </w:rPr>
        <w:t>健全联合执法机制</w:t>
      </w:r>
      <w:bookmarkEnd w:id="108"/>
      <w:bookmarkEnd w:id="109"/>
    </w:p>
    <w:p w14:paraId="0CC9A67E">
      <w:pPr>
        <w:pStyle w:val="5"/>
        <w:bidi w:val="0"/>
        <w:rPr>
          <w:rFonts w:hint="default"/>
          <w:color w:val="auto"/>
          <w:highlight w:val="none"/>
          <w:lang w:val="en-US" w:eastAsia="zh-CN"/>
        </w:rPr>
      </w:pPr>
      <w:r>
        <w:rPr>
          <w:rFonts w:hint="default"/>
          <w:color w:val="auto"/>
          <w:highlight w:val="none"/>
          <w:lang w:val="en-US" w:eastAsia="zh-CN"/>
        </w:rPr>
        <w:t>建立落实跨</w:t>
      </w:r>
      <w:r>
        <w:rPr>
          <w:rFonts w:hint="eastAsia"/>
          <w:color w:val="auto"/>
          <w:highlight w:val="none"/>
          <w:lang w:val="en-US" w:eastAsia="zh-CN"/>
        </w:rPr>
        <w:t>县（镇）</w:t>
      </w:r>
      <w:r>
        <w:rPr>
          <w:rFonts w:hint="default"/>
          <w:color w:val="auto"/>
          <w:highlight w:val="none"/>
          <w:lang w:val="en-US" w:eastAsia="zh-CN"/>
        </w:rPr>
        <w:t>流域上下游突发水污染事件联防联控机制，深化跨界河流联防联治框架协议，推动</w:t>
      </w:r>
      <w:r>
        <w:rPr>
          <w:rFonts w:hint="eastAsia"/>
          <w:color w:val="auto"/>
          <w:highlight w:val="none"/>
          <w:lang w:val="en-US" w:eastAsia="zh-CN"/>
        </w:rPr>
        <w:t>镇级</w:t>
      </w:r>
      <w:r>
        <w:rPr>
          <w:rFonts w:hint="default"/>
          <w:color w:val="auto"/>
          <w:highlight w:val="none"/>
          <w:lang w:val="en-US" w:eastAsia="zh-CN"/>
        </w:rPr>
        <w:t>联合巡河、监测预警、信息通报和纠纷调处等，实现上下游共治、水上岸上同治。加强联合执法，建立长效监管机制，提升联合执法力度。</w:t>
      </w:r>
    </w:p>
    <w:p w14:paraId="6D2DFA74">
      <w:pPr>
        <w:pStyle w:val="7"/>
        <w:bidi w:val="0"/>
        <w:rPr>
          <w:rFonts w:hint="default"/>
          <w:color w:val="auto"/>
          <w:lang w:val="en-US" w:eastAsia="zh-CN"/>
        </w:rPr>
      </w:pPr>
      <w:bookmarkStart w:id="110" w:name="_Toc69155316"/>
      <w:bookmarkStart w:id="111" w:name="_Toc24099"/>
      <w:r>
        <w:rPr>
          <w:rFonts w:hint="eastAsia"/>
          <w:color w:val="auto"/>
          <w:highlight w:val="none"/>
        </w:rPr>
        <w:t>落实工作经费</w:t>
      </w:r>
      <w:bookmarkEnd w:id="110"/>
      <w:bookmarkEnd w:id="111"/>
    </w:p>
    <w:p w14:paraId="7A7A59F6">
      <w:pPr>
        <w:pStyle w:val="5"/>
        <w:bidi w:val="0"/>
      </w:pPr>
      <w:r>
        <w:t>建议各级财政加大对全面推行河长制工作的经费投入，将河长制工作的日常经费列入本级财政预算。</w:t>
      </w:r>
    </w:p>
    <w:p w14:paraId="7296BA78">
      <w:pPr>
        <w:pStyle w:val="5"/>
        <w:bidi w:val="0"/>
      </w:pPr>
      <w:r>
        <w:rPr>
          <w:rFonts w:hint="eastAsia"/>
          <w:lang w:eastAsia="zh-CN"/>
        </w:rPr>
        <w:t>（</w:t>
      </w:r>
      <w:r>
        <w:rPr>
          <w:rFonts w:hint="eastAsia"/>
          <w:lang w:val="en-US" w:eastAsia="zh-CN"/>
        </w:rPr>
        <w:t>1</w:t>
      </w:r>
      <w:r>
        <w:rPr>
          <w:rFonts w:hint="eastAsia"/>
          <w:lang w:eastAsia="zh-CN"/>
        </w:rPr>
        <w:t>）</w:t>
      </w:r>
      <w:r>
        <w:rPr>
          <w:rFonts w:hint="eastAsia"/>
        </w:rPr>
        <w:t>制定河长制工作中</w:t>
      </w:r>
      <w:r>
        <w:t>垃圾清理、清漂等经费</w:t>
      </w:r>
      <w:r>
        <w:rPr>
          <w:rFonts w:hint="eastAsia"/>
        </w:rPr>
        <w:t>的来源及</w:t>
      </w:r>
      <w:r>
        <w:t>保障</w:t>
      </w:r>
      <w:r>
        <w:rPr>
          <w:rFonts w:hint="eastAsia"/>
        </w:rPr>
        <w:t>措施</w:t>
      </w:r>
      <w:r>
        <w:t>。</w:t>
      </w:r>
    </w:p>
    <w:p w14:paraId="46471044">
      <w:pPr>
        <w:pStyle w:val="5"/>
        <w:bidi w:val="0"/>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落实开展各级河长</w:t>
      </w:r>
      <w:r>
        <w:t>日常巡河</w:t>
      </w:r>
      <w:r>
        <w:rPr>
          <w:rFonts w:hint="eastAsia"/>
        </w:rPr>
        <w:t>，尤其是村级河长日常巡河的奖惩办法，提供经费补贴。</w:t>
      </w:r>
    </w:p>
    <w:p w14:paraId="061418E7">
      <w:pPr>
        <w:pStyle w:val="5"/>
        <w:rPr>
          <w:color w:val="auto"/>
          <w:highlight w:val="none"/>
        </w:rPr>
      </w:pPr>
      <w:r>
        <w:rPr>
          <w:rFonts w:hint="eastAsia"/>
          <w:color w:val="auto"/>
          <w:highlight w:val="none"/>
          <w:lang w:val="en-US" w:eastAsia="zh-CN"/>
        </w:rPr>
        <w:br w:type="page"/>
      </w:r>
      <w:bookmarkStart w:id="112" w:name="_Toc22371"/>
      <w:bookmarkStart w:id="113" w:name="_Toc27244"/>
      <w:bookmarkStart w:id="114" w:name="_Toc27667"/>
    </w:p>
    <w:p w14:paraId="46378F4A">
      <w:pPr>
        <w:pStyle w:val="4"/>
        <w:bidi w:val="0"/>
        <w:ind w:left="0" w:leftChars="0" w:firstLine="0" w:firstLineChars="0"/>
        <w:rPr>
          <w:rFonts w:hint="eastAsia"/>
          <w:color w:val="auto"/>
          <w:highlight w:val="none"/>
        </w:rPr>
      </w:pPr>
      <w:bookmarkStart w:id="115" w:name="_Toc2237"/>
      <w:r>
        <w:rPr>
          <w:rFonts w:hint="eastAsia"/>
          <w:color w:val="auto"/>
          <w:highlight w:val="none"/>
          <w:lang w:val="en-US" w:eastAsia="zh-CN"/>
        </w:rPr>
        <w:t xml:space="preserve">  </w:t>
      </w:r>
      <w:bookmarkStart w:id="116" w:name="_Toc15630"/>
      <w:bookmarkStart w:id="117" w:name="_Toc2098"/>
      <w:bookmarkStart w:id="118" w:name="_Toc2082"/>
      <w:r>
        <w:rPr>
          <w:rFonts w:hint="default"/>
          <w:color w:val="auto"/>
          <w:highlight w:val="none"/>
          <w:lang w:val="en-US" w:eastAsia="zh-CN"/>
        </w:rPr>
        <w:t>实施效果评价</w:t>
      </w:r>
      <w:bookmarkEnd w:id="116"/>
      <w:bookmarkEnd w:id="117"/>
      <w:bookmarkEnd w:id="118"/>
    </w:p>
    <w:bookmarkEnd w:id="115"/>
    <w:p w14:paraId="0BCBA3AC">
      <w:pPr>
        <w:pStyle w:val="6"/>
        <w:bidi w:val="0"/>
        <w:rPr>
          <w:rFonts w:hint="default"/>
          <w:color w:val="auto"/>
          <w:highlight w:val="none"/>
          <w:lang w:val="en-US" w:eastAsia="zh-CN"/>
        </w:rPr>
      </w:pPr>
      <w:bookmarkStart w:id="119" w:name="_Toc6889"/>
      <w:r>
        <w:rPr>
          <w:rFonts w:hint="eastAsia"/>
          <w:color w:val="auto"/>
          <w:highlight w:val="none"/>
          <w:lang w:val="en-US" w:eastAsia="zh-CN"/>
        </w:rPr>
        <w:t>环境效益</w:t>
      </w:r>
      <w:bookmarkEnd w:id="119"/>
    </w:p>
    <w:p w14:paraId="41E90DF2">
      <w:pPr>
        <w:pStyle w:val="5"/>
        <w:bidi w:val="0"/>
        <w:rPr>
          <w:rFonts w:hint="eastAsia"/>
          <w:color w:val="auto"/>
          <w:highlight w:val="none"/>
          <w:lang w:val="en-US" w:eastAsia="zh-CN"/>
        </w:rPr>
      </w:pPr>
      <w:r>
        <w:rPr>
          <w:rFonts w:hint="default"/>
          <w:color w:val="auto"/>
          <w:highlight w:val="none"/>
        </w:rPr>
        <w:t>本</w:t>
      </w:r>
      <w:r>
        <w:rPr>
          <w:rFonts w:hint="eastAsia"/>
          <w:color w:val="auto"/>
          <w:highlight w:val="none"/>
          <w:lang w:val="en-US" w:eastAsia="zh-CN"/>
        </w:rPr>
        <w:t>方案</w:t>
      </w:r>
      <w:r>
        <w:rPr>
          <w:rFonts w:hint="default"/>
          <w:color w:val="auto"/>
          <w:highlight w:val="none"/>
        </w:rPr>
        <w:t>实施后产生的生态环境效益是最主要的效益，也是最直接的效益。通过规划的实施，大幅消减水环境污染物，保护</w:t>
      </w:r>
      <w:r>
        <w:rPr>
          <w:rFonts w:hint="eastAsia"/>
          <w:color w:val="auto"/>
          <w:highlight w:val="none"/>
          <w:lang w:val="en-US" w:eastAsia="zh-CN"/>
        </w:rPr>
        <w:t>梅江河流域石耶镇段</w:t>
      </w:r>
      <w:r>
        <w:rPr>
          <w:rFonts w:hint="default"/>
          <w:color w:val="auto"/>
          <w:highlight w:val="none"/>
        </w:rPr>
        <w:t>水质、保护和改善</w:t>
      </w:r>
      <w:r>
        <w:rPr>
          <w:rFonts w:hint="eastAsia"/>
          <w:color w:val="auto"/>
          <w:highlight w:val="none"/>
          <w:lang w:val="en-US" w:eastAsia="zh-CN"/>
        </w:rPr>
        <w:t>石耶镇</w:t>
      </w:r>
      <w:r>
        <w:rPr>
          <w:rFonts w:hint="default"/>
          <w:color w:val="auto"/>
          <w:highlight w:val="none"/>
        </w:rPr>
        <w:t>生态系统、促进水土保持，全面改善</w:t>
      </w:r>
      <w:r>
        <w:rPr>
          <w:rFonts w:hint="eastAsia"/>
          <w:color w:val="auto"/>
          <w:highlight w:val="none"/>
          <w:lang w:val="en-US" w:eastAsia="zh-CN"/>
        </w:rPr>
        <w:t>石耶镇各河流</w:t>
      </w:r>
      <w:r>
        <w:rPr>
          <w:rFonts w:hint="default"/>
          <w:color w:val="auto"/>
          <w:highlight w:val="none"/>
        </w:rPr>
        <w:t>的生态环境，实现</w:t>
      </w:r>
      <w:r>
        <w:rPr>
          <w:rFonts w:hint="eastAsia"/>
          <w:color w:val="auto"/>
          <w:highlight w:val="none"/>
          <w:lang w:val="en-US" w:eastAsia="zh-CN"/>
        </w:rPr>
        <w:t>石耶镇</w:t>
      </w:r>
      <w:r>
        <w:rPr>
          <w:rFonts w:hint="default"/>
          <w:color w:val="auto"/>
          <w:highlight w:val="none"/>
        </w:rPr>
        <w:t>水环境可持续发展</w:t>
      </w:r>
      <w:r>
        <w:rPr>
          <w:rFonts w:hint="eastAsia"/>
          <w:color w:val="auto"/>
          <w:highlight w:val="none"/>
          <w:lang w:val="en-US" w:eastAsia="zh-CN"/>
        </w:rPr>
        <w:t>。</w:t>
      </w:r>
    </w:p>
    <w:p w14:paraId="70296D11">
      <w:pPr>
        <w:pStyle w:val="27"/>
        <w:rPr>
          <w:rFonts w:hint="default"/>
          <w:b/>
          <w:bCs w:val="0"/>
          <w:color w:val="auto"/>
          <w:highlight w:val="none"/>
        </w:rPr>
      </w:pPr>
      <w:r>
        <w:rPr>
          <w:rFonts w:hint="eastAsia"/>
          <w:b/>
          <w:bCs w:val="0"/>
          <w:color w:val="auto"/>
          <w:highlight w:val="none"/>
          <w:lang w:eastAsia="zh-CN"/>
        </w:rPr>
        <w:t>（</w:t>
      </w:r>
      <w:r>
        <w:rPr>
          <w:rFonts w:hint="eastAsia"/>
          <w:b/>
          <w:bCs w:val="0"/>
          <w:color w:val="auto"/>
          <w:highlight w:val="none"/>
          <w:lang w:val="en-US" w:eastAsia="zh-CN"/>
        </w:rPr>
        <w:t>1</w:t>
      </w:r>
      <w:r>
        <w:rPr>
          <w:rFonts w:hint="eastAsia"/>
          <w:b/>
          <w:bCs w:val="0"/>
          <w:color w:val="auto"/>
          <w:highlight w:val="none"/>
          <w:lang w:eastAsia="zh-CN"/>
        </w:rPr>
        <w:t>）</w:t>
      </w:r>
      <w:r>
        <w:rPr>
          <w:rFonts w:hint="default"/>
          <w:b/>
          <w:bCs w:val="0"/>
          <w:color w:val="auto"/>
          <w:highlight w:val="none"/>
        </w:rPr>
        <w:t>流域污染物负荷大幅削减</w:t>
      </w:r>
    </w:p>
    <w:p w14:paraId="1975BD4A">
      <w:pPr>
        <w:pStyle w:val="5"/>
        <w:bidi w:val="0"/>
        <w:rPr>
          <w:rFonts w:hint="default"/>
        </w:rPr>
      </w:pPr>
      <w:r>
        <w:rPr>
          <w:rFonts w:hint="default"/>
        </w:rPr>
        <w:t>目前</w:t>
      </w:r>
      <w:r>
        <w:rPr>
          <w:rFonts w:hint="eastAsia"/>
          <w:lang w:val="en-US" w:eastAsia="zh-CN"/>
        </w:rPr>
        <w:t>石耶镇</w:t>
      </w:r>
      <w:r>
        <w:rPr>
          <w:rFonts w:hint="default"/>
        </w:rPr>
        <w:t>畜禽养殖</w:t>
      </w:r>
      <w:r>
        <w:rPr>
          <w:rFonts w:hint="eastAsia"/>
          <w:lang w:eastAsia="zh-CN"/>
        </w:rPr>
        <w:t>、</w:t>
      </w:r>
      <w:r>
        <w:rPr>
          <w:rFonts w:hint="eastAsia"/>
          <w:lang w:val="en-US" w:eastAsia="zh-CN"/>
        </w:rPr>
        <w:t>农业种植</w:t>
      </w:r>
      <w:r>
        <w:rPr>
          <w:rFonts w:hint="default"/>
        </w:rPr>
        <w:t>以及</w:t>
      </w:r>
      <w:r>
        <w:rPr>
          <w:rFonts w:hint="eastAsia"/>
          <w:lang w:val="en-US" w:eastAsia="zh-CN"/>
        </w:rPr>
        <w:t>水土流失</w:t>
      </w:r>
      <w:r>
        <w:rPr>
          <w:rFonts w:hint="default"/>
        </w:rPr>
        <w:t>污染是流域最主要的污染源。预计</w:t>
      </w:r>
      <w:r>
        <w:rPr>
          <w:rFonts w:hint="eastAsia"/>
          <w:lang w:val="en-US" w:eastAsia="zh-CN"/>
        </w:rPr>
        <w:t>本方案规划工程</w:t>
      </w:r>
      <w:r>
        <w:rPr>
          <w:rFonts w:hint="default"/>
        </w:rPr>
        <w:t>实施后，</w:t>
      </w:r>
      <w:r>
        <w:rPr>
          <w:rFonts w:hint="eastAsia"/>
          <w:lang w:val="en-US" w:eastAsia="zh-CN"/>
        </w:rPr>
        <w:t>石耶镇辖区内</w:t>
      </w:r>
      <w:r>
        <w:rPr>
          <w:rFonts w:hint="default"/>
        </w:rPr>
        <w:t>污染物入河负荷量将会大幅降低，污染物排放量与入河负荷量的大幅削减会降低流域生态环境的压力，改善</w:t>
      </w:r>
      <w:r>
        <w:rPr>
          <w:rFonts w:hint="eastAsia"/>
          <w:lang w:val="en-US" w:eastAsia="zh-CN"/>
        </w:rPr>
        <w:t>石耶镇各河流</w:t>
      </w:r>
      <w:r>
        <w:rPr>
          <w:rFonts w:hint="default"/>
        </w:rPr>
        <w:t>的生态环境健康，实现社会经济长期可持续发展。</w:t>
      </w:r>
    </w:p>
    <w:p w14:paraId="5AE04332">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default"/>
          <w:color w:val="auto"/>
          <w:highlight w:val="none"/>
        </w:rPr>
        <w:t>水质得到进一步改善</w:t>
      </w:r>
    </w:p>
    <w:p w14:paraId="5D52C20B">
      <w:pPr>
        <w:pStyle w:val="5"/>
        <w:bidi w:val="0"/>
        <w:rPr>
          <w:rFonts w:hint="default" w:ascii="Times New Roman" w:hAnsi="Times New Roman" w:cs="Times New Roman"/>
        </w:rPr>
      </w:pPr>
      <w:r>
        <w:rPr>
          <w:rFonts w:hint="default" w:ascii="Times New Roman" w:hAnsi="Times New Roman" w:cs="Times New Roman"/>
        </w:rPr>
        <w:t>本</w:t>
      </w:r>
      <w:r>
        <w:rPr>
          <w:rFonts w:hint="eastAsia" w:ascii="Times New Roman" w:hAnsi="Times New Roman" w:cs="Times New Roman"/>
          <w:lang w:val="en-US" w:eastAsia="zh-CN"/>
        </w:rPr>
        <w:t>方案</w:t>
      </w:r>
      <w:r>
        <w:rPr>
          <w:rFonts w:hint="default" w:ascii="Times New Roman" w:hAnsi="Times New Roman" w:cs="Times New Roman"/>
        </w:rPr>
        <w:t>通过水资源保护、水域岸线管理保护、水污染防治、水环境治理、水生态修复等诸多措施的实施，可实现流域的绿色发展，入河污染物大幅降低，保障</w:t>
      </w:r>
      <w:r>
        <w:rPr>
          <w:rFonts w:hint="eastAsia" w:cs="Times New Roman"/>
          <w:lang w:val="en-US" w:eastAsia="zh-CN"/>
        </w:rPr>
        <w:t>梅江</w:t>
      </w:r>
      <w:r>
        <w:rPr>
          <w:rFonts w:hint="eastAsia" w:ascii="Times New Roman" w:hAnsi="Times New Roman" w:cs="Times New Roman"/>
          <w:lang w:val="en-US" w:eastAsia="zh-CN"/>
        </w:rPr>
        <w:t>河流域</w:t>
      </w:r>
      <w:r>
        <w:rPr>
          <w:rFonts w:hint="eastAsia" w:cs="Times New Roman"/>
          <w:lang w:val="en-US" w:eastAsia="zh-CN"/>
        </w:rPr>
        <w:t>石耶镇</w:t>
      </w:r>
      <w:r>
        <w:rPr>
          <w:rFonts w:hint="eastAsia" w:ascii="Times New Roman" w:hAnsi="Times New Roman" w:cs="Times New Roman"/>
          <w:lang w:val="en-US" w:eastAsia="zh-CN"/>
        </w:rPr>
        <w:t>段</w:t>
      </w:r>
      <w:r>
        <w:rPr>
          <w:rFonts w:hint="default" w:ascii="Times New Roman" w:hAnsi="Times New Roman" w:cs="Times New Roman"/>
        </w:rPr>
        <w:t>水质在现状水平的基础上进一步改善，到202</w:t>
      </w:r>
      <w:r>
        <w:rPr>
          <w:rFonts w:hint="eastAsia" w:ascii="Times New Roman" w:hAnsi="Times New Roman" w:cs="Times New Roman"/>
          <w:lang w:eastAsia="zh-CN"/>
        </w:rPr>
        <w:t>5</w:t>
      </w:r>
      <w:r>
        <w:rPr>
          <w:rFonts w:hint="default" w:ascii="Times New Roman" w:hAnsi="Times New Roman" w:cs="Times New Roman"/>
        </w:rPr>
        <w:t>年水质稳定达到III类标准。</w:t>
      </w:r>
    </w:p>
    <w:p w14:paraId="65B68680">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default"/>
          <w:color w:val="auto"/>
          <w:highlight w:val="none"/>
        </w:rPr>
        <w:t>水土保持与流域生态建设得到加强</w:t>
      </w:r>
    </w:p>
    <w:p w14:paraId="580240DE">
      <w:pPr>
        <w:pStyle w:val="5"/>
        <w:bidi w:val="0"/>
        <w:rPr>
          <w:rFonts w:hint="default" w:ascii="Times New Roman" w:hAnsi="Times New Roman" w:cs="Times New Roman"/>
        </w:rPr>
      </w:pPr>
      <w:r>
        <w:rPr>
          <w:rFonts w:hint="default" w:ascii="Times New Roman" w:hAnsi="Times New Roman" w:cs="Times New Roman"/>
        </w:rPr>
        <w:t>进一步减少</w:t>
      </w:r>
      <w:r>
        <w:rPr>
          <w:rFonts w:hint="eastAsia" w:cs="Times New Roman"/>
          <w:lang w:val="en-US" w:eastAsia="zh-CN"/>
        </w:rPr>
        <w:t>石耶镇</w:t>
      </w:r>
      <w:r>
        <w:rPr>
          <w:rFonts w:hint="default" w:ascii="Times New Roman" w:hAnsi="Times New Roman" w:cs="Times New Roman"/>
        </w:rPr>
        <w:t>的水土流失面积，增加流域森林植被覆盖率，提高</w:t>
      </w:r>
      <w:r>
        <w:rPr>
          <w:rFonts w:hint="eastAsia" w:cs="Times New Roman"/>
          <w:lang w:val="en-US" w:eastAsia="zh-CN"/>
        </w:rPr>
        <w:t>石耶镇</w:t>
      </w:r>
      <w:r>
        <w:rPr>
          <w:rFonts w:hint="eastAsia" w:ascii="Times New Roman" w:hAnsi="Times New Roman" w:cs="Times New Roman"/>
          <w:lang w:val="en-US" w:eastAsia="zh-CN"/>
        </w:rPr>
        <w:t>辖区</w:t>
      </w:r>
      <w:r>
        <w:rPr>
          <w:rFonts w:hint="default" w:ascii="Times New Roman" w:hAnsi="Times New Roman" w:cs="Times New Roman"/>
        </w:rPr>
        <w:t>水源涵养能力，改善</w:t>
      </w:r>
      <w:r>
        <w:rPr>
          <w:rFonts w:hint="eastAsia" w:cs="Times New Roman"/>
          <w:lang w:val="en-US" w:eastAsia="zh-CN"/>
        </w:rPr>
        <w:t>石耶镇各河流</w:t>
      </w:r>
      <w:r>
        <w:rPr>
          <w:rFonts w:hint="default" w:ascii="Times New Roman" w:hAnsi="Times New Roman" w:cs="Times New Roman"/>
        </w:rPr>
        <w:t>的生态环境。</w:t>
      </w:r>
    </w:p>
    <w:p w14:paraId="711DEB03">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default"/>
          <w:color w:val="auto"/>
          <w:highlight w:val="none"/>
        </w:rPr>
        <w:t>河流生态环境改善</w:t>
      </w:r>
    </w:p>
    <w:p w14:paraId="3256132A">
      <w:pPr>
        <w:pStyle w:val="5"/>
        <w:bidi w:val="0"/>
        <w:rPr>
          <w:rFonts w:hint="default" w:ascii="Times New Roman" w:hAnsi="Times New Roman" w:cs="Times New Roman"/>
        </w:rPr>
      </w:pPr>
      <w:r>
        <w:rPr>
          <w:rFonts w:hint="default" w:ascii="Times New Roman" w:hAnsi="Times New Roman" w:cs="Times New Roman"/>
        </w:rPr>
        <w:t>通过</w:t>
      </w:r>
      <w:r>
        <w:rPr>
          <w:rFonts w:hint="eastAsia" w:ascii="Times New Roman" w:hAnsi="Times New Roman" w:cs="Times New Roman"/>
          <w:lang w:val="en-US" w:eastAsia="zh-CN"/>
        </w:rPr>
        <w:t>方案</w:t>
      </w:r>
      <w:r>
        <w:rPr>
          <w:rFonts w:hint="default" w:ascii="Times New Roman" w:hAnsi="Times New Roman" w:cs="Times New Roman"/>
        </w:rPr>
        <w:t>的各项工程措施，使</w:t>
      </w:r>
      <w:r>
        <w:rPr>
          <w:rFonts w:hint="eastAsia" w:cs="Times New Roman"/>
          <w:lang w:val="en-US" w:eastAsia="zh-CN"/>
        </w:rPr>
        <w:t>石耶镇</w:t>
      </w:r>
      <w:r>
        <w:rPr>
          <w:rFonts w:hint="eastAsia" w:ascii="Times New Roman" w:hAnsi="Times New Roman" w:cs="Times New Roman"/>
          <w:lang w:val="en-US" w:eastAsia="zh-CN"/>
        </w:rPr>
        <w:t>各</w:t>
      </w:r>
      <w:r>
        <w:rPr>
          <w:rFonts w:hint="default" w:ascii="Times New Roman" w:hAnsi="Times New Roman" w:cs="Times New Roman"/>
        </w:rPr>
        <w:t>河流生态系统更加健康稳定，整个流域的生态环境得到改善，将使生态功能得到恢复和加强。</w:t>
      </w:r>
    </w:p>
    <w:p w14:paraId="5BBF9455">
      <w:pPr>
        <w:pStyle w:val="27"/>
        <w:rPr>
          <w:rFonts w:hint="default"/>
          <w:color w:val="auto"/>
          <w:highlight w:val="none"/>
        </w:rPr>
      </w:pPr>
      <w:r>
        <w:rPr>
          <w:rFonts w:hint="eastAsia"/>
          <w:color w:val="auto"/>
          <w:highlight w:val="none"/>
          <w:lang w:eastAsia="zh-CN"/>
        </w:rPr>
        <w:t>（</w:t>
      </w:r>
      <w:r>
        <w:rPr>
          <w:rFonts w:hint="eastAsia"/>
          <w:color w:val="auto"/>
          <w:highlight w:val="none"/>
          <w:lang w:val="en-US" w:eastAsia="zh-CN"/>
        </w:rPr>
        <w:t>5</w:t>
      </w:r>
      <w:r>
        <w:rPr>
          <w:rFonts w:hint="eastAsia"/>
          <w:color w:val="auto"/>
          <w:highlight w:val="none"/>
          <w:lang w:eastAsia="zh-CN"/>
        </w:rPr>
        <w:t>）</w:t>
      </w:r>
      <w:r>
        <w:rPr>
          <w:rFonts w:hint="default"/>
          <w:color w:val="auto"/>
          <w:highlight w:val="none"/>
        </w:rPr>
        <w:t>环境管理能力大幅度提高</w:t>
      </w:r>
    </w:p>
    <w:p w14:paraId="09BA8A4F">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rPr>
        <w:t>实施后，相关法规、管理部门设置和管理机制将得到进一步完善；民众环境保护意识和能力进一步加强；环境管理和执法人员得到培训；</w:t>
      </w:r>
      <w:r>
        <w:rPr>
          <w:rFonts w:hint="eastAsia" w:cs="Times New Roman"/>
          <w:lang w:val="en-US" w:eastAsia="zh-CN"/>
        </w:rPr>
        <w:t>石耶镇</w:t>
      </w:r>
      <w:r>
        <w:rPr>
          <w:rFonts w:hint="default" w:ascii="Times New Roman" w:hAnsi="Times New Roman" w:cs="Times New Roman"/>
        </w:rPr>
        <w:t>环境管理能力将得到大幅度提高</w:t>
      </w:r>
      <w:r>
        <w:rPr>
          <w:rFonts w:hint="default" w:ascii="Times New Roman" w:hAnsi="Times New Roman" w:cs="Times New Roman"/>
          <w:lang w:val="en-US" w:eastAsia="zh-CN"/>
        </w:rPr>
        <w:t>。</w:t>
      </w:r>
    </w:p>
    <w:p w14:paraId="36D076A2">
      <w:pPr>
        <w:pStyle w:val="6"/>
        <w:bidi w:val="0"/>
        <w:rPr>
          <w:rFonts w:hint="default"/>
          <w:color w:val="auto"/>
          <w:highlight w:val="none"/>
          <w:lang w:val="en-US" w:eastAsia="zh-CN"/>
        </w:rPr>
      </w:pPr>
      <w:bookmarkStart w:id="120" w:name="_Toc12135"/>
      <w:r>
        <w:rPr>
          <w:rFonts w:hint="eastAsia"/>
          <w:color w:val="auto"/>
          <w:highlight w:val="none"/>
          <w:lang w:val="en-US" w:eastAsia="zh-CN"/>
        </w:rPr>
        <w:t>经济效益</w:t>
      </w:r>
      <w:bookmarkEnd w:id="120"/>
    </w:p>
    <w:p w14:paraId="30FC6999">
      <w:pPr>
        <w:pStyle w:val="5"/>
        <w:bidi w:val="0"/>
        <w:rPr>
          <w:rFonts w:hint="default"/>
        </w:rPr>
      </w:pPr>
      <w:r>
        <w:rPr>
          <w:rFonts w:hint="eastAsia"/>
          <w:lang w:val="en-US" w:eastAsia="zh-CN"/>
        </w:rPr>
        <w:t>石耶镇</w:t>
      </w:r>
      <w:r>
        <w:rPr>
          <w:rFonts w:hint="eastAsia"/>
          <w:lang w:eastAsia="zh-CN"/>
        </w:rPr>
        <w:t>“</w:t>
      </w:r>
      <w:r>
        <w:rPr>
          <w:rFonts w:hint="default"/>
        </w:rPr>
        <w:t>一河一策</w:t>
      </w:r>
      <w:r>
        <w:rPr>
          <w:rFonts w:hint="eastAsia"/>
          <w:lang w:eastAsia="zh-CN"/>
        </w:rPr>
        <w:t>”</w:t>
      </w:r>
      <w:r>
        <w:rPr>
          <w:rFonts w:hint="default"/>
        </w:rPr>
        <w:t>实施后，</w:t>
      </w:r>
      <w:r>
        <w:rPr>
          <w:rFonts w:hint="eastAsia"/>
          <w:lang w:val="en-US" w:eastAsia="zh-CN"/>
        </w:rPr>
        <w:t>石耶镇各河流</w:t>
      </w:r>
      <w:r>
        <w:rPr>
          <w:rFonts w:hint="default"/>
        </w:rPr>
        <w:t>水体的系统治理、开发与保护，可有力地促进人与自然和谐相处、水资源可持续利用和水生态系统的有效保护，为</w:t>
      </w:r>
      <w:r>
        <w:rPr>
          <w:rFonts w:hint="eastAsia"/>
          <w:lang w:val="en-US" w:eastAsia="zh-CN"/>
        </w:rPr>
        <w:t>石耶镇</w:t>
      </w:r>
      <w:r>
        <w:rPr>
          <w:rFonts w:hint="default"/>
        </w:rPr>
        <w:t>经济社会发展、人民生命财产安全和生活水平提高提供了重要保障。</w:t>
      </w:r>
    </w:p>
    <w:p w14:paraId="1ABFDB76">
      <w:pPr>
        <w:pStyle w:val="5"/>
        <w:bidi w:val="0"/>
        <w:rPr>
          <w:rFonts w:hint="eastAsia"/>
          <w:lang w:eastAsia="zh-CN"/>
        </w:rPr>
      </w:pPr>
      <w:r>
        <w:rPr>
          <w:rFonts w:hint="eastAsia"/>
          <w:lang w:val="en-US" w:eastAsia="zh-CN"/>
        </w:rPr>
        <w:t>方案</w:t>
      </w:r>
      <w:r>
        <w:rPr>
          <w:rFonts w:hint="default"/>
        </w:rPr>
        <w:t>实施能够在一定程度上促进了社会经济的稳定发展；</w:t>
      </w:r>
      <w:r>
        <w:rPr>
          <w:rFonts w:hint="eastAsia"/>
          <w:lang w:val="en-US" w:eastAsia="zh-CN"/>
        </w:rPr>
        <w:t>方案</w:t>
      </w:r>
      <w:r>
        <w:rPr>
          <w:rFonts w:hint="default"/>
        </w:rPr>
        <w:t>实施后增加了林地植被面积，减轻了水土流失，减少入河入库泥沙量，汛期还能起到削减洪峰的作用，同时河道得到了有效的治理，提高了防洪能力，减少了洪涝灾害，避免了大量的洪灾损失；项目实施后，</w:t>
      </w:r>
      <w:r>
        <w:rPr>
          <w:rFonts w:hint="eastAsia"/>
          <w:lang w:val="en-US" w:eastAsia="zh-CN"/>
        </w:rPr>
        <w:t>石耶镇</w:t>
      </w:r>
      <w:r>
        <w:rPr>
          <w:rFonts w:hint="default"/>
        </w:rPr>
        <w:t>水生态、水环境得到治理，有利于水生生物结构的改善，保护水生生物多样性；项目实施后，</w:t>
      </w:r>
      <w:r>
        <w:rPr>
          <w:rFonts w:hint="eastAsia"/>
          <w:lang w:val="en-US" w:eastAsia="zh-CN"/>
        </w:rPr>
        <w:t>石耶镇</w:t>
      </w:r>
      <w:r>
        <w:rPr>
          <w:rFonts w:hint="default"/>
        </w:rPr>
        <w:t>水生态文明建设迈上新台阶，构建</w:t>
      </w:r>
      <w:r>
        <w:rPr>
          <w:rFonts w:hint="eastAsia"/>
          <w:lang w:eastAsia="zh-CN"/>
        </w:rPr>
        <w:t>“</w:t>
      </w:r>
      <w:r>
        <w:rPr>
          <w:rFonts w:hint="default"/>
        </w:rPr>
        <w:t>有河有水、有鱼有草、人水和谐</w:t>
      </w:r>
      <w:r>
        <w:rPr>
          <w:rFonts w:hint="eastAsia"/>
          <w:lang w:eastAsia="zh-CN"/>
        </w:rPr>
        <w:t>”</w:t>
      </w:r>
      <w:r>
        <w:rPr>
          <w:rFonts w:hint="default"/>
        </w:rPr>
        <w:t>的美丽画卷</w:t>
      </w:r>
      <w:r>
        <w:rPr>
          <w:rFonts w:hint="eastAsia"/>
          <w:lang w:eastAsia="zh-CN"/>
        </w:rPr>
        <w:t>。</w:t>
      </w:r>
    </w:p>
    <w:p w14:paraId="7F7BEF10">
      <w:pPr>
        <w:pStyle w:val="6"/>
        <w:bidi w:val="0"/>
        <w:rPr>
          <w:rFonts w:hint="default"/>
          <w:color w:val="auto"/>
          <w:highlight w:val="none"/>
          <w:lang w:val="en-US" w:eastAsia="zh-CN"/>
        </w:rPr>
      </w:pPr>
      <w:bookmarkStart w:id="121" w:name="_Toc13489"/>
      <w:r>
        <w:rPr>
          <w:rFonts w:hint="eastAsia"/>
          <w:color w:val="auto"/>
          <w:highlight w:val="none"/>
          <w:lang w:val="en-US" w:eastAsia="zh-CN"/>
        </w:rPr>
        <w:t>社会效益</w:t>
      </w:r>
      <w:bookmarkEnd w:id="121"/>
    </w:p>
    <w:p w14:paraId="63B8FDE0">
      <w:pPr>
        <w:pStyle w:val="5"/>
        <w:bidi w:val="0"/>
        <w:rPr>
          <w:rFonts w:hint="default"/>
          <w:lang w:val="en-US" w:eastAsia="zh-CN"/>
        </w:rPr>
      </w:pPr>
      <w:r>
        <w:rPr>
          <w:rFonts w:hint="default"/>
          <w:lang w:val="en-US" w:eastAsia="zh-CN"/>
        </w:rPr>
        <w:t>通过加强</w:t>
      </w:r>
      <w:r>
        <w:rPr>
          <w:rFonts w:hint="eastAsia"/>
          <w:lang w:val="en-US" w:eastAsia="zh-CN"/>
        </w:rPr>
        <w:t>石耶镇辖区内</w:t>
      </w:r>
      <w:r>
        <w:rPr>
          <w:rFonts w:hint="default"/>
          <w:lang w:val="en-US" w:eastAsia="zh-CN"/>
        </w:rPr>
        <w:t>生态环境保护，解决了生活污染</w:t>
      </w:r>
      <w:r>
        <w:rPr>
          <w:rFonts w:hint="eastAsia"/>
          <w:lang w:val="en-US" w:eastAsia="zh-CN"/>
        </w:rPr>
        <w:t>和</w:t>
      </w:r>
      <w:r>
        <w:rPr>
          <w:rFonts w:hint="default"/>
          <w:lang w:val="en-US" w:eastAsia="zh-CN"/>
        </w:rPr>
        <w:t>面源污染等突出环境问题，美化了</w:t>
      </w:r>
      <w:r>
        <w:rPr>
          <w:rFonts w:hint="eastAsia"/>
          <w:lang w:val="en-US" w:eastAsia="zh-CN"/>
        </w:rPr>
        <w:t>城镇</w:t>
      </w:r>
      <w:r>
        <w:rPr>
          <w:rFonts w:hint="default"/>
          <w:lang w:val="en-US" w:eastAsia="zh-CN"/>
        </w:rPr>
        <w:t>人居环境，保障了</w:t>
      </w:r>
      <w:r>
        <w:rPr>
          <w:rFonts w:hint="eastAsia"/>
          <w:lang w:val="en-US" w:eastAsia="zh-CN"/>
        </w:rPr>
        <w:t>城镇</w:t>
      </w:r>
      <w:r>
        <w:rPr>
          <w:rFonts w:hint="default"/>
          <w:lang w:val="en-US" w:eastAsia="zh-CN"/>
        </w:rPr>
        <w:t>居民的饮水安全，是保障和改善民生的重要之举，具有巨大的社会效益。</w:t>
      </w:r>
    </w:p>
    <w:p w14:paraId="372286FB">
      <w:pPr>
        <w:pStyle w:val="27"/>
        <w:rPr>
          <w:rFonts w:hint="default"/>
          <w:color w:val="auto"/>
          <w:highlight w:val="none"/>
          <w:lang w:val="en-US" w:eastAsia="zh-CN"/>
        </w:rPr>
      </w:pPr>
      <w:r>
        <w:rPr>
          <w:rFonts w:hint="eastAsia"/>
          <w:color w:val="auto"/>
          <w:highlight w:val="none"/>
          <w:lang w:val="en-US" w:eastAsia="zh-CN"/>
        </w:rPr>
        <w:t>（1）</w:t>
      </w:r>
      <w:r>
        <w:rPr>
          <w:rFonts w:hint="default"/>
          <w:color w:val="auto"/>
          <w:highlight w:val="none"/>
          <w:lang w:val="en-US" w:eastAsia="zh-CN"/>
        </w:rPr>
        <w:t>提高了人民群众的环境保护意识</w:t>
      </w:r>
    </w:p>
    <w:p w14:paraId="538E10F8">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过程就是一次深刻、生动的环境保护宣传过程。通过具体的工程实施，使人们能够体会到环境保护的重要性和环境效益，使人们懂得环境污染的严重后果，这一过程较单纯宣传更为有效并易于被群众所接受。此外，本规划实施后还将随着人们生活质量的提高，人们的环保意识会随之增强，将使流域环境保护产生质的飞跃，保护环境、节约资源将成为居民的自觉行为。</w:t>
      </w:r>
    </w:p>
    <w:p w14:paraId="7FB4E366">
      <w:pPr>
        <w:pStyle w:val="27"/>
        <w:rPr>
          <w:rFonts w:hint="default"/>
          <w:b/>
          <w:bCs w:val="0"/>
          <w:color w:val="auto"/>
          <w:highlight w:val="none"/>
          <w:lang w:val="en-US" w:eastAsia="zh-CN"/>
        </w:rPr>
      </w:pPr>
      <w:r>
        <w:rPr>
          <w:rFonts w:hint="eastAsia"/>
          <w:b/>
          <w:bCs w:val="0"/>
          <w:color w:val="auto"/>
          <w:highlight w:val="none"/>
          <w:lang w:val="en-US" w:eastAsia="zh-CN"/>
        </w:rPr>
        <w:t>（2）</w:t>
      </w:r>
      <w:r>
        <w:rPr>
          <w:rFonts w:hint="default"/>
          <w:b/>
          <w:bCs w:val="0"/>
          <w:color w:val="auto"/>
          <w:highlight w:val="none"/>
          <w:lang w:val="en-US" w:eastAsia="zh-CN"/>
        </w:rPr>
        <w:t>提高公共健康水平</w:t>
      </w:r>
    </w:p>
    <w:p w14:paraId="2081D124">
      <w:pPr>
        <w:pStyle w:val="5"/>
        <w:bidi w:val="0"/>
        <w:rPr>
          <w:rFonts w:hint="default" w:ascii="Times New Roman" w:hAnsi="Times New Roman" w:cs="Times New Roman"/>
          <w:lang w:val="en-US" w:eastAsia="zh-CN"/>
        </w:rPr>
      </w:pPr>
      <w:r>
        <w:rPr>
          <w:rFonts w:hint="default" w:ascii="Times New Roman" w:hAnsi="Times New Roman" w:cs="Times New Roman"/>
          <w:lang w:val="en-US" w:eastAsia="zh-CN"/>
        </w:rPr>
        <w:t>随着</w:t>
      </w:r>
      <w:r>
        <w:rPr>
          <w:rFonts w:hint="eastAsia" w:cs="Times New Roman"/>
          <w:lang w:val="en-US" w:eastAsia="zh-CN"/>
        </w:rPr>
        <w:t>石耶镇</w:t>
      </w:r>
      <w:r>
        <w:rPr>
          <w:rFonts w:hint="eastAsia" w:ascii="Times New Roman" w:hAnsi="Times New Roman" w:cs="Times New Roman"/>
          <w:lang w:val="en-US" w:eastAsia="zh-CN"/>
        </w:rPr>
        <w:t>镇域</w:t>
      </w:r>
      <w:r>
        <w:rPr>
          <w:rFonts w:hint="default" w:ascii="Times New Roman" w:hAnsi="Times New Roman" w:cs="Times New Roman"/>
          <w:lang w:val="en-US" w:eastAsia="zh-CN"/>
        </w:rPr>
        <w:t>自然环境质量及污水、垃圾收集处理等基础设施的逐步完善，一方面净化了水体和空气，另一方面减少疾病传播，对提高</w:t>
      </w:r>
      <w:r>
        <w:rPr>
          <w:rFonts w:hint="eastAsia" w:cs="Times New Roman"/>
          <w:lang w:val="en-US" w:eastAsia="zh-CN"/>
        </w:rPr>
        <w:t>石耶镇</w:t>
      </w:r>
      <w:r>
        <w:rPr>
          <w:rFonts w:hint="default" w:ascii="Times New Roman" w:hAnsi="Times New Roman" w:cs="Times New Roman"/>
          <w:lang w:val="en-US" w:eastAsia="zh-CN"/>
        </w:rPr>
        <w:t>居民卫生环境质量，保护公众健康是极为有利的。</w:t>
      </w:r>
    </w:p>
    <w:p w14:paraId="2892F0FD">
      <w:pPr>
        <w:pStyle w:val="27"/>
        <w:rPr>
          <w:rFonts w:hint="default"/>
          <w:b/>
          <w:bCs w:val="0"/>
          <w:color w:val="auto"/>
          <w:highlight w:val="none"/>
          <w:lang w:val="en-US" w:eastAsia="zh-CN"/>
        </w:rPr>
      </w:pPr>
      <w:r>
        <w:rPr>
          <w:rFonts w:hint="eastAsia"/>
          <w:b/>
          <w:bCs w:val="0"/>
          <w:color w:val="auto"/>
          <w:highlight w:val="none"/>
          <w:lang w:val="en-US" w:eastAsia="zh-CN"/>
        </w:rPr>
        <w:t>（3）</w:t>
      </w:r>
      <w:r>
        <w:rPr>
          <w:rFonts w:hint="default"/>
          <w:b/>
          <w:bCs w:val="0"/>
          <w:color w:val="auto"/>
          <w:highlight w:val="none"/>
          <w:lang w:val="en-US" w:eastAsia="zh-CN"/>
        </w:rPr>
        <w:t>改善人居环境，提高生活品质</w:t>
      </w:r>
    </w:p>
    <w:p w14:paraId="552CB6FF">
      <w:pPr>
        <w:pStyle w:val="5"/>
        <w:bidi w:val="0"/>
        <w:rPr>
          <w:rFonts w:hint="default"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的实施将大大地改善</w:t>
      </w:r>
      <w:r>
        <w:rPr>
          <w:rFonts w:hint="eastAsia" w:cs="Times New Roman"/>
          <w:lang w:val="en-US" w:eastAsia="zh-CN"/>
        </w:rPr>
        <w:t>石耶镇</w:t>
      </w:r>
      <w:r>
        <w:rPr>
          <w:rFonts w:hint="eastAsia" w:ascii="Times New Roman" w:hAnsi="Times New Roman" w:cs="Times New Roman"/>
          <w:lang w:val="en-US" w:eastAsia="zh-CN"/>
        </w:rPr>
        <w:t>各河流</w:t>
      </w:r>
      <w:r>
        <w:rPr>
          <w:rFonts w:hint="default" w:ascii="Times New Roman" w:hAnsi="Times New Roman" w:cs="Times New Roman"/>
          <w:lang w:val="en-US" w:eastAsia="zh-CN"/>
        </w:rPr>
        <w:t>沿岸的景观，提高沿岸居民的生活品质，为人们提供独特的娱乐、美学、教育和科研价值。</w:t>
      </w:r>
    </w:p>
    <w:p w14:paraId="10135824">
      <w:pPr>
        <w:pStyle w:val="27"/>
        <w:rPr>
          <w:rFonts w:hint="default"/>
          <w:b/>
          <w:bCs w:val="0"/>
          <w:color w:val="auto"/>
          <w:highlight w:val="none"/>
          <w:lang w:val="en-US" w:eastAsia="zh-CN"/>
        </w:rPr>
      </w:pPr>
      <w:r>
        <w:rPr>
          <w:rFonts w:hint="eastAsia"/>
          <w:b/>
          <w:bCs w:val="0"/>
          <w:color w:val="auto"/>
          <w:highlight w:val="none"/>
          <w:lang w:val="en-US" w:eastAsia="zh-CN"/>
        </w:rPr>
        <w:t>（4）</w:t>
      </w:r>
      <w:r>
        <w:rPr>
          <w:rFonts w:hint="default"/>
          <w:b/>
          <w:bCs w:val="0"/>
          <w:color w:val="auto"/>
          <w:highlight w:val="none"/>
          <w:lang w:val="en-US" w:eastAsia="zh-CN"/>
        </w:rPr>
        <w:t>促进</w:t>
      </w:r>
      <w:r>
        <w:rPr>
          <w:rFonts w:hint="eastAsia"/>
          <w:b/>
          <w:bCs w:val="0"/>
          <w:color w:val="auto"/>
          <w:highlight w:val="none"/>
          <w:lang w:val="en-US" w:eastAsia="zh-CN"/>
        </w:rPr>
        <w:t>镇域</w:t>
      </w:r>
      <w:r>
        <w:rPr>
          <w:rFonts w:hint="default"/>
          <w:b/>
          <w:bCs w:val="0"/>
          <w:color w:val="auto"/>
          <w:highlight w:val="none"/>
          <w:lang w:val="en-US" w:eastAsia="zh-CN"/>
        </w:rPr>
        <w:t>生产水平提高和科技进步</w:t>
      </w:r>
    </w:p>
    <w:p w14:paraId="535C5276">
      <w:pPr>
        <w:pStyle w:val="5"/>
        <w:bidi w:val="0"/>
        <w:rPr>
          <w:rFonts w:hint="eastAsia" w:ascii="Times New Roman" w:hAnsi="Times New Roman" w:cs="Times New Roman"/>
          <w:lang w:val="en-US" w:eastAsia="zh-CN"/>
        </w:rPr>
      </w:pPr>
      <w:r>
        <w:rPr>
          <w:rFonts w:hint="eastAsia" w:ascii="Times New Roman" w:hAnsi="Times New Roman" w:cs="Times New Roman"/>
          <w:lang w:val="en-US" w:eastAsia="zh-CN"/>
        </w:rPr>
        <w:t>方案</w:t>
      </w:r>
      <w:r>
        <w:rPr>
          <w:rFonts w:hint="default" w:ascii="Times New Roman" w:hAnsi="Times New Roman" w:cs="Times New Roman"/>
          <w:lang w:val="en-US" w:eastAsia="zh-CN"/>
        </w:rPr>
        <w:t>实施后，教育培训、低毒、低残留农药推广等，将促进</w:t>
      </w:r>
      <w:r>
        <w:rPr>
          <w:rFonts w:hint="eastAsia" w:cs="Times New Roman"/>
          <w:lang w:val="en-US" w:eastAsia="zh-CN"/>
        </w:rPr>
        <w:t>石耶镇</w:t>
      </w:r>
      <w:r>
        <w:rPr>
          <w:rFonts w:hint="default" w:ascii="Times New Roman" w:hAnsi="Times New Roman" w:cs="Times New Roman"/>
          <w:lang w:val="en-US" w:eastAsia="zh-CN"/>
        </w:rPr>
        <w:t>农民逐步掌握合理施肥、优化施肥及一系列田间管理技术，促进劳动生产率的提高， 为流域发展腾出水环境容量。</w:t>
      </w:r>
    </w:p>
    <w:p w14:paraId="72306604">
      <w:pPr>
        <w:pStyle w:val="4"/>
        <w:numPr>
          <w:ilvl w:val="0"/>
          <w:numId w:val="0"/>
        </w:numPr>
        <w:spacing w:before="156" w:after="156"/>
        <w:ind w:leftChars="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bookmarkStart w:id="122" w:name="_Toc31347"/>
    </w:p>
    <w:bookmarkEnd w:id="112"/>
    <w:bookmarkEnd w:id="113"/>
    <w:bookmarkEnd w:id="114"/>
    <w:bookmarkEnd w:id="122"/>
    <w:p w14:paraId="008C97FF">
      <w:pPr>
        <w:pStyle w:val="4"/>
        <w:bidi w:val="0"/>
        <w:ind w:left="0" w:leftChars="0" w:firstLine="0" w:firstLineChars="0"/>
        <w:rPr>
          <w:rFonts w:hint="eastAsia"/>
          <w:color w:val="auto"/>
          <w:highlight w:val="none"/>
        </w:rPr>
      </w:pPr>
      <w:bookmarkStart w:id="123" w:name="_Toc31550"/>
      <w:bookmarkStart w:id="124" w:name="_Toc511748455"/>
      <w:r>
        <w:rPr>
          <w:rFonts w:hint="eastAsia"/>
          <w:color w:val="auto"/>
          <w:highlight w:val="none"/>
          <w:lang w:val="en-US" w:eastAsia="zh-CN"/>
        </w:rPr>
        <w:t xml:space="preserve">  </w:t>
      </w:r>
      <w:bookmarkStart w:id="125" w:name="_Toc13748"/>
      <w:r>
        <w:rPr>
          <w:rFonts w:hint="eastAsia"/>
          <w:color w:val="auto"/>
          <w:highlight w:val="none"/>
          <w:lang w:val="en-US" w:eastAsia="zh-CN"/>
        </w:rPr>
        <w:t>保障措施</w:t>
      </w:r>
      <w:bookmarkEnd w:id="125"/>
    </w:p>
    <w:bookmarkEnd w:id="123"/>
    <w:bookmarkEnd w:id="124"/>
    <w:p w14:paraId="21A3B22E">
      <w:pPr>
        <w:pStyle w:val="6"/>
        <w:bidi w:val="0"/>
        <w:rPr>
          <w:rFonts w:hint="default"/>
          <w:color w:val="auto"/>
          <w:highlight w:val="none"/>
          <w:lang w:val="en-US" w:eastAsia="zh-CN"/>
        </w:rPr>
      </w:pPr>
      <w:bookmarkStart w:id="126" w:name="_Toc4559"/>
      <w:bookmarkStart w:id="127" w:name="_Toc13430"/>
      <w:bookmarkStart w:id="128" w:name="_Toc27787"/>
      <w:r>
        <w:rPr>
          <w:rFonts w:hint="default"/>
          <w:color w:val="auto"/>
          <w:highlight w:val="none"/>
          <w:lang w:val="en-US" w:eastAsia="zh-CN"/>
        </w:rPr>
        <w:t>组织保障</w:t>
      </w:r>
      <w:bookmarkEnd w:id="126"/>
      <w:bookmarkEnd w:id="127"/>
      <w:bookmarkEnd w:id="128"/>
    </w:p>
    <w:p w14:paraId="7CB3A89E">
      <w:pPr>
        <w:pStyle w:val="5"/>
        <w:bidi w:val="0"/>
        <w:rPr>
          <w:color w:val="auto"/>
          <w:highlight w:val="none"/>
        </w:rPr>
      </w:pPr>
      <w:r>
        <w:rPr>
          <w:rFonts w:hint="default"/>
          <w:color w:val="auto"/>
          <w:highlight w:val="none"/>
          <w:lang w:val="en-US" w:eastAsia="zh-CN"/>
        </w:rPr>
        <w:t>各级河长负责方案实施的组织领导，</w:t>
      </w:r>
      <w:r>
        <w:rPr>
          <w:rFonts w:hint="eastAsia"/>
          <w:color w:val="auto"/>
          <w:highlight w:val="none"/>
          <w:lang w:val="en-US" w:eastAsia="zh-CN"/>
        </w:rPr>
        <w:t>各部门</w:t>
      </w:r>
      <w:r>
        <w:rPr>
          <w:rFonts w:hint="default"/>
          <w:color w:val="auto"/>
          <w:highlight w:val="none"/>
          <w:lang w:val="en-US" w:eastAsia="zh-CN"/>
        </w:rPr>
        <w:t>负责具体组织、协调、分办、督办等工作。要明确各项任务和措施实施的具体责任单位和责任人，落实监督主体和责任人，各司其职，各负其责，密切配合，协调联动，协同推进河长制各项工作。严格考核问责，实行生态环境损害责任终身追究。切实加强各类工程与非工程措施的组织实施，并作为政府</w:t>
      </w:r>
      <w:r>
        <w:rPr>
          <w:rFonts w:hint="eastAsia"/>
          <w:color w:val="auto"/>
          <w:highlight w:val="none"/>
          <w:lang w:val="en-US" w:eastAsia="zh-CN"/>
        </w:rPr>
        <w:t>“</w:t>
      </w:r>
      <w:r>
        <w:rPr>
          <w:rFonts w:hint="default"/>
          <w:color w:val="auto"/>
          <w:highlight w:val="none"/>
          <w:lang w:val="en-US" w:eastAsia="zh-CN"/>
        </w:rPr>
        <w:t>河长制</w:t>
      </w:r>
      <w:r>
        <w:rPr>
          <w:rFonts w:hint="eastAsia"/>
          <w:color w:val="auto"/>
          <w:highlight w:val="none"/>
          <w:lang w:val="en-US" w:eastAsia="zh-CN"/>
        </w:rPr>
        <w:t>”</w:t>
      </w:r>
      <w:r>
        <w:rPr>
          <w:rFonts w:hint="default"/>
          <w:color w:val="auto"/>
          <w:highlight w:val="none"/>
          <w:lang w:val="en-US" w:eastAsia="zh-CN"/>
        </w:rPr>
        <w:t>重要考核内容，加强对实施方案和执行结果的检查评估。</w:t>
      </w:r>
    </w:p>
    <w:p w14:paraId="5B09B26B">
      <w:pPr>
        <w:pStyle w:val="6"/>
        <w:bidi w:val="0"/>
        <w:rPr>
          <w:rFonts w:hint="default"/>
          <w:color w:val="auto"/>
          <w:highlight w:val="none"/>
          <w:lang w:val="en-US" w:eastAsia="zh-CN"/>
        </w:rPr>
      </w:pPr>
      <w:bookmarkStart w:id="129" w:name="_Toc21892"/>
      <w:bookmarkStart w:id="130" w:name="_Toc20274"/>
      <w:bookmarkStart w:id="131" w:name="_Toc25483"/>
      <w:r>
        <w:rPr>
          <w:rFonts w:hint="default"/>
          <w:color w:val="auto"/>
          <w:highlight w:val="none"/>
          <w:lang w:val="en-US" w:eastAsia="zh-CN"/>
        </w:rPr>
        <w:t>制度保障</w:t>
      </w:r>
      <w:bookmarkEnd w:id="129"/>
      <w:bookmarkEnd w:id="130"/>
      <w:bookmarkEnd w:id="131"/>
    </w:p>
    <w:p w14:paraId="322F4B92">
      <w:pPr>
        <w:pStyle w:val="5"/>
        <w:bidi w:val="0"/>
        <w:rPr>
          <w:rFonts w:hint="default"/>
          <w:lang w:val="en-US" w:eastAsia="zh-CN"/>
        </w:rPr>
      </w:pPr>
      <w:r>
        <w:rPr>
          <w:rFonts w:hint="default"/>
          <w:lang w:val="en-US" w:eastAsia="zh-CN"/>
        </w:rPr>
        <w:t>建立健全推行河长制各项制度，主要包括河长会议制度、信息共享制度、信息报送制度、工作督察制度、考核问责和激励制度、验收制度等。</w:t>
      </w:r>
    </w:p>
    <w:p w14:paraId="35FCB14D">
      <w:pPr>
        <w:pStyle w:val="5"/>
        <w:bidi w:val="0"/>
      </w:pPr>
      <w:r>
        <w:rPr>
          <w:rFonts w:hint="eastAsia"/>
          <w:lang w:val="en-US" w:eastAsia="zh-CN"/>
        </w:rPr>
        <w:t>县</w:t>
      </w:r>
      <w:r>
        <w:rPr>
          <w:rFonts w:hint="default"/>
          <w:lang w:val="en-US" w:eastAsia="zh-CN"/>
        </w:rPr>
        <w:t>政府建立信息共享制度，定期通报河库管理保护情况，及时跟踪河长制实施进展。建立工作督察制度，对河长制实施情况和河长履职情况进行督察。建立考核问责与激励机制，对成绩突出的河长及责任单位进行通报，对失职失责的严肃问责</w:t>
      </w:r>
      <w:r>
        <w:rPr>
          <w:rFonts w:hint="eastAsia"/>
          <w:lang w:val="en-US" w:eastAsia="zh-CN"/>
        </w:rPr>
        <w:t>。</w:t>
      </w:r>
    </w:p>
    <w:p w14:paraId="39882E43">
      <w:pPr>
        <w:pStyle w:val="6"/>
        <w:bidi w:val="0"/>
        <w:rPr>
          <w:rFonts w:hint="default"/>
          <w:color w:val="auto"/>
          <w:highlight w:val="none"/>
          <w:lang w:val="en-US" w:eastAsia="zh-CN"/>
        </w:rPr>
      </w:pPr>
      <w:bookmarkStart w:id="132" w:name="_Toc13017"/>
      <w:bookmarkStart w:id="133" w:name="_Toc27757"/>
      <w:bookmarkStart w:id="134" w:name="_Toc29259"/>
      <w:r>
        <w:rPr>
          <w:rFonts w:hint="default"/>
          <w:color w:val="auto"/>
          <w:highlight w:val="none"/>
          <w:lang w:val="en-US" w:eastAsia="zh-CN"/>
        </w:rPr>
        <w:t>经费保障</w:t>
      </w:r>
      <w:bookmarkEnd w:id="132"/>
      <w:bookmarkEnd w:id="133"/>
      <w:bookmarkEnd w:id="134"/>
    </w:p>
    <w:p w14:paraId="17B5DE0B">
      <w:pPr>
        <w:pStyle w:val="5"/>
        <w:ind w:firstLine="480"/>
        <w:rPr>
          <w:color w:val="auto"/>
          <w:highlight w:val="none"/>
        </w:rPr>
      </w:pPr>
      <w:r>
        <w:rPr>
          <w:color w:val="auto"/>
          <w:highlight w:val="none"/>
        </w:rPr>
        <w:t>要将河长制工作专项经费纳入财政预算，积极整合水利、农业、林业、国土、环保等各方资金，确保水质水量监测、规划编制、河库渠划界确权、突出问题整治、河长制办公室等日常工作经费及水资源保护、水环境治理、水污染防治、水生态修复等专项治理资金得到落实。相关职能部门要加强与上级主管部门的对接协调，依托重大项目，从发改、水利、环保、建设、农业等线上争取资金。同时，多渠道筹措社会资金，引导和鼓励社会资本参与，建立长效、稳定的河库库渠管理保护投入机制。</w:t>
      </w:r>
    </w:p>
    <w:p w14:paraId="7B10DFF2">
      <w:pPr>
        <w:pStyle w:val="5"/>
        <w:ind w:firstLine="480"/>
        <w:rPr>
          <w:color w:val="auto"/>
          <w:highlight w:val="none"/>
        </w:rPr>
      </w:pPr>
      <w:r>
        <w:rPr>
          <w:color w:val="auto"/>
          <w:highlight w:val="none"/>
        </w:rPr>
        <w:t>镇财政要将河库巡查保洁、堤防工程日常管理养护等经费纳入财政预算，加大对水环境整治、水污染治理、生态保护修复等突出问题整治项目资金投入，将污染物减排建设等项目纳入财政优先安排。</w:t>
      </w:r>
    </w:p>
    <w:p w14:paraId="4B2E956C">
      <w:pPr>
        <w:pStyle w:val="6"/>
        <w:bidi w:val="0"/>
        <w:rPr>
          <w:rFonts w:hint="default"/>
          <w:color w:val="auto"/>
          <w:highlight w:val="none"/>
          <w:lang w:val="en-US" w:eastAsia="zh-CN"/>
        </w:rPr>
      </w:pPr>
      <w:bookmarkStart w:id="135" w:name="_Toc30199"/>
      <w:bookmarkStart w:id="136" w:name="_Toc21589"/>
      <w:bookmarkStart w:id="137" w:name="_Toc20418"/>
      <w:r>
        <w:rPr>
          <w:rFonts w:hint="default"/>
          <w:color w:val="auto"/>
          <w:highlight w:val="none"/>
          <w:lang w:val="en-US" w:eastAsia="zh-CN"/>
        </w:rPr>
        <w:t>队伍保障</w:t>
      </w:r>
      <w:bookmarkEnd w:id="135"/>
      <w:bookmarkEnd w:id="136"/>
      <w:bookmarkEnd w:id="137"/>
    </w:p>
    <w:p w14:paraId="4EDE4889">
      <w:pPr>
        <w:pStyle w:val="5"/>
        <w:bidi w:val="0"/>
        <w:rPr>
          <w:color w:val="auto"/>
          <w:highlight w:val="none"/>
        </w:rPr>
      </w:pPr>
      <w:r>
        <w:rPr>
          <w:rFonts w:hint="default"/>
          <w:color w:val="auto"/>
          <w:highlight w:val="none"/>
          <w:lang w:val="en-US" w:eastAsia="zh-CN"/>
        </w:rPr>
        <w:t>健全河库管理保护机构，加强河库管护队伍能力建设。推动政府购买社会服务，吸引社会力量参与河库管理保护工作，鼓励设立企业河长、民间河长、河长监督员、河道志愿者、巾帼护水岗等。</w:t>
      </w:r>
    </w:p>
    <w:p w14:paraId="77DE7D88">
      <w:pPr>
        <w:pStyle w:val="6"/>
        <w:bidi w:val="0"/>
        <w:rPr>
          <w:rFonts w:hint="default"/>
          <w:color w:val="auto"/>
          <w:highlight w:val="none"/>
          <w:lang w:val="en-US" w:eastAsia="zh-CN"/>
        </w:rPr>
      </w:pPr>
      <w:bookmarkStart w:id="138" w:name="_Toc8539"/>
      <w:bookmarkStart w:id="139" w:name="_Toc7305"/>
      <w:bookmarkStart w:id="140" w:name="_Toc20854"/>
      <w:r>
        <w:rPr>
          <w:rFonts w:hint="default"/>
          <w:color w:val="auto"/>
          <w:highlight w:val="none"/>
          <w:lang w:val="en-US" w:eastAsia="zh-CN"/>
        </w:rPr>
        <w:t>机制保障</w:t>
      </w:r>
      <w:bookmarkEnd w:id="138"/>
      <w:bookmarkEnd w:id="139"/>
      <w:bookmarkEnd w:id="140"/>
    </w:p>
    <w:p w14:paraId="77AFF7D7">
      <w:pPr>
        <w:pStyle w:val="5"/>
        <w:bidi w:val="0"/>
        <w:rPr>
          <w:color w:val="auto"/>
          <w:highlight w:val="none"/>
        </w:rPr>
      </w:pPr>
      <w:r>
        <w:rPr>
          <w:rFonts w:hint="default"/>
          <w:color w:val="auto"/>
          <w:highlight w:val="none"/>
          <w:lang w:val="en-US" w:eastAsia="zh-CN"/>
        </w:rPr>
        <w:t>结合全面推行河长制的需要，从提升</w:t>
      </w:r>
      <w:r>
        <w:rPr>
          <w:rFonts w:hint="eastAsia"/>
          <w:color w:val="auto"/>
          <w:highlight w:val="none"/>
          <w:lang w:val="en-US" w:eastAsia="zh-CN"/>
        </w:rPr>
        <w:t>河库</w:t>
      </w:r>
      <w:r>
        <w:rPr>
          <w:rFonts w:hint="default"/>
          <w:color w:val="auto"/>
          <w:highlight w:val="none"/>
          <w:lang w:val="en-US" w:eastAsia="zh-CN"/>
        </w:rPr>
        <w:t>管理保护效率、落实方案实施各项要求等方面出发，加强</w:t>
      </w:r>
      <w:r>
        <w:rPr>
          <w:rFonts w:hint="eastAsia"/>
          <w:color w:val="auto"/>
          <w:highlight w:val="none"/>
          <w:lang w:val="en-US" w:eastAsia="zh-CN"/>
        </w:rPr>
        <w:t>河库</w:t>
      </w:r>
      <w:r>
        <w:rPr>
          <w:rFonts w:hint="default"/>
          <w:color w:val="auto"/>
          <w:highlight w:val="none"/>
          <w:lang w:val="en-US" w:eastAsia="zh-CN"/>
        </w:rPr>
        <w:t>管理保护的沟通协调机制、综合执法机制、督察督导机制、考核问责机制、激励机制等机制建设。</w:t>
      </w:r>
    </w:p>
    <w:p w14:paraId="36192F80">
      <w:pPr>
        <w:pStyle w:val="5"/>
        <w:bidi w:val="0"/>
        <w:rPr>
          <w:rFonts w:ascii="仿宋" w:hAnsi="仿宋" w:eastAsia="仿宋" w:cs="Times New Roman"/>
          <w:color w:val="auto"/>
          <w:szCs w:val="28"/>
          <w:highlight w:val="none"/>
        </w:rPr>
      </w:pPr>
      <w:r>
        <w:rPr>
          <w:rFonts w:hint="default"/>
          <w:color w:val="auto"/>
          <w:highlight w:val="none"/>
          <w:lang w:val="en-US" w:eastAsia="zh-CN"/>
        </w:rPr>
        <w:t>建立河长会议制度，总河长、副总河长定时召开河长会议，每年召开一次年度总结大会，协调解决推行河长制工作中的重大问题。建立河长制考核问责制度，明确考核对象、考核内容和考核结果运用等问题，对镇街河长实施河长制情况进行年度述职评议。建立部门联动制度，完善部门之间协调机制，形成部门之间齐抓共管、协作配合的河长制工作格局。建立信息共享与发布制度，定期通报河库管理保护情况，共享信息资源、监测成果、检查考核等信息。建立工作督察制度，对河长制实施情况和河长履职情况进行督察。建立验收制度，按照工作方案确定的时间节点及时对建立河长制进行验收。</w:t>
      </w:r>
    </w:p>
    <w:p w14:paraId="09B12479">
      <w:pPr>
        <w:pStyle w:val="6"/>
        <w:bidi w:val="0"/>
        <w:rPr>
          <w:rFonts w:hint="default"/>
          <w:color w:val="auto"/>
          <w:highlight w:val="none"/>
          <w:lang w:val="en-US" w:eastAsia="zh-CN"/>
        </w:rPr>
      </w:pPr>
      <w:bookmarkStart w:id="141" w:name="_Toc29641"/>
      <w:bookmarkStart w:id="142" w:name="_Toc26773"/>
      <w:bookmarkStart w:id="143" w:name="_Toc29349"/>
      <w:r>
        <w:rPr>
          <w:rFonts w:hint="default"/>
          <w:color w:val="auto"/>
          <w:highlight w:val="none"/>
          <w:lang w:val="en-US" w:eastAsia="zh-CN"/>
        </w:rPr>
        <w:t>监督保障</w:t>
      </w:r>
      <w:bookmarkEnd w:id="141"/>
      <w:bookmarkEnd w:id="142"/>
      <w:bookmarkEnd w:id="143"/>
    </w:p>
    <w:p w14:paraId="07B730BA">
      <w:pPr>
        <w:pStyle w:val="5"/>
        <w:bidi w:val="0"/>
        <w:rPr>
          <w:rFonts w:hint="eastAsia"/>
          <w:color w:val="auto"/>
          <w:highlight w:val="none"/>
        </w:rPr>
      </w:pPr>
      <w:r>
        <w:rPr>
          <w:rFonts w:hint="default"/>
          <w:color w:val="auto"/>
          <w:highlight w:val="none"/>
          <w:lang w:val="en-US" w:eastAsia="zh-CN"/>
        </w:rPr>
        <w:t>为进一步加强</w:t>
      </w:r>
      <w:r>
        <w:rPr>
          <w:rFonts w:hint="eastAsia"/>
          <w:color w:val="auto"/>
          <w:highlight w:val="none"/>
          <w:lang w:val="en-US" w:eastAsia="zh-CN"/>
        </w:rPr>
        <w:t>秀山县</w:t>
      </w:r>
      <w:r>
        <w:rPr>
          <w:rFonts w:hint="default"/>
          <w:color w:val="auto"/>
          <w:highlight w:val="none"/>
          <w:lang w:val="en-US" w:eastAsia="zh-CN"/>
        </w:rPr>
        <w:t>水资源保护、水污染防治、水环境治理、水生态修复、河库水域岸线管理保护等工作，《</w:t>
      </w:r>
      <w:r>
        <w:rPr>
          <w:rFonts w:hint="eastAsia"/>
          <w:color w:val="auto"/>
          <w:highlight w:val="none"/>
          <w:lang w:val="en-US" w:eastAsia="zh-CN"/>
        </w:rPr>
        <w:t>秀山县</w:t>
      </w:r>
      <w:r>
        <w:rPr>
          <w:rFonts w:hint="default"/>
          <w:color w:val="auto"/>
          <w:highlight w:val="none"/>
          <w:lang w:val="en-US" w:eastAsia="zh-CN"/>
        </w:rPr>
        <w:t>全面推进河长制工作方案》的通知中明确了全面推进河长制工作的监督保障措施。</w:t>
      </w:r>
    </w:p>
    <w:p w14:paraId="628A7519">
      <w:pPr>
        <w:pStyle w:val="5"/>
        <w:bidi w:val="0"/>
        <w:rPr>
          <w:rFonts w:hint="eastAsia"/>
          <w:color w:val="auto"/>
          <w:highlight w:val="none"/>
        </w:rPr>
      </w:pPr>
      <w:r>
        <w:rPr>
          <w:rFonts w:hint="default"/>
          <w:color w:val="auto"/>
          <w:highlight w:val="none"/>
          <w:lang w:val="en-US" w:eastAsia="zh-CN"/>
        </w:rPr>
        <w:t>具体如下：建立以政府监管、社会监督、技术检测为核心的全</w:t>
      </w:r>
      <w:r>
        <w:rPr>
          <w:rFonts w:hint="eastAsia"/>
          <w:color w:val="auto"/>
          <w:highlight w:val="none"/>
          <w:lang w:val="en-US" w:eastAsia="zh-CN"/>
        </w:rPr>
        <w:t>县</w:t>
      </w:r>
      <w:r>
        <w:rPr>
          <w:rFonts w:hint="default"/>
          <w:color w:val="auto"/>
          <w:highlight w:val="none"/>
          <w:lang w:val="en-US" w:eastAsia="zh-CN"/>
        </w:rPr>
        <w:t>河库管理保护监测网络体系及信息化管理平台，整合水利、环保等部门现有水质监测站点，充分利用现有水利、环保、农业、林业等部门信息实现信息共享，以电子地图为基础，采用虚拟技术和计算机技术，全面提升河库管理保护信息化管理水平。实现跨界断面水质水量水面监测数据报送、工作即时通讯、河长工作平台、巡河信息管理、责任落实督办、投诉处理追查、危机事件处理、监督考核评价等功能。提供公众手机客户端，实现事件上报、信息获取、互动参与、公众监督等功能。</w:t>
      </w:r>
    </w:p>
    <w:p w14:paraId="430DEB90">
      <w:pPr>
        <w:pStyle w:val="5"/>
        <w:bidi w:val="0"/>
        <w:rPr>
          <w:rFonts w:hint="eastAsia"/>
          <w:color w:val="auto"/>
          <w:highlight w:val="none"/>
          <w:lang w:val="en-US" w:eastAsia="zh-CN"/>
        </w:rPr>
      </w:pPr>
      <w:r>
        <w:rPr>
          <w:rFonts w:hint="default"/>
          <w:color w:val="auto"/>
          <w:highlight w:val="none"/>
          <w:lang w:val="en-US" w:eastAsia="zh-CN"/>
        </w:rPr>
        <w:t>建立河库管理保护信息发布平台，通过主要媒体向社会公告河长名单。在河库岸边显著位置竖立河长公示牌，标明河长职责、河库概况、管护目标、监督电话等内容，接受社会监督。聘请社会监督员对河库管理保护效果进行监督和评价。进一步做好宣传舆论引导，建立群众有奖举报制度，积极营造社会各界和人民群众共同关心、支持、参与和监督河库管理保护的良好氛围，提高全社会对河库管理保护工作的责任意识和参与意识</w:t>
      </w:r>
      <w:r>
        <w:rPr>
          <w:rFonts w:hint="eastAsia"/>
          <w:color w:val="auto"/>
          <w:highlight w:val="none"/>
          <w:lang w:val="en-US" w:eastAsia="zh-CN"/>
        </w:rPr>
        <w:t>。</w:t>
      </w:r>
    </w:p>
    <w:p w14:paraId="4EE0A0FD">
      <w:pPr>
        <w:pStyle w:val="5"/>
        <w:bidi w:val="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r>
        <w:rPr>
          <w:rFonts w:hint="default"/>
          <w:color w:val="auto"/>
          <w:highlight w:val="none"/>
          <w:lang w:val="en-US" w:eastAsia="zh-CN"/>
        </w:rPr>
        <w:t>提出强化组织领导、强化督查考核、强化资金保障、强化技术保障、强化宣传教育等方面的保障措施。</w:t>
      </w:r>
    </w:p>
    <w:p w14:paraId="6FA1882F">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4" w:name="_Toc14105"/>
      <w:bookmarkStart w:id="145" w:name="_Toc13749"/>
      <w:r>
        <w:rPr>
          <w:rFonts w:hint="eastAsia"/>
          <w:color w:val="auto"/>
          <w:highlight w:val="none"/>
          <w:lang w:val="en-US" w:eastAsia="zh-CN"/>
        </w:rPr>
        <w:t>9  附表</w:t>
      </w:r>
      <w:bookmarkEnd w:id="144"/>
    </w:p>
    <w:p w14:paraId="18A9A5CA">
      <w:pPr>
        <w:pStyle w:val="6"/>
        <w:numPr>
          <w:ilvl w:val="1"/>
          <w:numId w:val="0"/>
        </w:numPr>
        <w:bidi w:val="0"/>
        <w:ind w:leftChars="0"/>
        <w:jc w:val="center"/>
        <w:rPr>
          <w:color w:val="auto"/>
          <w:sz w:val="24"/>
          <w:szCs w:val="24"/>
        </w:rPr>
      </w:pPr>
      <w:bookmarkStart w:id="146" w:name="_Toc23701"/>
      <w:r>
        <w:rPr>
          <w:rFonts w:hint="eastAsia"/>
          <w:color w:val="auto"/>
          <w:sz w:val="24"/>
          <w:szCs w:val="24"/>
          <w:lang w:eastAsia="zh-CN"/>
        </w:rPr>
        <w:t>附</w:t>
      </w:r>
      <w:r>
        <w:rPr>
          <w:rFonts w:hint="default"/>
          <w:color w:val="auto"/>
          <w:sz w:val="24"/>
          <w:szCs w:val="24"/>
          <w:lang w:eastAsia="zh-CN"/>
        </w:rPr>
        <w:t>表</w:t>
      </w:r>
      <w:r>
        <w:rPr>
          <w:rFonts w:hint="default"/>
          <w:color w:val="auto"/>
          <w:sz w:val="24"/>
          <w:szCs w:val="24"/>
          <w:lang w:val="en-US" w:eastAsia="zh-CN"/>
        </w:rPr>
        <w:t xml:space="preserve">1  </w:t>
      </w:r>
      <w:r>
        <w:rPr>
          <w:rFonts w:hint="eastAsia"/>
          <w:color w:val="auto"/>
          <w:sz w:val="24"/>
          <w:szCs w:val="24"/>
          <w:lang w:val="en-US" w:eastAsia="zh-CN"/>
        </w:rPr>
        <w:t>石耶镇</w:t>
      </w:r>
      <w:r>
        <w:rPr>
          <w:rFonts w:hint="default"/>
          <w:color w:val="auto"/>
          <w:sz w:val="24"/>
          <w:szCs w:val="24"/>
          <w:lang w:val="en-US" w:eastAsia="zh-CN"/>
        </w:rPr>
        <w:t>河</w:t>
      </w:r>
      <w:r>
        <w:rPr>
          <w:rFonts w:hint="eastAsia"/>
          <w:color w:val="auto"/>
          <w:sz w:val="24"/>
          <w:szCs w:val="24"/>
          <w:lang w:val="en-US" w:eastAsia="zh-CN"/>
        </w:rPr>
        <w:t>流</w:t>
      </w:r>
      <w:r>
        <w:rPr>
          <w:rFonts w:hint="default"/>
          <w:color w:val="auto"/>
          <w:sz w:val="24"/>
          <w:szCs w:val="24"/>
          <w:lang w:val="en-US" w:eastAsia="zh-CN"/>
        </w:rPr>
        <w:t>全面推行河长制问题、措施及责任清单</w:t>
      </w:r>
      <w:bookmarkEnd w:id="145"/>
      <w:bookmarkEnd w:id="146"/>
    </w:p>
    <w:p w14:paraId="5C9AD5E1">
      <w:pPr>
        <w:wordWrap w:val="0"/>
        <w:spacing w:line="360" w:lineRule="auto"/>
        <w:jc w:val="right"/>
        <w:rPr>
          <w:rFonts w:hint="default" w:ascii="仿宋" w:hAnsi="仿宋" w:eastAsia="仿宋"/>
          <w:b/>
          <w:bCs/>
          <w:color w:val="auto"/>
          <w:sz w:val="24"/>
          <w:szCs w:val="24"/>
          <w:highlight w:val="none"/>
          <w:lang w:val="en-US"/>
        </w:rPr>
      </w:pPr>
      <w:r>
        <w:rPr>
          <w:rFonts w:hint="eastAsia" w:ascii="仿宋" w:hAnsi="仿宋" w:eastAsia="仿宋"/>
          <w:b/>
          <w:bCs/>
          <w:color w:val="auto"/>
          <w:sz w:val="24"/>
          <w:szCs w:val="24"/>
          <w:highlight w:val="none"/>
        </w:rPr>
        <w:t>河长：</w:t>
      </w:r>
      <w:r>
        <w:rPr>
          <w:rFonts w:hint="eastAsia" w:ascii="仿宋" w:hAnsi="仿宋" w:eastAsia="仿宋"/>
          <w:b/>
          <w:bCs/>
          <w:color w:val="auto"/>
          <w:sz w:val="24"/>
          <w:szCs w:val="24"/>
          <w:highlight w:val="none"/>
          <w:lang w:val="en-US" w:eastAsia="zh-CN"/>
        </w:rPr>
        <w:t>程轶/镇党</w:t>
      </w:r>
      <w:r>
        <w:rPr>
          <w:rFonts w:hint="default" w:ascii="仿宋" w:hAnsi="仿宋" w:eastAsia="仿宋"/>
          <w:b/>
          <w:bCs/>
          <w:color w:val="auto"/>
          <w:sz w:val="24"/>
          <w:szCs w:val="24"/>
          <w:highlight w:val="none"/>
          <w:lang w:val="en-US" w:eastAsia="zh-CN"/>
        </w:rPr>
        <w:t>委书记</w:t>
      </w:r>
      <w:r>
        <w:rPr>
          <w:rFonts w:hint="eastAsia" w:ascii="仿宋" w:hAnsi="仿宋" w:eastAsia="仿宋"/>
          <w:b/>
          <w:bCs/>
          <w:color w:val="auto"/>
          <w:sz w:val="24"/>
          <w:szCs w:val="24"/>
          <w:highlight w:val="none"/>
          <w:lang w:val="en-US" w:eastAsia="zh-CN"/>
        </w:rPr>
        <w:t>、</w:t>
      </w:r>
      <w:r>
        <w:rPr>
          <w:rFonts w:hint="default" w:ascii="仿宋" w:hAnsi="仿宋" w:eastAsia="仿宋"/>
          <w:b/>
          <w:bCs/>
          <w:color w:val="auto"/>
          <w:sz w:val="24"/>
          <w:szCs w:val="24"/>
          <w:highlight w:val="none"/>
          <w:lang w:val="en-US" w:eastAsia="zh-CN"/>
        </w:rPr>
        <w:t>艾德华</w:t>
      </w:r>
      <w:r>
        <w:rPr>
          <w:rFonts w:hint="eastAsia" w:ascii="仿宋" w:hAnsi="仿宋" w:eastAsia="仿宋"/>
          <w:b/>
          <w:bCs/>
          <w:color w:val="auto"/>
          <w:sz w:val="24"/>
          <w:szCs w:val="24"/>
          <w:highlight w:val="none"/>
          <w:lang w:val="en-US" w:eastAsia="zh-CN"/>
        </w:rPr>
        <w:t>/镇长</w:t>
      </w:r>
    </w:p>
    <w:tbl>
      <w:tblPr>
        <w:tblStyle w:val="23"/>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41"/>
        <w:gridCol w:w="1140"/>
        <w:gridCol w:w="1693"/>
        <w:gridCol w:w="1708"/>
        <w:gridCol w:w="1033"/>
        <w:gridCol w:w="3134"/>
        <w:gridCol w:w="1242"/>
        <w:gridCol w:w="1177"/>
        <w:gridCol w:w="1178"/>
      </w:tblGrid>
      <w:tr w14:paraId="6396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828" w:type="dxa"/>
            <w:vAlign w:val="center"/>
          </w:tcPr>
          <w:p w14:paraId="3EC5A91F">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b/>
                <w:color w:val="auto"/>
                <w:sz w:val="18"/>
                <w:szCs w:val="18"/>
                <w:highlight w:val="none"/>
                <w:lang w:val="en-US" w:eastAsia="zh-CN"/>
              </w:rPr>
              <w:t>乡镇、</w:t>
            </w:r>
            <w:r>
              <w:rPr>
                <w:rFonts w:hint="default" w:ascii="Times New Roman" w:hAnsi="Times New Roman" w:cs="Times New Roman"/>
                <w:b/>
                <w:color w:val="auto"/>
                <w:sz w:val="18"/>
                <w:szCs w:val="18"/>
                <w:highlight w:val="none"/>
                <w:lang w:val="en-US" w:eastAsia="zh-CN"/>
              </w:rPr>
              <w:t>街道</w:t>
            </w:r>
          </w:p>
        </w:tc>
        <w:tc>
          <w:tcPr>
            <w:tcW w:w="1041" w:type="dxa"/>
            <w:vAlign w:val="center"/>
          </w:tcPr>
          <w:p w14:paraId="0281FD78">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河流/水库</w:t>
            </w:r>
          </w:p>
        </w:tc>
        <w:tc>
          <w:tcPr>
            <w:tcW w:w="1140" w:type="dxa"/>
            <w:vAlign w:val="center"/>
          </w:tcPr>
          <w:p w14:paraId="18D732D7">
            <w:pPr>
              <w:spacing w:line="0" w:lineRule="atLeast"/>
              <w:jc w:val="center"/>
              <w:rPr>
                <w:rFonts w:hint="default" w:ascii="Times New Roman" w:hAnsi="Times New Roman" w:cs="Times New Roman"/>
                <w:b/>
                <w:color w:val="FF0000"/>
                <w:sz w:val="18"/>
                <w:szCs w:val="18"/>
                <w:highlight w:val="none"/>
              </w:rPr>
            </w:pPr>
            <w:r>
              <w:rPr>
                <w:rFonts w:hint="default" w:ascii="Times New Roman" w:hAnsi="Times New Roman" w:cs="Times New Roman"/>
                <w:b/>
                <w:color w:val="auto"/>
                <w:sz w:val="18"/>
                <w:szCs w:val="18"/>
                <w:highlight w:val="none"/>
              </w:rPr>
              <w:t>河段起止点</w:t>
            </w:r>
          </w:p>
        </w:tc>
        <w:tc>
          <w:tcPr>
            <w:tcW w:w="1693" w:type="dxa"/>
            <w:vAlign w:val="center"/>
          </w:tcPr>
          <w:p w14:paraId="45498860">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问题类别</w:t>
            </w:r>
          </w:p>
        </w:tc>
        <w:tc>
          <w:tcPr>
            <w:tcW w:w="1708" w:type="dxa"/>
            <w:vAlign w:val="center"/>
          </w:tcPr>
          <w:p w14:paraId="7ED55B72">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主要问题</w:t>
            </w:r>
          </w:p>
        </w:tc>
        <w:tc>
          <w:tcPr>
            <w:tcW w:w="1033" w:type="dxa"/>
            <w:vAlign w:val="center"/>
          </w:tcPr>
          <w:p w14:paraId="2B577729">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所在位置</w:t>
            </w:r>
          </w:p>
        </w:tc>
        <w:tc>
          <w:tcPr>
            <w:tcW w:w="3134" w:type="dxa"/>
            <w:vAlign w:val="center"/>
          </w:tcPr>
          <w:p w14:paraId="52D7B53A">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主要措施</w:t>
            </w:r>
          </w:p>
        </w:tc>
        <w:tc>
          <w:tcPr>
            <w:tcW w:w="1242" w:type="dxa"/>
            <w:vAlign w:val="center"/>
          </w:tcPr>
          <w:p w14:paraId="4B0C5121">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责任人</w:t>
            </w:r>
          </w:p>
        </w:tc>
        <w:tc>
          <w:tcPr>
            <w:tcW w:w="1177" w:type="dxa"/>
            <w:vAlign w:val="center"/>
          </w:tcPr>
          <w:p w14:paraId="06DBE5C1">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资金来源</w:t>
            </w:r>
          </w:p>
        </w:tc>
        <w:tc>
          <w:tcPr>
            <w:tcW w:w="1178" w:type="dxa"/>
            <w:vAlign w:val="center"/>
          </w:tcPr>
          <w:p w14:paraId="3E03A423">
            <w:pPr>
              <w:spacing w:line="0" w:lineRule="atLeast"/>
              <w:jc w:val="center"/>
              <w:rPr>
                <w:rFonts w:hint="default" w:ascii="Times New Roman" w:hAnsi="Times New Roman" w:cs="Times New Roman"/>
                <w:b/>
                <w:color w:val="auto"/>
                <w:sz w:val="18"/>
                <w:szCs w:val="18"/>
                <w:highlight w:val="none"/>
              </w:rPr>
            </w:pPr>
            <w:r>
              <w:rPr>
                <w:rFonts w:hint="default" w:ascii="Times New Roman" w:hAnsi="Times New Roman" w:cs="Times New Roman"/>
                <w:b/>
                <w:color w:val="auto"/>
                <w:sz w:val="18"/>
                <w:szCs w:val="18"/>
                <w:highlight w:val="none"/>
              </w:rPr>
              <w:t>备注</w:t>
            </w:r>
          </w:p>
        </w:tc>
      </w:tr>
      <w:tr w14:paraId="6DB7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restart"/>
            <w:vAlign w:val="center"/>
          </w:tcPr>
          <w:p w14:paraId="2DDC2D8C">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石耶镇</w:t>
            </w:r>
          </w:p>
        </w:tc>
        <w:tc>
          <w:tcPr>
            <w:tcW w:w="1041" w:type="dxa"/>
            <w:vMerge w:val="restart"/>
            <w:vAlign w:val="center"/>
          </w:tcPr>
          <w:p w14:paraId="0EBA5684">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eastAsia="宋体" w:cs="Times New Roman"/>
                <w:b w:val="0"/>
                <w:bCs/>
                <w:color w:val="auto"/>
                <w:sz w:val="18"/>
                <w:szCs w:val="18"/>
                <w:highlight w:val="none"/>
                <w:lang w:val="en-US" w:eastAsia="zh-CN"/>
              </w:rPr>
              <w:t>梅江</w:t>
            </w:r>
            <w:r>
              <w:rPr>
                <w:rFonts w:hint="eastAsia" w:ascii="Times New Roman" w:hAnsi="Times New Roman" w:eastAsia="宋体" w:cs="Times New Roman"/>
                <w:b w:val="0"/>
                <w:bCs/>
                <w:color w:val="auto"/>
                <w:sz w:val="18"/>
                <w:szCs w:val="18"/>
                <w:highlight w:val="none"/>
                <w:lang w:val="en-US" w:eastAsia="zh-CN"/>
              </w:rPr>
              <w:t>河</w:t>
            </w:r>
          </w:p>
        </w:tc>
        <w:tc>
          <w:tcPr>
            <w:tcW w:w="1140" w:type="dxa"/>
            <w:vMerge w:val="restart"/>
            <w:vAlign w:val="center"/>
          </w:tcPr>
          <w:p w14:paraId="2637740D">
            <w:pPr>
              <w:spacing w:line="0" w:lineRule="atLeast"/>
              <w:jc w:val="center"/>
              <w:rPr>
                <w:rFonts w:hint="default" w:ascii="Times New Roman" w:hAnsi="Times New Roman" w:cs="Times New Roman"/>
                <w:color w:val="FF0000"/>
                <w:kern w:val="0"/>
                <w:sz w:val="18"/>
                <w:szCs w:val="18"/>
                <w:highlight w:val="none"/>
                <w:lang w:val="en-US"/>
              </w:rPr>
            </w:pPr>
            <w:r>
              <w:rPr>
                <w:rFonts w:hint="eastAsia"/>
                <w:sz w:val="18"/>
                <w:szCs w:val="18"/>
                <w:lang w:val="en-US" w:eastAsia="zh-CN"/>
              </w:rPr>
              <w:t>秀山县钟灵镇</w:t>
            </w:r>
            <w:r>
              <w:rPr>
                <w:rFonts w:hint="eastAsia" w:cs="Times New Roman"/>
                <w:color w:val="auto"/>
                <w:kern w:val="0"/>
                <w:sz w:val="18"/>
                <w:szCs w:val="18"/>
                <w:highlight w:val="none"/>
                <w:lang w:val="en-US" w:eastAsia="zh-CN"/>
              </w:rPr>
              <w:t>—</w:t>
            </w:r>
            <w:r>
              <w:rPr>
                <w:rFonts w:hint="eastAsia"/>
                <w:sz w:val="18"/>
                <w:szCs w:val="18"/>
                <w:lang w:val="en-US" w:eastAsia="zh-CN"/>
              </w:rPr>
              <w:t>石堤镇</w:t>
            </w:r>
          </w:p>
        </w:tc>
        <w:tc>
          <w:tcPr>
            <w:tcW w:w="1693" w:type="dxa"/>
            <w:vAlign w:val="center"/>
          </w:tcPr>
          <w:p w14:paraId="305E7F68">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14:paraId="0D98BB94">
            <w:pPr>
              <w:spacing w:line="0" w:lineRule="atLeast"/>
              <w:jc w:val="center"/>
              <w:textAlignment w:val="center"/>
              <w:rPr>
                <w:rFonts w:hint="eastAsia" w:ascii="Times New Roman" w:hAnsi="Times New Roman" w:cs="Times New Roman" w:eastAsiaTheme="minorEastAsia"/>
                <w:color w:val="auto"/>
                <w:sz w:val="18"/>
                <w:szCs w:val="18"/>
                <w:highlight w:val="none"/>
                <w:lang w:val="en-US" w:eastAsia="zh-CN"/>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14:paraId="3ABF6279">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67AB6132">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14:paraId="34D199D7">
            <w:pPr>
              <w:spacing w:line="0" w:lineRule="atLeast"/>
              <w:jc w:val="center"/>
              <w:textAlignment w:val="center"/>
              <w:rPr>
                <w:rFonts w:hint="default" w:ascii="Times New Roman" w:hAnsi="Times New Roman" w:cs="Times New Roman"/>
                <w:color w:val="FF0000"/>
                <w:sz w:val="18"/>
                <w:szCs w:val="18"/>
                <w:highlight w:val="none"/>
                <w:lang w:val="en-US"/>
              </w:rPr>
            </w:pPr>
            <w:r>
              <w:rPr>
                <w:rFonts w:hint="eastAsia" w:cs="Times New Roman"/>
                <w:color w:val="auto"/>
                <w:sz w:val="18"/>
                <w:szCs w:val="18"/>
                <w:highlight w:val="none"/>
                <w:lang w:val="en-US" w:eastAsia="zh-CN"/>
              </w:rPr>
              <w:t>县水利局、县农业农村委、石耶镇</w:t>
            </w:r>
          </w:p>
        </w:tc>
        <w:tc>
          <w:tcPr>
            <w:tcW w:w="1177" w:type="dxa"/>
            <w:vAlign w:val="center"/>
          </w:tcPr>
          <w:p w14:paraId="7A4BFFAE">
            <w:pPr>
              <w:spacing w:line="0" w:lineRule="atLeast"/>
              <w:jc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县财政局</w:t>
            </w:r>
          </w:p>
        </w:tc>
        <w:tc>
          <w:tcPr>
            <w:tcW w:w="1178" w:type="dxa"/>
            <w:vMerge w:val="restart"/>
            <w:vAlign w:val="center"/>
          </w:tcPr>
          <w:p w14:paraId="487710DA">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县级河流，措施参照重庆市秀山县梅江河流域“一河一策”（2021-2025年）方案</w:t>
            </w:r>
          </w:p>
        </w:tc>
      </w:tr>
      <w:tr w14:paraId="043C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3805724B">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4442A31">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624AA970">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78D90E92">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14:paraId="342EE565">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14:paraId="2B4473A8">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40FEE9F3">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14:paraId="081B9AB2">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县水利局、石耶镇</w:t>
            </w:r>
          </w:p>
        </w:tc>
        <w:tc>
          <w:tcPr>
            <w:tcW w:w="1177" w:type="dxa"/>
            <w:vAlign w:val="center"/>
          </w:tcPr>
          <w:p w14:paraId="2172A391">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14:paraId="46B8425A">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0ADE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79CFC719">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27686F3B">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7F95C50">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56B89259">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14:paraId="5C47B222">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1033" w:type="dxa"/>
            <w:vAlign w:val="center"/>
          </w:tcPr>
          <w:p w14:paraId="43066038">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eastAsiaTheme="minorEastAsia"/>
                <w:color w:val="auto"/>
                <w:sz w:val="18"/>
                <w:szCs w:val="18"/>
                <w:highlight w:val="none"/>
                <w:lang w:val="en-US" w:eastAsia="zh-CN"/>
              </w:rPr>
              <w:t>排污口监管有待加强</w:t>
            </w:r>
          </w:p>
        </w:tc>
        <w:tc>
          <w:tcPr>
            <w:tcW w:w="3134" w:type="dxa"/>
            <w:vAlign w:val="center"/>
          </w:tcPr>
          <w:p w14:paraId="503C82A9">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①</w:t>
            </w:r>
            <w:r>
              <w:rPr>
                <w:rFonts w:hint="default" w:ascii="Times New Roman" w:hAnsi="Times New Roman" w:cs="Times New Roman"/>
                <w:color w:val="auto"/>
                <w:sz w:val="18"/>
                <w:szCs w:val="18"/>
                <w:highlight w:val="none"/>
                <w:lang w:val="en-US" w:eastAsia="zh-CN"/>
              </w:rPr>
              <w:t>强化排污口分区管理和设置审批，开展入河排污口不定期巡查抽测；</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加大排污口环境执法力度，推进排污口规范化整治</w:t>
            </w:r>
            <w:r>
              <w:rPr>
                <w:rFonts w:hint="default" w:ascii="Times New Roman" w:hAnsi="Times New Roman" w:cs="Times New Roman"/>
                <w:color w:val="auto"/>
                <w:sz w:val="18"/>
                <w:szCs w:val="18"/>
                <w:highlight w:val="none"/>
                <w:lang w:eastAsia="zh-CN"/>
              </w:rPr>
              <w:t>。</w:t>
            </w:r>
          </w:p>
        </w:tc>
        <w:tc>
          <w:tcPr>
            <w:tcW w:w="1242" w:type="dxa"/>
            <w:vAlign w:val="center"/>
          </w:tcPr>
          <w:p w14:paraId="4B6F0A7D">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县生态环境局、石耶镇</w:t>
            </w:r>
          </w:p>
        </w:tc>
        <w:tc>
          <w:tcPr>
            <w:tcW w:w="1177" w:type="dxa"/>
            <w:vAlign w:val="center"/>
          </w:tcPr>
          <w:p w14:paraId="15858931">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3D37D40">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120F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22BE8AA7">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497D0FF2">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330964C4">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30B4EC55">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518D3897">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1033" w:type="dxa"/>
            <w:vAlign w:val="center"/>
          </w:tcPr>
          <w:p w14:paraId="55EED260">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城镇污水管网整治</w:t>
            </w:r>
          </w:p>
        </w:tc>
        <w:tc>
          <w:tcPr>
            <w:tcW w:w="3134" w:type="dxa"/>
            <w:vAlign w:val="center"/>
          </w:tcPr>
          <w:p w14:paraId="6C75CFBA">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14:paraId="69543753">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14:paraId="33CD57A9">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9688212">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0EB2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45358317">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12833744">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35C7969">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23431981">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4BD588C4">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1033" w:type="dxa"/>
            <w:vAlign w:val="center"/>
          </w:tcPr>
          <w:p w14:paraId="281D15D3">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农村人居环境整治</w:t>
            </w:r>
          </w:p>
        </w:tc>
        <w:tc>
          <w:tcPr>
            <w:tcW w:w="3134" w:type="dxa"/>
            <w:vAlign w:val="center"/>
          </w:tcPr>
          <w:p w14:paraId="2E473E77">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14:paraId="0D9D8AA9">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县农业农村委、县城管局、石耶镇</w:t>
            </w:r>
          </w:p>
        </w:tc>
        <w:tc>
          <w:tcPr>
            <w:tcW w:w="1177" w:type="dxa"/>
            <w:vAlign w:val="center"/>
          </w:tcPr>
          <w:p w14:paraId="48144F02">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2A52B9F">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1147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3EB3E395">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D605056">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157578E">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76D1F5B2">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0BB8ED1C">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1033" w:type="dxa"/>
            <w:vAlign w:val="center"/>
          </w:tcPr>
          <w:p w14:paraId="635672C0">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农业面源污染</w:t>
            </w:r>
          </w:p>
        </w:tc>
        <w:tc>
          <w:tcPr>
            <w:tcW w:w="3134" w:type="dxa"/>
            <w:vAlign w:val="center"/>
          </w:tcPr>
          <w:p w14:paraId="0F9A9D76">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14:paraId="6EAB41F1">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县农业农村委、石耶镇</w:t>
            </w:r>
          </w:p>
        </w:tc>
        <w:tc>
          <w:tcPr>
            <w:tcW w:w="1177" w:type="dxa"/>
            <w:vAlign w:val="center"/>
          </w:tcPr>
          <w:p w14:paraId="75716FDC">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1FEEC06E">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24EBA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160D08CB">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7B9D4BC4">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7198EF06">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2829DFBC">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2F8C2A19">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1033" w:type="dxa"/>
            <w:vAlign w:val="center"/>
          </w:tcPr>
          <w:p w14:paraId="5C84644B">
            <w:pPr>
              <w:spacing w:line="0" w:lineRule="atLeast"/>
              <w:jc w:val="center"/>
              <w:textAlignment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畜禽水产养殖体量较大</w:t>
            </w:r>
          </w:p>
        </w:tc>
        <w:tc>
          <w:tcPr>
            <w:tcW w:w="3134" w:type="dxa"/>
            <w:vAlign w:val="center"/>
          </w:tcPr>
          <w:p w14:paraId="13EC1086">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14:paraId="1DEADCB5">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1B9ABDF0">
            <w:pPr>
              <w:spacing w:line="0" w:lineRule="atLeast"/>
              <w:jc w:val="center"/>
              <w:rPr>
                <w:rFonts w:hint="default" w:ascii="Times New Roman" w:hAnsi="Times New Roman" w:cs="Times New Roman"/>
                <w:color w:val="FF0000"/>
                <w:sz w:val="18"/>
                <w:szCs w:val="18"/>
                <w:highlight w:val="none"/>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7B2FA10A">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r>
      <w:tr w14:paraId="6055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8DBD1C8">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52649D1F">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102372E6">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029F9A37">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14:paraId="792B9D4F">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14:paraId="2CD1E908">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4E0C50E8">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14:paraId="460F7324">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14:paraId="71C56C17">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2BBCB535">
            <w:pPr>
              <w:spacing w:line="0" w:lineRule="atLeast"/>
              <w:jc w:val="center"/>
              <w:rPr>
                <w:rFonts w:hint="default" w:ascii="Times New Roman" w:hAnsi="Times New Roman" w:cs="Times New Roman"/>
                <w:color w:val="FF0000"/>
                <w:sz w:val="18"/>
                <w:szCs w:val="18"/>
                <w:highlight w:val="none"/>
              </w:rPr>
            </w:pPr>
          </w:p>
        </w:tc>
      </w:tr>
      <w:tr w14:paraId="1172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EA65B24">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1A101FF1">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7111B136">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3E89A196">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14:paraId="157DD47C">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14:paraId="464AF508">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00BD85E3">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14:paraId="25FF6CE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476B4092">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3E464D7F">
            <w:pPr>
              <w:spacing w:line="0" w:lineRule="atLeast"/>
              <w:jc w:val="center"/>
              <w:rPr>
                <w:rFonts w:hint="default" w:ascii="Times New Roman" w:hAnsi="Times New Roman" w:cs="Times New Roman"/>
                <w:color w:val="FF0000"/>
                <w:sz w:val="18"/>
                <w:szCs w:val="18"/>
                <w:highlight w:val="none"/>
              </w:rPr>
            </w:pPr>
          </w:p>
        </w:tc>
      </w:tr>
      <w:tr w14:paraId="19B44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271E4354">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3054F6F5">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5E2B4FF6">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727E6996">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1710879D">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14:paraId="3F5BEAEE">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梅江河干流</w:t>
            </w:r>
          </w:p>
        </w:tc>
        <w:tc>
          <w:tcPr>
            <w:tcW w:w="3134" w:type="dxa"/>
            <w:vAlign w:val="center"/>
          </w:tcPr>
          <w:p w14:paraId="3154A4B7">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cs="Times New Roman"/>
                <w:color w:val="auto"/>
                <w:sz w:val="18"/>
                <w:szCs w:val="18"/>
                <w:highlight w:val="none"/>
                <w:lang w:val="en-US" w:eastAsia="zh-CN"/>
              </w:rPr>
              <w:t>梅江</w:t>
            </w:r>
            <w:r>
              <w:rPr>
                <w:rFonts w:hint="eastAsia" w:ascii="Times New Roman" w:hAnsi="Times New Roman" w:cs="Times New Roman"/>
                <w:color w:val="auto"/>
                <w:sz w:val="18"/>
                <w:szCs w:val="18"/>
                <w:highlight w:val="none"/>
                <w:lang w:val="en-US" w:eastAsia="zh-CN"/>
              </w:rPr>
              <w:t>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14:paraId="2FD0319C">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14:paraId="4CC73262">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7D2489E">
            <w:pPr>
              <w:spacing w:line="0" w:lineRule="atLeast"/>
              <w:jc w:val="center"/>
              <w:rPr>
                <w:rFonts w:hint="default" w:ascii="Times New Roman" w:hAnsi="Times New Roman" w:cs="Times New Roman"/>
                <w:color w:val="FF0000"/>
                <w:sz w:val="18"/>
                <w:szCs w:val="18"/>
                <w:highlight w:val="none"/>
              </w:rPr>
            </w:pPr>
          </w:p>
        </w:tc>
      </w:tr>
      <w:tr w14:paraId="040F8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652649A">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2312FF78">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26D9DDA1">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0A6A8DF9">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14:paraId="5EC12ADC">
            <w:pPr>
              <w:spacing w:line="0" w:lineRule="atLeast"/>
              <w:jc w:val="center"/>
              <w:textAlignment w:val="center"/>
              <w:rPr>
                <w:rFonts w:hint="default" w:ascii="Times New Roman" w:hAnsi="Times New Roman" w:cs="Times New Roman" w:eastAsiaTheme="minorEastAsia"/>
                <w:color w:val="FF0000"/>
                <w:sz w:val="18"/>
                <w:szCs w:val="18"/>
                <w:highlight w:val="none"/>
                <w:lang w:eastAsia="zh-CN"/>
              </w:rPr>
            </w:pPr>
            <w:r>
              <w:rPr>
                <w:rFonts w:hint="default" w:ascii="Times New Roman" w:hAnsi="Times New Roman" w:cs="Times New Roman"/>
                <w:color w:val="auto"/>
                <w:sz w:val="18"/>
                <w:szCs w:val="18"/>
                <w:highlight w:val="none"/>
                <w:lang w:eastAsia="zh-CN"/>
              </w:rPr>
              <w:t>需</w:t>
            </w:r>
            <w:r>
              <w:rPr>
                <w:rFonts w:hint="default" w:ascii="Times New Roman" w:hAnsi="Times New Roman" w:cs="Times New Roman"/>
                <w:color w:val="auto"/>
                <w:sz w:val="18"/>
                <w:szCs w:val="18"/>
                <w:highlight w:val="none"/>
              </w:rPr>
              <w:t>进一步建立健全联防联控机制</w:t>
            </w:r>
          </w:p>
        </w:tc>
        <w:tc>
          <w:tcPr>
            <w:tcW w:w="1033" w:type="dxa"/>
            <w:vAlign w:val="center"/>
          </w:tcPr>
          <w:p w14:paraId="1FAD05F9">
            <w:pPr>
              <w:spacing w:line="0" w:lineRule="atLeast"/>
              <w:jc w:val="center"/>
              <w:textAlignment w:val="center"/>
              <w:rPr>
                <w:rFonts w:hint="default" w:ascii="Times New Roman" w:hAnsi="Times New Roman" w:cs="Times New Roman" w:eastAsiaTheme="minorEastAsia"/>
                <w:color w:val="auto"/>
                <w:sz w:val="18"/>
                <w:szCs w:val="18"/>
                <w:highlight w:val="none"/>
                <w:lang w:val="en-US" w:eastAsia="zh-CN"/>
              </w:rPr>
            </w:pPr>
            <w:r>
              <w:rPr>
                <w:rFonts w:hint="eastAsia" w:cs="Times New Roman"/>
                <w:color w:val="auto"/>
                <w:sz w:val="18"/>
                <w:szCs w:val="18"/>
                <w:highlight w:val="none"/>
                <w:lang w:val="en-US" w:eastAsia="zh-CN"/>
              </w:rPr>
              <w:t>梅江河干流</w:t>
            </w:r>
          </w:p>
        </w:tc>
        <w:tc>
          <w:tcPr>
            <w:tcW w:w="3134" w:type="dxa"/>
            <w:vAlign w:val="center"/>
          </w:tcPr>
          <w:p w14:paraId="17967062">
            <w:pPr>
              <w:spacing w:line="0" w:lineRule="atLeast"/>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lang w:val="en-US" w:eastAsia="zh-CN"/>
              </w:rPr>
              <w:t>建立落实跨县流域上下游突发水污染事件联防联控机制</w:t>
            </w:r>
            <w:r>
              <w:rPr>
                <w:rFonts w:hint="eastAsia" w:cs="Times New Roman"/>
                <w:color w:val="auto"/>
                <w:sz w:val="18"/>
                <w:szCs w:val="18"/>
                <w:highlight w:val="none"/>
                <w:lang w:val="en-US" w:eastAsia="zh-CN"/>
              </w:rPr>
              <w:t>，实现上下游共治、水上岸上同治。</w:t>
            </w:r>
          </w:p>
        </w:tc>
        <w:tc>
          <w:tcPr>
            <w:tcW w:w="1242" w:type="dxa"/>
            <w:vAlign w:val="center"/>
          </w:tcPr>
          <w:p w14:paraId="03F2AD82">
            <w:pPr>
              <w:spacing w:line="0" w:lineRule="atLeast"/>
              <w:jc w:val="center"/>
              <w:textAlignment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14:paraId="346DB0A8">
            <w:pPr>
              <w:spacing w:line="0" w:lineRule="atLeast"/>
              <w:jc w:val="center"/>
              <w:rPr>
                <w:rFonts w:hint="default" w:ascii="Times New Roman" w:hAnsi="Times New Roman" w:cs="Times New Roman" w:eastAsiaTheme="minorEastAsia"/>
                <w:color w:val="FF0000"/>
                <w:sz w:val="18"/>
                <w:szCs w:val="18"/>
                <w:highlight w:val="none"/>
                <w:lang w:val="en-US" w:eastAsia="zh-CN"/>
              </w:rPr>
            </w:pPr>
          </w:p>
        </w:tc>
        <w:tc>
          <w:tcPr>
            <w:tcW w:w="1178" w:type="dxa"/>
            <w:vMerge w:val="continue"/>
            <w:vAlign w:val="center"/>
          </w:tcPr>
          <w:p w14:paraId="059ECDB6">
            <w:pPr>
              <w:spacing w:line="0" w:lineRule="atLeast"/>
              <w:jc w:val="center"/>
              <w:rPr>
                <w:rFonts w:hint="default" w:ascii="Times New Roman" w:hAnsi="Times New Roman" w:cs="Times New Roman"/>
                <w:color w:val="FF0000"/>
                <w:sz w:val="18"/>
                <w:szCs w:val="18"/>
                <w:highlight w:val="none"/>
              </w:rPr>
            </w:pPr>
          </w:p>
        </w:tc>
      </w:tr>
      <w:tr w14:paraId="4F65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1220A21">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7AE08B77">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1EBC22AC">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2C2F0C74">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56B8235A">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14:paraId="6FE9BF20">
            <w:pPr>
              <w:spacing w:line="0" w:lineRule="atLeast"/>
              <w:jc w:val="center"/>
              <w:textAlignment w:val="center"/>
              <w:rPr>
                <w:rFonts w:hint="default"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全镇</w:t>
            </w:r>
          </w:p>
        </w:tc>
        <w:tc>
          <w:tcPr>
            <w:tcW w:w="3134" w:type="dxa"/>
            <w:vAlign w:val="center"/>
          </w:tcPr>
          <w:p w14:paraId="4BA350DB">
            <w:pPr>
              <w:spacing w:line="0" w:lineRule="atLeast"/>
              <w:jc w:val="center"/>
              <w:textAlignment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14:paraId="1EAD3F89">
            <w:pPr>
              <w:spacing w:line="0" w:lineRule="atLeast"/>
              <w:jc w:val="center"/>
              <w:textAlignment w:val="center"/>
              <w:rPr>
                <w:rFonts w:hint="eastAsia" w:ascii="Times New Roman" w:hAnsi="Times New Roman" w:cs="Times New Roman"/>
                <w:color w:val="FF0000"/>
                <w:sz w:val="18"/>
                <w:szCs w:val="18"/>
                <w:highlight w:val="none"/>
                <w:lang w:val="en-US" w:eastAsia="zh-CN"/>
              </w:rPr>
            </w:pPr>
            <w:r>
              <w:rPr>
                <w:rFonts w:hint="eastAsia" w:cs="Times New Roman"/>
                <w:color w:val="auto"/>
                <w:sz w:val="18"/>
                <w:szCs w:val="18"/>
                <w:highlight w:val="none"/>
                <w:lang w:val="en-US" w:eastAsia="zh-CN"/>
              </w:rPr>
              <w:t>县河长办、石耶镇</w:t>
            </w:r>
          </w:p>
        </w:tc>
        <w:tc>
          <w:tcPr>
            <w:tcW w:w="1177" w:type="dxa"/>
            <w:vAlign w:val="center"/>
          </w:tcPr>
          <w:p w14:paraId="7C33A0FD">
            <w:pPr>
              <w:spacing w:line="0" w:lineRule="atLeast"/>
              <w:jc w:val="center"/>
              <w:rPr>
                <w:rFonts w:hint="eastAsia" w:cs="Times New Roman"/>
                <w:color w:val="FF0000"/>
                <w:sz w:val="18"/>
                <w:szCs w:val="18"/>
                <w:highlight w:val="none"/>
                <w:lang w:val="en-US" w:eastAsia="zh-CN"/>
              </w:rPr>
            </w:pPr>
            <w:r>
              <w:rPr>
                <w:rFonts w:hint="eastAsia" w:cs="Times New Roman"/>
                <w:color w:val="auto"/>
                <w:sz w:val="18"/>
                <w:szCs w:val="18"/>
                <w:highlight w:val="none"/>
                <w:lang w:val="en-US" w:eastAsia="zh-CN"/>
              </w:rPr>
              <w:t>向上级争取</w:t>
            </w:r>
          </w:p>
        </w:tc>
        <w:tc>
          <w:tcPr>
            <w:tcW w:w="1178" w:type="dxa"/>
            <w:vMerge w:val="continue"/>
            <w:vAlign w:val="center"/>
          </w:tcPr>
          <w:p w14:paraId="40407362">
            <w:pPr>
              <w:spacing w:line="0" w:lineRule="atLeast"/>
              <w:jc w:val="center"/>
              <w:rPr>
                <w:rFonts w:hint="default" w:ascii="Times New Roman" w:hAnsi="Times New Roman" w:cs="Times New Roman"/>
                <w:color w:val="FF0000"/>
                <w:sz w:val="18"/>
                <w:szCs w:val="18"/>
                <w:highlight w:val="none"/>
              </w:rPr>
            </w:pPr>
          </w:p>
        </w:tc>
      </w:tr>
      <w:tr w14:paraId="6EA2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20898D49">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14:paraId="3100CE94">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r>
              <w:rPr>
                <w:rFonts w:hint="eastAsia"/>
                <w:sz w:val="18"/>
                <w:szCs w:val="18"/>
                <w:lang w:val="en-US" w:eastAsia="zh-CN"/>
              </w:rPr>
              <w:t>中平河</w:t>
            </w:r>
          </w:p>
        </w:tc>
        <w:tc>
          <w:tcPr>
            <w:tcW w:w="1140" w:type="dxa"/>
            <w:vMerge w:val="restart"/>
            <w:vAlign w:val="center"/>
          </w:tcPr>
          <w:p w14:paraId="17DD2A8A">
            <w:pPr>
              <w:spacing w:line="0" w:lineRule="atLeast"/>
              <w:jc w:val="center"/>
              <w:rPr>
                <w:rFonts w:hint="default" w:ascii="Times New Roman" w:hAnsi="Times New Roman" w:cs="Times New Roman"/>
                <w:color w:val="auto"/>
                <w:kern w:val="0"/>
                <w:sz w:val="18"/>
                <w:szCs w:val="18"/>
                <w:highlight w:val="none"/>
                <w:lang w:val="en-US"/>
              </w:rPr>
            </w:pPr>
            <w:r>
              <w:rPr>
                <w:rFonts w:hint="default" w:ascii="Times New Roman" w:hAnsi="Times New Roman" w:cs="Times New Roman"/>
                <w:color w:val="auto"/>
                <w:kern w:val="0"/>
                <w:sz w:val="18"/>
                <w:szCs w:val="18"/>
                <w:highlight w:val="none"/>
                <w:lang w:val="en-US" w:eastAsia="zh-CN"/>
              </w:rPr>
              <w:t>中平乡石耶镇交界处—</w:t>
            </w:r>
            <w:r>
              <w:rPr>
                <w:rFonts w:hint="eastAsia" w:cs="Times New Roman"/>
                <w:color w:val="auto"/>
                <w:kern w:val="0"/>
                <w:sz w:val="18"/>
                <w:szCs w:val="18"/>
                <w:highlight w:val="none"/>
                <w:lang w:val="en-US" w:eastAsia="zh-CN"/>
              </w:rPr>
              <w:t>中平河汇入梅江河口处</w:t>
            </w:r>
          </w:p>
        </w:tc>
        <w:tc>
          <w:tcPr>
            <w:tcW w:w="1693" w:type="dxa"/>
            <w:vAlign w:val="center"/>
          </w:tcPr>
          <w:p w14:paraId="2F1029F1">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水资源保护</w:t>
            </w:r>
          </w:p>
        </w:tc>
        <w:tc>
          <w:tcPr>
            <w:tcW w:w="1708" w:type="dxa"/>
            <w:vAlign w:val="center"/>
          </w:tcPr>
          <w:p w14:paraId="1EE257D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14:paraId="2C9E93A1">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180E83BB">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14:paraId="37772C16">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14:paraId="58ECA8C7">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14:paraId="60D1DB27">
            <w:pPr>
              <w:spacing w:line="0" w:lineRule="atLeast"/>
              <w:jc w:val="center"/>
              <w:rPr>
                <w:rFonts w:hint="default" w:ascii="Times New Roman" w:hAnsi="Times New Roman" w:cs="Times New Roman"/>
                <w:color w:val="FF0000"/>
                <w:sz w:val="18"/>
                <w:szCs w:val="18"/>
                <w:highlight w:val="none"/>
              </w:rPr>
            </w:pPr>
          </w:p>
        </w:tc>
      </w:tr>
      <w:tr w14:paraId="13D7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4BBD2F42">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4DD0E427">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3FEF1E8B">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1065A4D6">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水域岸线管理保护</w:t>
            </w:r>
          </w:p>
        </w:tc>
        <w:tc>
          <w:tcPr>
            <w:tcW w:w="1708" w:type="dxa"/>
            <w:vAlign w:val="center"/>
          </w:tcPr>
          <w:p w14:paraId="69A11F4A">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中平河中平乡石耶镇交界处桥梁损毁</w:t>
            </w:r>
          </w:p>
        </w:tc>
        <w:tc>
          <w:tcPr>
            <w:tcW w:w="1033" w:type="dxa"/>
            <w:vAlign w:val="center"/>
          </w:tcPr>
          <w:p w14:paraId="79D08E4B">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sz w:val="18"/>
                <w:szCs w:val="18"/>
                <w:lang w:val="en-US" w:eastAsia="zh-CN"/>
              </w:rPr>
              <w:t>中平乡石耶镇交界</w:t>
            </w:r>
          </w:p>
        </w:tc>
        <w:tc>
          <w:tcPr>
            <w:tcW w:w="3134" w:type="dxa"/>
            <w:vAlign w:val="center"/>
          </w:tcPr>
          <w:p w14:paraId="1446C1B7">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olor w:val="auto"/>
                <w:sz w:val="18"/>
                <w:szCs w:val="18"/>
                <w:lang w:val="en-US" w:eastAsia="zh-CN"/>
              </w:rPr>
              <w:t>针对石耶镇</w:t>
            </w:r>
            <w:r>
              <w:rPr>
                <w:rFonts w:hint="eastAsia"/>
                <w:sz w:val="18"/>
                <w:szCs w:val="18"/>
                <w:lang w:val="en-US" w:eastAsia="zh-CN"/>
              </w:rPr>
              <w:t>中平河中平乡石耶镇交界处桥梁被损毁及时进行修复</w:t>
            </w:r>
            <w:r>
              <w:rPr>
                <w:rFonts w:hint="eastAsia" w:cs="Times New Roman"/>
                <w:color w:val="auto"/>
                <w:sz w:val="18"/>
                <w:szCs w:val="18"/>
                <w:highlight w:val="none"/>
                <w:lang w:val="en-US" w:eastAsia="zh-CN"/>
              </w:rPr>
              <w:t>。</w:t>
            </w:r>
          </w:p>
        </w:tc>
        <w:tc>
          <w:tcPr>
            <w:tcW w:w="1242" w:type="dxa"/>
            <w:vAlign w:val="center"/>
          </w:tcPr>
          <w:p w14:paraId="058DDF97">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7C4935A3">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2316BDEB">
            <w:pPr>
              <w:spacing w:line="0" w:lineRule="atLeast"/>
              <w:jc w:val="both"/>
              <w:rPr>
                <w:rFonts w:hint="default" w:ascii="Times New Roman" w:hAnsi="Times New Roman" w:cs="Times New Roman" w:eastAsiaTheme="minorEastAsia"/>
                <w:color w:val="FF0000"/>
                <w:kern w:val="2"/>
                <w:sz w:val="18"/>
                <w:szCs w:val="18"/>
                <w:highlight w:val="none"/>
                <w:lang w:val="en-US" w:eastAsia="zh-CN" w:bidi="ar-SA"/>
              </w:rPr>
            </w:pPr>
          </w:p>
        </w:tc>
      </w:tr>
      <w:tr w14:paraId="5102A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294FE2DF">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7BA546AC">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388C7B69">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00CD1DD1">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水污染防治</w:t>
            </w:r>
          </w:p>
        </w:tc>
        <w:tc>
          <w:tcPr>
            <w:tcW w:w="1708" w:type="dxa"/>
            <w:vAlign w:val="center"/>
          </w:tcPr>
          <w:p w14:paraId="0DB714EE">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1033" w:type="dxa"/>
            <w:vAlign w:val="center"/>
          </w:tcPr>
          <w:p w14:paraId="5DC8D761">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城镇污水管网整治</w:t>
            </w:r>
          </w:p>
        </w:tc>
        <w:tc>
          <w:tcPr>
            <w:tcW w:w="3134" w:type="dxa"/>
            <w:vAlign w:val="center"/>
          </w:tcPr>
          <w:p w14:paraId="28F5C682">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①加</w:t>
            </w:r>
            <w:r>
              <w:rPr>
                <w:rFonts w:hint="default" w:ascii="Times New Roman" w:hAnsi="Times New Roman" w:cs="Times New Roman"/>
                <w:color w:val="auto"/>
                <w:sz w:val="18"/>
                <w:szCs w:val="18"/>
                <w:highlight w:val="none"/>
              </w:rPr>
              <w:t>强管网和污水处理设施运行维护、监管</w:t>
            </w:r>
            <w:r>
              <w:rPr>
                <w:rFonts w:hint="default" w:ascii="Times New Roman" w:hAnsi="Times New Roman" w:cs="Times New Roman"/>
                <w:color w:val="auto"/>
                <w:sz w:val="18"/>
                <w:szCs w:val="18"/>
                <w:highlight w:val="none"/>
                <w:lang w:eastAsia="zh-CN"/>
              </w:rPr>
              <w:t>；②</w:t>
            </w:r>
            <w:r>
              <w:rPr>
                <w:rFonts w:hint="default" w:ascii="Times New Roman" w:hAnsi="Times New Roman" w:cs="Times New Roman"/>
                <w:color w:val="auto"/>
                <w:sz w:val="18"/>
                <w:szCs w:val="18"/>
                <w:highlight w:val="none"/>
                <w:lang w:val="en-US" w:eastAsia="zh-CN"/>
              </w:rPr>
              <w:t>规划对</w:t>
            </w:r>
            <w:r>
              <w:rPr>
                <w:rFonts w:hint="eastAsia" w:cs="Times New Roman"/>
                <w:color w:val="auto"/>
                <w:sz w:val="18"/>
                <w:szCs w:val="18"/>
                <w:highlight w:val="none"/>
                <w:lang w:val="en-US" w:eastAsia="zh-CN"/>
              </w:rPr>
              <w:t>洪安</w:t>
            </w:r>
            <w:r>
              <w:rPr>
                <w:rFonts w:hint="default" w:ascii="Times New Roman" w:hAnsi="Times New Roman" w:cs="Times New Roman"/>
                <w:color w:val="auto"/>
                <w:sz w:val="18"/>
                <w:szCs w:val="18"/>
                <w:highlight w:val="none"/>
                <w:lang w:val="en-US" w:eastAsia="zh-CN"/>
              </w:rPr>
              <w:t>镇污水处理厂实施管网新建或改造工程，提高污水收集、处理覆盖率</w:t>
            </w:r>
            <w:r>
              <w:rPr>
                <w:rFonts w:hint="eastAsia" w:cs="Times New Roman"/>
                <w:color w:val="auto"/>
                <w:sz w:val="18"/>
                <w:szCs w:val="18"/>
                <w:highlight w:val="none"/>
                <w:lang w:val="en-US" w:eastAsia="zh-CN"/>
              </w:rPr>
              <w:t>。</w:t>
            </w:r>
          </w:p>
        </w:tc>
        <w:tc>
          <w:tcPr>
            <w:tcW w:w="1242" w:type="dxa"/>
            <w:vAlign w:val="center"/>
          </w:tcPr>
          <w:p w14:paraId="5B0F8C68">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县住房城乡建委</w:t>
            </w:r>
            <w:r>
              <w:rPr>
                <w:rFonts w:hint="eastAsia" w:cs="Times New Roman"/>
                <w:color w:val="auto"/>
                <w:sz w:val="18"/>
                <w:szCs w:val="18"/>
                <w:highlight w:val="none"/>
                <w:lang w:val="en-US" w:eastAsia="zh-CN"/>
              </w:rPr>
              <w:t>、石耶镇</w:t>
            </w:r>
          </w:p>
        </w:tc>
        <w:tc>
          <w:tcPr>
            <w:tcW w:w="1177" w:type="dxa"/>
            <w:vAlign w:val="center"/>
          </w:tcPr>
          <w:p w14:paraId="78FB8455">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474185CA">
            <w:pPr>
              <w:spacing w:line="0" w:lineRule="atLeast"/>
              <w:jc w:val="center"/>
              <w:rPr>
                <w:rFonts w:hint="default" w:ascii="Times New Roman" w:hAnsi="Times New Roman" w:cs="Times New Roman"/>
                <w:color w:val="FF0000"/>
                <w:sz w:val="18"/>
                <w:szCs w:val="18"/>
                <w:highlight w:val="none"/>
              </w:rPr>
            </w:pPr>
          </w:p>
        </w:tc>
      </w:tr>
      <w:tr w14:paraId="4C5C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4B9EDF2B">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33D17A3E">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6B6B6503">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7AE78C6F">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0A17AF7B">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14:paraId="3855ED34">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14:paraId="22280CAD">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14:paraId="5F7DD0C9">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14:paraId="4F49C11B">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1C7449AB">
            <w:pPr>
              <w:spacing w:line="0" w:lineRule="atLeast"/>
              <w:jc w:val="center"/>
              <w:rPr>
                <w:rFonts w:hint="default" w:ascii="Times New Roman" w:hAnsi="Times New Roman" w:cs="Times New Roman"/>
                <w:color w:val="FF0000"/>
                <w:sz w:val="18"/>
                <w:szCs w:val="18"/>
                <w:highlight w:val="none"/>
              </w:rPr>
            </w:pPr>
          </w:p>
        </w:tc>
      </w:tr>
      <w:tr w14:paraId="127C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157AFF2">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E939EDB">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1B45D128">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0C37606D">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14756FEC">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14:paraId="6BAF2F5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14:paraId="062D5924">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14:paraId="4933B78E">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7C899E8B">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292EF236">
            <w:pPr>
              <w:spacing w:line="0" w:lineRule="atLeast"/>
              <w:jc w:val="center"/>
              <w:rPr>
                <w:rFonts w:hint="default" w:ascii="Times New Roman" w:hAnsi="Times New Roman" w:cs="Times New Roman"/>
                <w:color w:val="FF0000"/>
                <w:sz w:val="18"/>
                <w:szCs w:val="18"/>
                <w:highlight w:val="none"/>
              </w:rPr>
            </w:pPr>
          </w:p>
        </w:tc>
      </w:tr>
      <w:tr w14:paraId="24A46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6ED07D6">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1F5AA6A5">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7D47D94">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520C364B">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6E8B9E4E">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14:paraId="028B49BF">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14:paraId="265CD1E4">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14:paraId="006FFAE5">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4215957F">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20C440E2">
            <w:pPr>
              <w:spacing w:line="0" w:lineRule="atLeast"/>
              <w:jc w:val="center"/>
              <w:rPr>
                <w:rFonts w:hint="default" w:ascii="Times New Roman" w:hAnsi="Times New Roman" w:cs="Times New Roman"/>
                <w:color w:val="FF0000"/>
                <w:sz w:val="18"/>
                <w:szCs w:val="18"/>
                <w:highlight w:val="none"/>
              </w:rPr>
            </w:pPr>
          </w:p>
        </w:tc>
      </w:tr>
      <w:tr w14:paraId="4A05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6373FF24">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4A958578">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1771C3F9">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67E1D55E">
            <w:pPr>
              <w:spacing w:line="0" w:lineRule="atLeast"/>
              <w:jc w:val="center"/>
              <w:rPr>
                <w:rFonts w:hint="default" w:ascii="Times New Roman" w:hAnsi="Times New Roman" w:cs="Times New Roman"/>
                <w:color w:val="FF0000"/>
                <w:sz w:val="18"/>
                <w:szCs w:val="18"/>
                <w:highlight w:val="none"/>
              </w:rPr>
            </w:pPr>
            <w:r>
              <w:rPr>
                <w:rFonts w:hint="default" w:ascii="Times New Roman" w:hAnsi="Times New Roman" w:cs="Times New Roman"/>
                <w:color w:val="auto"/>
                <w:kern w:val="0"/>
                <w:sz w:val="18"/>
                <w:szCs w:val="18"/>
                <w:highlight w:val="none"/>
              </w:rPr>
              <w:t>水环境治理</w:t>
            </w:r>
          </w:p>
        </w:tc>
        <w:tc>
          <w:tcPr>
            <w:tcW w:w="1708" w:type="dxa"/>
            <w:vAlign w:val="center"/>
          </w:tcPr>
          <w:p w14:paraId="2216FC2A">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14:paraId="0B807465">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0C3165B0">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14:paraId="4642EEC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14:paraId="6E89CAA6">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0B7BC758">
            <w:pPr>
              <w:spacing w:line="0" w:lineRule="atLeast"/>
              <w:jc w:val="center"/>
              <w:rPr>
                <w:rFonts w:hint="default" w:ascii="Times New Roman" w:hAnsi="Times New Roman" w:cs="Times New Roman"/>
                <w:color w:val="FF0000"/>
                <w:sz w:val="18"/>
                <w:szCs w:val="18"/>
                <w:highlight w:val="none"/>
              </w:rPr>
            </w:pPr>
          </w:p>
        </w:tc>
      </w:tr>
      <w:tr w14:paraId="2E25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47D5C861">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75F97AAE">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1FF2DAE">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0E0F5D1E">
            <w:pPr>
              <w:spacing w:line="0" w:lineRule="atLeas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14:paraId="228822C9">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14:paraId="6934D180">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492A0A83">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①</w:t>
            </w: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r>
              <w:rPr>
                <w:rFonts w:hint="eastAsia" w:cs="Times New Roman"/>
                <w:color w:val="auto"/>
                <w:sz w:val="18"/>
                <w:szCs w:val="18"/>
                <w:highlight w:val="none"/>
                <w:lang w:val="en-US" w:eastAsia="zh-CN"/>
              </w:rPr>
              <w:t>；②实施小流域治理工作</w:t>
            </w:r>
            <w:r>
              <w:rPr>
                <w:rFonts w:hint="default" w:ascii="Times New Roman" w:hAnsi="Times New Roman" w:cs="Times New Roman"/>
                <w:color w:val="auto"/>
                <w:sz w:val="18"/>
                <w:szCs w:val="18"/>
                <w:highlight w:val="none"/>
                <w:lang w:val="en-US" w:eastAsia="zh-CN"/>
              </w:rPr>
              <w:t>。</w:t>
            </w:r>
          </w:p>
        </w:tc>
        <w:tc>
          <w:tcPr>
            <w:tcW w:w="1242" w:type="dxa"/>
            <w:vAlign w:val="center"/>
          </w:tcPr>
          <w:p w14:paraId="4E7676E5">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3DB7F423">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7718ADC">
            <w:pPr>
              <w:spacing w:line="0" w:lineRule="atLeast"/>
              <w:jc w:val="center"/>
              <w:rPr>
                <w:rFonts w:hint="default" w:ascii="Times New Roman" w:hAnsi="Times New Roman" w:cs="Times New Roman"/>
                <w:color w:val="FF0000"/>
                <w:sz w:val="18"/>
                <w:szCs w:val="18"/>
                <w:highlight w:val="none"/>
              </w:rPr>
            </w:pPr>
          </w:p>
        </w:tc>
      </w:tr>
      <w:tr w14:paraId="2D689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A22FD0E">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68422F06">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8CCEE18">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64D322C9">
            <w:pPr>
              <w:spacing w:line="0" w:lineRule="atLeast"/>
              <w:jc w:val="center"/>
              <w:rPr>
                <w:rFonts w:hint="default" w:ascii="Times New Roman" w:hAnsi="Times New Roman" w:cs="Times New Roman"/>
                <w:color w:val="FF0000"/>
                <w:kern w:val="0"/>
                <w:sz w:val="18"/>
                <w:szCs w:val="18"/>
                <w:highlight w:val="none"/>
              </w:rPr>
            </w:pPr>
          </w:p>
        </w:tc>
        <w:tc>
          <w:tcPr>
            <w:tcW w:w="1708" w:type="dxa"/>
            <w:vAlign w:val="center"/>
          </w:tcPr>
          <w:p w14:paraId="33DA1088">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14:paraId="1DA78728">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中平河干流</w:t>
            </w:r>
          </w:p>
        </w:tc>
        <w:tc>
          <w:tcPr>
            <w:tcW w:w="3134" w:type="dxa"/>
            <w:vAlign w:val="center"/>
          </w:tcPr>
          <w:p w14:paraId="5B2D26BD">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推进河库生态修复，实施</w:t>
            </w:r>
            <w:r>
              <w:rPr>
                <w:rFonts w:hint="eastAsia" w:ascii="Times New Roman" w:hAnsi="Times New Roman" w:cs="Times New Roman"/>
                <w:color w:val="auto"/>
                <w:sz w:val="18"/>
                <w:szCs w:val="18"/>
                <w:highlight w:val="none"/>
                <w:lang w:val="en-US" w:eastAsia="zh-CN"/>
              </w:rPr>
              <w:t>平江河</w:t>
            </w:r>
            <w:r>
              <w:rPr>
                <w:rFonts w:hint="default" w:ascii="Times New Roman" w:hAnsi="Times New Roman" w:cs="Times New Roman"/>
                <w:color w:val="auto"/>
                <w:sz w:val="18"/>
                <w:szCs w:val="18"/>
                <w:highlight w:val="none"/>
                <w:lang w:val="en-US" w:eastAsia="zh-CN"/>
              </w:rPr>
              <w:t>水生态综合治理工程</w:t>
            </w:r>
            <w:r>
              <w:rPr>
                <w:rFonts w:hint="eastAsia" w:cs="Times New Roman"/>
                <w:color w:val="auto"/>
                <w:sz w:val="18"/>
                <w:szCs w:val="18"/>
                <w:highlight w:val="none"/>
                <w:lang w:val="en-US" w:eastAsia="zh-CN"/>
              </w:rPr>
              <w:t>（石耶镇）。</w:t>
            </w:r>
          </w:p>
        </w:tc>
        <w:tc>
          <w:tcPr>
            <w:tcW w:w="1242" w:type="dxa"/>
            <w:vAlign w:val="center"/>
          </w:tcPr>
          <w:p w14:paraId="2132DDED">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14:paraId="2E4B2A52">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2C166A5D">
            <w:pPr>
              <w:spacing w:line="0" w:lineRule="atLeast"/>
              <w:jc w:val="center"/>
              <w:rPr>
                <w:rFonts w:hint="default" w:ascii="Times New Roman" w:hAnsi="Times New Roman" w:cs="Times New Roman"/>
                <w:color w:val="FF0000"/>
                <w:sz w:val="18"/>
                <w:szCs w:val="18"/>
                <w:highlight w:val="none"/>
              </w:rPr>
            </w:pPr>
          </w:p>
        </w:tc>
      </w:tr>
      <w:tr w14:paraId="39C47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4ADD602">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4D2E446D">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3DD5130B">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2DBA6D1E">
            <w:pPr>
              <w:spacing w:line="0" w:lineRule="atLeast"/>
              <w:jc w:val="center"/>
              <w:rPr>
                <w:rFonts w:hint="default" w:ascii="Times New Roman" w:hAnsi="Times New Roman" w:cs="Times New Roman"/>
                <w:color w:val="FF0000"/>
                <w:kern w:val="0"/>
                <w:sz w:val="18"/>
                <w:szCs w:val="18"/>
                <w:highlight w:val="none"/>
              </w:rPr>
            </w:pPr>
            <w:r>
              <w:rPr>
                <w:rFonts w:hint="default" w:ascii="Times New Roman" w:hAnsi="Times New Roman" w:cs="Times New Roman"/>
                <w:color w:val="auto"/>
                <w:kern w:val="0"/>
                <w:sz w:val="18"/>
                <w:szCs w:val="18"/>
                <w:highlight w:val="none"/>
              </w:rPr>
              <w:t>执法监管</w:t>
            </w:r>
          </w:p>
        </w:tc>
        <w:tc>
          <w:tcPr>
            <w:tcW w:w="1708" w:type="dxa"/>
            <w:vAlign w:val="center"/>
          </w:tcPr>
          <w:p w14:paraId="209B609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14:paraId="2DEBB69B">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14:paraId="59500154">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14:paraId="0044C51E">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14:paraId="169EDA62">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1E28733D">
            <w:pPr>
              <w:spacing w:line="0" w:lineRule="atLeast"/>
              <w:jc w:val="center"/>
              <w:rPr>
                <w:rFonts w:hint="default" w:ascii="Times New Roman" w:hAnsi="Times New Roman" w:cs="Times New Roman"/>
                <w:color w:val="FF0000"/>
                <w:sz w:val="18"/>
                <w:szCs w:val="18"/>
                <w:highlight w:val="none"/>
              </w:rPr>
            </w:pPr>
          </w:p>
        </w:tc>
      </w:tr>
      <w:tr w14:paraId="0277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C9CC16A">
            <w:pPr>
              <w:spacing w:line="0" w:lineRule="atLeast"/>
              <w:jc w:val="center"/>
              <w:rPr>
                <w:rFonts w:hint="default" w:ascii="Times New Roman" w:hAnsi="Times New Roman" w:cs="Times New Roman"/>
                <w:color w:val="FF0000"/>
                <w:kern w:val="0"/>
                <w:sz w:val="18"/>
                <w:szCs w:val="18"/>
                <w:highlight w:val="none"/>
              </w:rPr>
            </w:pPr>
          </w:p>
        </w:tc>
        <w:tc>
          <w:tcPr>
            <w:tcW w:w="1041" w:type="dxa"/>
            <w:vMerge w:val="restart"/>
            <w:vAlign w:val="center"/>
          </w:tcPr>
          <w:p w14:paraId="35C048F9">
            <w:pPr>
              <w:spacing w:line="0" w:lineRule="atLeast"/>
              <w:jc w:val="center"/>
              <w:rPr>
                <w:rFonts w:hint="default" w:ascii="Times New Roman" w:hAnsi="Times New Roman" w:cs="Times New Roman" w:eastAsiaTheme="minorEastAsia"/>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同心河</w:t>
            </w:r>
          </w:p>
        </w:tc>
        <w:tc>
          <w:tcPr>
            <w:tcW w:w="1140" w:type="dxa"/>
            <w:vMerge w:val="restart"/>
            <w:vAlign w:val="center"/>
          </w:tcPr>
          <w:p w14:paraId="6C30E798">
            <w:pPr>
              <w:spacing w:line="0" w:lineRule="atLeast"/>
              <w:jc w:val="center"/>
              <w:rPr>
                <w:rFonts w:hint="eastAsia" w:ascii="Times New Roman" w:hAnsi="Times New Roman" w:cs="Times New Roman" w:eastAsiaTheme="minorEastAsia"/>
                <w:color w:val="auto"/>
                <w:kern w:val="0"/>
                <w:sz w:val="18"/>
                <w:szCs w:val="18"/>
                <w:highlight w:val="none"/>
                <w:lang w:val="en-US" w:eastAsia="zh-CN" w:bidi="ar-SA"/>
              </w:rPr>
            </w:pPr>
            <w:r>
              <w:rPr>
                <w:rFonts w:hint="eastAsia"/>
                <w:b w:val="0"/>
                <w:bCs/>
                <w:color w:val="auto"/>
                <w:sz w:val="18"/>
                <w:szCs w:val="18"/>
              </w:rPr>
              <w:t>石耶镇</w:t>
            </w:r>
            <w:r>
              <w:rPr>
                <w:rFonts w:hint="eastAsia"/>
                <w:b w:val="0"/>
                <w:bCs/>
                <w:color w:val="auto"/>
                <w:sz w:val="18"/>
                <w:szCs w:val="18"/>
                <w:lang w:eastAsia="zh-CN"/>
              </w:rPr>
              <w:t>樱桃井</w:t>
            </w:r>
            <w:r>
              <w:rPr>
                <w:rFonts w:hint="eastAsia" w:cs="Times New Roman"/>
                <w:color w:val="auto"/>
                <w:kern w:val="0"/>
                <w:sz w:val="18"/>
                <w:szCs w:val="18"/>
                <w:highlight w:val="none"/>
                <w:lang w:val="en-US" w:eastAsia="zh-CN"/>
              </w:rPr>
              <w:t>-</w:t>
            </w:r>
            <w:r>
              <w:rPr>
                <w:rFonts w:hint="eastAsia"/>
                <w:b w:val="0"/>
                <w:bCs/>
                <w:color w:val="auto"/>
                <w:sz w:val="18"/>
                <w:szCs w:val="18"/>
                <w:lang w:eastAsia="zh-CN"/>
              </w:rPr>
              <w:t>同心河汇入梅江河入口处</w:t>
            </w:r>
          </w:p>
        </w:tc>
        <w:tc>
          <w:tcPr>
            <w:tcW w:w="1693" w:type="dxa"/>
            <w:vAlign w:val="center"/>
          </w:tcPr>
          <w:p w14:paraId="0C5D6D66">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14:paraId="1024CB59">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14:paraId="54F90A79">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1A3C195E">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14:paraId="7E9C0201">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14:paraId="73F9EA6D">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restart"/>
            <w:vAlign w:val="center"/>
          </w:tcPr>
          <w:p w14:paraId="31288E17">
            <w:pPr>
              <w:spacing w:line="0" w:lineRule="atLeast"/>
              <w:jc w:val="center"/>
              <w:rPr>
                <w:rFonts w:hint="default" w:ascii="Times New Roman" w:hAnsi="Times New Roman" w:cs="Times New Roman" w:eastAsiaTheme="minorEastAsia"/>
                <w:color w:val="FF0000"/>
                <w:sz w:val="18"/>
                <w:szCs w:val="18"/>
                <w:highlight w:val="none"/>
                <w:lang w:val="en-US" w:eastAsia="zh-CN"/>
              </w:rPr>
            </w:pPr>
            <w:r>
              <w:rPr>
                <w:rFonts w:hint="eastAsia" w:cs="Times New Roman"/>
                <w:color w:val="auto"/>
                <w:sz w:val="18"/>
                <w:szCs w:val="18"/>
                <w:highlight w:val="none"/>
                <w:lang w:val="en-US" w:eastAsia="zh-CN"/>
              </w:rPr>
              <w:t>乡镇级河流</w:t>
            </w:r>
          </w:p>
        </w:tc>
      </w:tr>
      <w:tr w14:paraId="2AF2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1729FD29">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6A160613">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025D55C9">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4060EF4B">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14:paraId="67DFC74D">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14:paraId="2B60BAF0">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7BF2F2F8">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14:paraId="098B58AE">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0E0D877D">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14:paraId="06BCD7AB">
            <w:pPr>
              <w:spacing w:line="0" w:lineRule="atLeast"/>
              <w:jc w:val="center"/>
              <w:rPr>
                <w:rFonts w:hint="default" w:ascii="Times New Roman" w:hAnsi="Times New Roman" w:cs="Times New Roman"/>
                <w:color w:val="FF0000"/>
                <w:sz w:val="18"/>
                <w:szCs w:val="18"/>
                <w:highlight w:val="none"/>
              </w:rPr>
            </w:pPr>
          </w:p>
        </w:tc>
      </w:tr>
      <w:tr w14:paraId="25C2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DF1AEC1">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410AB63D">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73CAF7FC">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6F0A28D9">
            <w:pPr>
              <w:spacing w:line="0" w:lineRule="atLeast"/>
              <w:jc w:val="center"/>
              <w:rPr>
                <w:rFonts w:hint="default" w:ascii="Times New Roman" w:hAnsi="Times New Roman" w:cs="Times New Roman" w:eastAsiaTheme="minorEastAsia"/>
                <w:color w:val="auto"/>
                <w:kern w:val="0"/>
                <w:sz w:val="18"/>
                <w:szCs w:val="18"/>
                <w:highlight w:val="none"/>
                <w:lang w:val="en-US" w:eastAsia="zh-CN"/>
              </w:rPr>
            </w:pPr>
            <w:r>
              <w:rPr>
                <w:rFonts w:hint="eastAsia" w:cs="Times New Roman"/>
                <w:color w:val="auto"/>
                <w:kern w:val="0"/>
                <w:sz w:val="18"/>
                <w:szCs w:val="18"/>
                <w:highlight w:val="none"/>
                <w:lang w:val="en-US" w:eastAsia="zh-CN"/>
              </w:rPr>
              <w:t>水污染防治</w:t>
            </w:r>
          </w:p>
        </w:tc>
        <w:tc>
          <w:tcPr>
            <w:tcW w:w="1708" w:type="dxa"/>
            <w:vAlign w:val="center"/>
          </w:tcPr>
          <w:p w14:paraId="1EE1FA41">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14:paraId="32353205">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14:paraId="20998B51">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14:paraId="17B6F535">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14:paraId="12B47D47">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4B5CFB89">
            <w:pPr>
              <w:spacing w:line="0" w:lineRule="atLeast"/>
              <w:jc w:val="center"/>
              <w:rPr>
                <w:rFonts w:hint="default" w:ascii="Times New Roman" w:hAnsi="Times New Roman" w:cs="Times New Roman"/>
                <w:color w:val="FF0000"/>
                <w:sz w:val="18"/>
                <w:szCs w:val="18"/>
                <w:highlight w:val="none"/>
              </w:rPr>
            </w:pPr>
          </w:p>
        </w:tc>
      </w:tr>
      <w:tr w14:paraId="72DCE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655151E">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2F1301CF">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2C7F2AF">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38612C31">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61C29756">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14:paraId="287138ED">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14:paraId="57BA236E">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14:paraId="60ED0019">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292048C9">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A0CA3C4">
            <w:pPr>
              <w:spacing w:line="0" w:lineRule="atLeast"/>
              <w:jc w:val="center"/>
              <w:rPr>
                <w:rFonts w:hint="default" w:ascii="Times New Roman" w:hAnsi="Times New Roman" w:cs="Times New Roman"/>
                <w:color w:val="FF0000"/>
                <w:sz w:val="18"/>
                <w:szCs w:val="18"/>
                <w:highlight w:val="none"/>
              </w:rPr>
            </w:pPr>
          </w:p>
        </w:tc>
      </w:tr>
      <w:tr w14:paraId="7219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3AD9DC69">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285B9517">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021B6629">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5C8A29B1">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72A616E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14:paraId="33C27DA3">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14:paraId="0477DD45">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14:paraId="76D8E17E">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65DF9BB3">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0914984C">
            <w:pPr>
              <w:spacing w:line="0" w:lineRule="atLeast"/>
              <w:jc w:val="center"/>
              <w:rPr>
                <w:rFonts w:hint="default" w:ascii="Times New Roman" w:hAnsi="Times New Roman" w:cs="Times New Roman"/>
                <w:color w:val="FF0000"/>
                <w:sz w:val="18"/>
                <w:szCs w:val="18"/>
                <w:highlight w:val="none"/>
              </w:rPr>
            </w:pPr>
          </w:p>
        </w:tc>
      </w:tr>
      <w:tr w14:paraId="2FE6B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78F7EAD9">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E09AEA3">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781FD77A">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6C3C6C51">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14:paraId="6C310188">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14:paraId="59ACF29B">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7B67D85A">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14:paraId="003CF9A1">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14:paraId="6D08A235">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144E1229">
            <w:pPr>
              <w:spacing w:line="0" w:lineRule="atLeast"/>
              <w:jc w:val="center"/>
              <w:rPr>
                <w:rFonts w:hint="default" w:ascii="Times New Roman" w:hAnsi="Times New Roman" w:cs="Times New Roman"/>
                <w:color w:val="FF0000"/>
                <w:sz w:val="18"/>
                <w:szCs w:val="18"/>
                <w:highlight w:val="none"/>
              </w:rPr>
            </w:pPr>
          </w:p>
        </w:tc>
      </w:tr>
      <w:tr w14:paraId="2C59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679E0184">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F3C8BBD">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4C0B37E7">
            <w:pPr>
              <w:spacing w:line="0" w:lineRule="atLeast"/>
              <w:jc w:val="center"/>
              <w:rPr>
                <w:rFonts w:hint="default" w:ascii="Times New Roman" w:hAnsi="Times New Roman" w:cs="Times New Roman"/>
                <w:color w:val="FF0000"/>
                <w:kern w:val="0"/>
                <w:sz w:val="18"/>
                <w:szCs w:val="18"/>
                <w:highlight w:val="none"/>
              </w:rPr>
            </w:pPr>
          </w:p>
        </w:tc>
        <w:tc>
          <w:tcPr>
            <w:tcW w:w="1693" w:type="dxa"/>
            <w:vMerge w:val="restart"/>
            <w:vAlign w:val="center"/>
          </w:tcPr>
          <w:p w14:paraId="3F8ACCAE">
            <w:pPr>
              <w:spacing w:line="0" w:lineRule="atLeas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水生态修复</w:t>
            </w:r>
          </w:p>
        </w:tc>
        <w:tc>
          <w:tcPr>
            <w:tcW w:w="1708" w:type="dxa"/>
            <w:vAlign w:val="center"/>
          </w:tcPr>
          <w:p w14:paraId="611427B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14:paraId="2C84953E">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69FB3B95">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14:paraId="0B04EE05">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5E50A88A">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4FD571D0">
            <w:pPr>
              <w:spacing w:line="0" w:lineRule="atLeast"/>
              <w:jc w:val="center"/>
              <w:rPr>
                <w:rFonts w:hint="default" w:ascii="Times New Roman" w:hAnsi="Times New Roman" w:cs="Times New Roman"/>
                <w:color w:val="FF0000"/>
                <w:sz w:val="18"/>
                <w:szCs w:val="18"/>
                <w:highlight w:val="none"/>
              </w:rPr>
            </w:pPr>
          </w:p>
        </w:tc>
      </w:tr>
      <w:tr w14:paraId="2AD5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8930F1A">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2C540BE6">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329870BE">
            <w:pPr>
              <w:spacing w:line="0" w:lineRule="atLeast"/>
              <w:jc w:val="center"/>
              <w:rPr>
                <w:rFonts w:hint="default" w:ascii="Times New Roman" w:hAnsi="Times New Roman" w:cs="Times New Roman"/>
                <w:color w:val="FF0000"/>
                <w:kern w:val="0"/>
                <w:sz w:val="18"/>
                <w:szCs w:val="18"/>
                <w:highlight w:val="none"/>
              </w:rPr>
            </w:pPr>
          </w:p>
        </w:tc>
        <w:tc>
          <w:tcPr>
            <w:tcW w:w="1693" w:type="dxa"/>
            <w:vMerge w:val="continue"/>
            <w:vAlign w:val="center"/>
          </w:tcPr>
          <w:p w14:paraId="20C08FC5">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18D86D69">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14:paraId="11D3A549">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同心河干流</w:t>
            </w:r>
          </w:p>
        </w:tc>
        <w:tc>
          <w:tcPr>
            <w:tcW w:w="3134" w:type="dxa"/>
            <w:vAlign w:val="center"/>
          </w:tcPr>
          <w:p w14:paraId="69318972">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14:paraId="406495A9">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14:paraId="328C0208">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751E3F17">
            <w:pPr>
              <w:spacing w:line="0" w:lineRule="atLeast"/>
              <w:jc w:val="center"/>
              <w:rPr>
                <w:rFonts w:hint="default" w:ascii="Times New Roman" w:hAnsi="Times New Roman" w:cs="Times New Roman"/>
                <w:color w:val="FF0000"/>
                <w:sz w:val="18"/>
                <w:szCs w:val="18"/>
                <w:highlight w:val="none"/>
              </w:rPr>
            </w:pPr>
          </w:p>
        </w:tc>
      </w:tr>
      <w:tr w14:paraId="030F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E021A3A">
            <w:pPr>
              <w:spacing w:line="0" w:lineRule="atLeast"/>
              <w:jc w:val="center"/>
              <w:rPr>
                <w:rFonts w:hint="default" w:ascii="Times New Roman" w:hAnsi="Times New Roman" w:cs="Times New Roman"/>
                <w:color w:val="FF0000"/>
                <w:kern w:val="0"/>
                <w:sz w:val="18"/>
                <w:szCs w:val="18"/>
                <w:highlight w:val="none"/>
              </w:rPr>
            </w:pPr>
          </w:p>
        </w:tc>
        <w:tc>
          <w:tcPr>
            <w:tcW w:w="1041" w:type="dxa"/>
            <w:vMerge w:val="continue"/>
            <w:vAlign w:val="center"/>
          </w:tcPr>
          <w:p w14:paraId="0645CEE1">
            <w:pPr>
              <w:spacing w:line="0" w:lineRule="atLeast"/>
              <w:jc w:val="center"/>
              <w:rPr>
                <w:rFonts w:hint="default" w:ascii="Times New Roman" w:hAnsi="Times New Roman" w:cs="Times New Roman"/>
                <w:color w:val="FF0000"/>
                <w:kern w:val="0"/>
                <w:sz w:val="18"/>
                <w:szCs w:val="18"/>
                <w:highlight w:val="none"/>
              </w:rPr>
            </w:pPr>
          </w:p>
        </w:tc>
        <w:tc>
          <w:tcPr>
            <w:tcW w:w="1140" w:type="dxa"/>
            <w:vMerge w:val="continue"/>
            <w:vAlign w:val="center"/>
          </w:tcPr>
          <w:p w14:paraId="23960BE6">
            <w:pPr>
              <w:spacing w:line="0" w:lineRule="atLeast"/>
              <w:jc w:val="center"/>
              <w:rPr>
                <w:rFonts w:hint="default" w:ascii="Times New Roman" w:hAnsi="Times New Roman" w:cs="Times New Roman"/>
                <w:color w:val="FF0000"/>
                <w:kern w:val="0"/>
                <w:sz w:val="18"/>
                <w:szCs w:val="18"/>
                <w:highlight w:val="none"/>
              </w:rPr>
            </w:pPr>
          </w:p>
        </w:tc>
        <w:tc>
          <w:tcPr>
            <w:tcW w:w="1693" w:type="dxa"/>
            <w:vAlign w:val="center"/>
          </w:tcPr>
          <w:p w14:paraId="3801A2F1">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14:paraId="0E3B6B25">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14:paraId="66B567D4">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14:paraId="13EB74E8">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14:paraId="0B3DA467">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14:paraId="59FF0B33">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02EC0E99">
            <w:pPr>
              <w:spacing w:line="0" w:lineRule="atLeast"/>
              <w:jc w:val="center"/>
              <w:rPr>
                <w:rFonts w:hint="default" w:ascii="Times New Roman" w:hAnsi="Times New Roman" w:cs="Times New Roman"/>
                <w:color w:val="FF0000"/>
                <w:sz w:val="18"/>
                <w:szCs w:val="18"/>
                <w:highlight w:val="none"/>
              </w:rPr>
            </w:pPr>
          </w:p>
        </w:tc>
      </w:tr>
      <w:tr w14:paraId="6B718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3CCBE213">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restart"/>
            <w:vAlign w:val="center"/>
          </w:tcPr>
          <w:p w14:paraId="6F7C43BA">
            <w:pPr>
              <w:spacing w:line="0" w:lineRule="atLeast"/>
              <w:jc w:val="center"/>
              <w:rPr>
                <w:rFonts w:hint="default" w:ascii="Times New Roman" w:hAnsi="Times New Roman" w:cs="Times New Roman"/>
                <w:color w:val="FF0000"/>
                <w:kern w:val="0"/>
                <w:sz w:val="18"/>
                <w:szCs w:val="18"/>
                <w:highlight w:val="none"/>
                <w:lang w:val="en-US" w:eastAsia="zh-CN"/>
              </w:rPr>
            </w:pPr>
            <w:r>
              <w:rPr>
                <w:rFonts w:hint="eastAsia" w:ascii="宋体" w:hAnsi="宋体" w:eastAsia="宋体" w:cs="宋体"/>
                <w:i w:val="0"/>
                <w:iCs w:val="0"/>
                <w:color w:val="000000"/>
                <w:kern w:val="0"/>
                <w:sz w:val="18"/>
                <w:szCs w:val="18"/>
                <w:u w:val="none"/>
                <w:lang w:val="en-US" w:eastAsia="zh-CN" w:bidi="ar"/>
              </w:rPr>
              <w:t>甘溪沟河</w:t>
            </w:r>
          </w:p>
        </w:tc>
        <w:tc>
          <w:tcPr>
            <w:tcW w:w="1140" w:type="dxa"/>
            <w:vMerge w:val="restart"/>
            <w:vAlign w:val="center"/>
          </w:tcPr>
          <w:p w14:paraId="587932E3">
            <w:pPr>
              <w:spacing w:line="0" w:lineRule="atLeast"/>
              <w:jc w:val="center"/>
              <w:rPr>
                <w:rFonts w:hint="default" w:ascii="Times New Roman" w:hAnsi="Times New Roman" w:cs="Times New Roman"/>
                <w:color w:val="auto"/>
                <w:kern w:val="0"/>
                <w:sz w:val="18"/>
                <w:szCs w:val="18"/>
                <w:highlight w:val="none"/>
                <w:lang w:val="en-US" w:eastAsia="zh-CN"/>
              </w:rPr>
            </w:pPr>
            <w:r>
              <w:rPr>
                <w:rFonts w:hint="eastAsia"/>
                <w:b w:val="0"/>
                <w:bCs/>
                <w:color w:val="auto"/>
                <w:sz w:val="18"/>
                <w:szCs w:val="18"/>
              </w:rPr>
              <w:t>石耶镇西大居委会</w:t>
            </w:r>
            <w:r>
              <w:rPr>
                <w:rFonts w:hint="default" w:ascii="Times New Roman" w:hAnsi="Times New Roman" w:cs="Times New Roman"/>
                <w:color w:val="auto"/>
                <w:kern w:val="0"/>
                <w:sz w:val="18"/>
                <w:szCs w:val="18"/>
                <w:highlight w:val="none"/>
                <w:lang w:val="en-US" w:eastAsia="zh-CN"/>
              </w:rPr>
              <w:t>—</w:t>
            </w:r>
            <w:r>
              <w:rPr>
                <w:rFonts w:hint="eastAsia"/>
                <w:b w:val="0"/>
                <w:bCs/>
                <w:color w:val="auto"/>
                <w:sz w:val="18"/>
                <w:szCs w:val="18"/>
              </w:rPr>
              <w:t>石耶镇西大居委会</w:t>
            </w:r>
          </w:p>
        </w:tc>
        <w:tc>
          <w:tcPr>
            <w:tcW w:w="1693" w:type="dxa"/>
            <w:vAlign w:val="center"/>
          </w:tcPr>
          <w:p w14:paraId="653E4615">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水资源保护</w:t>
            </w:r>
          </w:p>
        </w:tc>
        <w:tc>
          <w:tcPr>
            <w:tcW w:w="1708" w:type="dxa"/>
            <w:vAlign w:val="center"/>
          </w:tcPr>
          <w:p w14:paraId="6169BAF4">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eastAsiaTheme="minorEastAsia"/>
                <w:color w:val="auto"/>
                <w:sz w:val="18"/>
                <w:szCs w:val="18"/>
                <w:highlight w:val="none"/>
                <w:lang w:val="en-US" w:eastAsia="zh-CN"/>
              </w:rPr>
              <w:t>节水用水效率需进一步提升</w:t>
            </w:r>
          </w:p>
        </w:tc>
        <w:tc>
          <w:tcPr>
            <w:tcW w:w="1033" w:type="dxa"/>
            <w:vAlign w:val="center"/>
          </w:tcPr>
          <w:p w14:paraId="3C0D5CFC">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4D23B27A">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①严格落实水资源消耗总量和强度双控指标</w:t>
            </w:r>
            <w:r>
              <w:rPr>
                <w:rFonts w:hint="eastAsia" w:cs="Times New Roman"/>
                <w:color w:val="auto"/>
                <w:sz w:val="18"/>
                <w:szCs w:val="18"/>
                <w:highlight w:val="none"/>
                <w:lang w:eastAsia="zh-CN"/>
              </w:rPr>
              <w:t>；</w:t>
            </w:r>
            <w:r>
              <w:rPr>
                <w:rFonts w:hint="default" w:ascii="Times New Roman" w:hAnsi="Times New Roman" w:cs="Times New Roman"/>
                <w:color w:val="auto"/>
                <w:sz w:val="18"/>
                <w:szCs w:val="18"/>
                <w:highlight w:val="none"/>
                <w:lang w:eastAsia="zh-CN"/>
              </w:rPr>
              <w:t>②</w:t>
            </w:r>
            <w:r>
              <w:rPr>
                <w:rFonts w:hint="eastAsia" w:cs="Times New Roman"/>
                <w:color w:val="auto"/>
                <w:sz w:val="18"/>
                <w:szCs w:val="18"/>
                <w:highlight w:val="none"/>
                <w:lang w:val="en-US" w:eastAsia="zh-CN"/>
              </w:rPr>
              <w:t>加强城镇节水、农业节水、加强农村节水、加强节水宣传。</w:t>
            </w:r>
          </w:p>
        </w:tc>
        <w:tc>
          <w:tcPr>
            <w:tcW w:w="1242" w:type="dxa"/>
            <w:vAlign w:val="center"/>
          </w:tcPr>
          <w:p w14:paraId="3C40559E">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县水利局、县农业农村委、石耶镇</w:t>
            </w:r>
          </w:p>
        </w:tc>
        <w:tc>
          <w:tcPr>
            <w:tcW w:w="1177" w:type="dxa"/>
            <w:vAlign w:val="center"/>
          </w:tcPr>
          <w:p w14:paraId="77B414AC">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县财政局</w:t>
            </w:r>
          </w:p>
        </w:tc>
        <w:tc>
          <w:tcPr>
            <w:tcW w:w="1178" w:type="dxa"/>
            <w:vMerge w:val="continue"/>
            <w:vAlign w:val="center"/>
          </w:tcPr>
          <w:p w14:paraId="2222212D">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p>
        </w:tc>
      </w:tr>
      <w:tr w14:paraId="30E9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4996B637">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798AB46E">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02771701">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14:paraId="29B1A10A">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水域岸线管理保护</w:t>
            </w:r>
          </w:p>
        </w:tc>
        <w:tc>
          <w:tcPr>
            <w:tcW w:w="1708" w:type="dxa"/>
            <w:vAlign w:val="center"/>
          </w:tcPr>
          <w:p w14:paraId="3E4F9758">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033" w:type="dxa"/>
            <w:vAlign w:val="center"/>
          </w:tcPr>
          <w:p w14:paraId="0A32FB9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5BD60395">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eastAsia="zh-CN"/>
              </w:rPr>
              <w:t>①</w:t>
            </w:r>
            <w:r>
              <w:rPr>
                <w:rFonts w:hint="eastAsia" w:ascii="Times New Roman" w:hAnsi="Times New Roman" w:cs="Times New Roman"/>
                <w:color w:val="auto"/>
                <w:sz w:val="18"/>
                <w:szCs w:val="18"/>
                <w:highlight w:val="none"/>
                <w:lang w:val="en-US" w:eastAsia="zh-CN"/>
              </w:rPr>
              <w:t>切实加强日常巡查，做到“四乱（乱占、乱采、乱堆、乱建）”问题早发现、早制止、早报告</w:t>
            </w:r>
            <w:r>
              <w:rPr>
                <w:rFonts w:hint="eastAsia" w:cs="Times New Roman"/>
                <w:color w:val="auto"/>
                <w:sz w:val="18"/>
                <w:szCs w:val="18"/>
                <w:highlight w:val="none"/>
                <w:lang w:val="en-US" w:eastAsia="zh-CN"/>
              </w:rPr>
              <w:t>。</w:t>
            </w:r>
          </w:p>
        </w:tc>
        <w:tc>
          <w:tcPr>
            <w:tcW w:w="1242" w:type="dxa"/>
            <w:vAlign w:val="center"/>
          </w:tcPr>
          <w:p w14:paraId="36333B96">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7B99048B">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加强河道岸线管控</w:t>
            </w:r>
          </w:p>
        </w:tc>
        <w:tc>
          <w:tcPr>
            <w:tcW w:w="1178" w:type="dxa"/>
            <w:vMerge w:val="continue"/>
            <w:vAlign w:val="center"/>
          </w:tcPr>
          <w:p w14:paraId="3FEBC286">
            <w:pPr>
              <w:spacing w:line="0" w:lineRule="atLeast"/>
              <w:jc w:val="center"/>
              <w:rPr>
                <w:rFonts w:hint="default" w:ascii="Times New Roman" w:hAnsi="Times New Roman" w:cs="Times New Roman"/>
                <w:color w:val="FF0000"/>
                <w:sz w:val="18"/>
                <w:szCs w:val="18"/>
                <w:highlight w:val="none"/>
              </w:rPr>
            </w:pPr>
          </w:p>
        </w:tc>
      </w:tr>
      <w:tr w14:paraId="1C3D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12FE020">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735A2D59">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3924D391">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14:paraId="1BB6B5DF">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水污染防治</w:t>
            </w:r>
          </w:p>
        </w:tc>
        <w:tc>
          <w:tcPr>
            <w:tcW w:w="1708" w:type="dxa"/>
            <w:vAlign w:val="center"/>
          </w:tcPr>
          <w:p w14:paraId="6AF44141">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1033" w:type="dxa"/>
            <w:vAlign w:val="center"/>
          </w:tcPr>
          <w:p w14:paraId="7DC3CD6C">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农村人居环境整治</w:t>
            </w:r>
          </w:p>
        </w:tc>
        <w:tc>
          <w:tcPr>
            <w:tcW w:w="3134" w:type="dxa"/>
            <w:vAlign w:val="center"/>
          </w:tcPr>
          <w:p w14:paraId="1C0716F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①农村生活污水整治：持续推进农村“厕所革命”，达到相关政策指标要求</w:t>
            </w:r>
            <w:r>
              <w:rPr>
                <w:rFonts w:hint="eastAsia" w:cs="Times New Roman"/>
                <w:color w:val="auto"/>
                <w:sz w:val="18"/>
                <w:szCs w:val="18"/>
                <w:highlight w:val="none"/>
                <w:lang w:val="en-US" w:eastAsia="zh-CN"/>
              </w:rPr>
              <w:t>；②农村生活垃圾整治：开展农村生活垃圾分类减量化试点，推行垃圾就地分类和资源化利用。</w:t>
            </w:r>
          </w:p>
        </w:tc>
        <w:tc>
          <w:tcPr>
            <w:tcW w:w="1242" w:type="dxa"/>
            <w:vAlign w:val="center"/>
          </w:tcPr>
          <w:p w14:paraId="4223132D">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县农业农村委、县城管局、石耶镇</w:t>
            </w:r>
          </w:p>
        </w:tc>
        <w:tc>
          <w:tcPr>
            <w:tcW w:w="1177" w:type="dxa"/>
            <w:vAlign w:val="center"/>
          </w:tcPr>
          <w:p w14:paraId="427CE71F">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3AA4A79B">
            <w:pPr>
              <w:spacing w:line="0" w:lineRule="atLeast"/>
              <w:jc w:val="center"/>
              <w:rPr>
                <w:rFonts w:hint="default" w:ascii="Times New Roman" w:hAnsi="Times New Roman" w:cs="Times New Roman"/>
                <w:color w:val="FF0000"/>
                <w:sz w:val="18"/>
                <w:szCs w:val="18"/>
                <w:highlight w:val="none"/>
              </w:rPr>
            </w:pPr>
          </w:p>
        </w:tc>
      </w:tr>
      <w:tr w14:paraId="3D92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0094633F">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4D2BA025">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6AC2DBF5">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14:paraId="32843E5E">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074C8E20">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1033" w:type="dxa"/>
            <w:vAlign w:val="center"/>
          </w:tcPr>
          <w:p w14:paraId="0A983F5D">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农业面源污染</w:t>
            </w:r>
          </w:p>
        </w:tc>
        <w:tc>
          <w:tcPr>
            <w:tcW w:w="3134" w:type="dxa"/>
            <w:vAlign w:val="center"/>
          </w:tcPr>
          <w:p w14:paraId="3775A2A7">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实施化肥、农药施用量负增长行动</w:t>
            </w:r>
            <w:r>
              <w:rPr>
                <w:rFonts w:hint="eastAsia" w:cs="Times New Roman"/>
                <w:color w:val="auto"/>
                <w:sz w:val="18"/>
                <w:szCs w:val="18"/>
                <w:highlight w:val="none"/>
                <w:lang w:val="en-US" w:eastAsia="zh-CN"/>
              </w:rPr>
              <w:t>；</w:t>
            </w:r>
            <w:r>
              <w:rPr>
                <w:rFonts w:hint="default" w:ascii="Times New Roman" w:hAnsi="Times New Roman" w:cs="Times New Roman"/>
                <w:color w:val="auto"/>
                <w:sz w:val="18"/>
                <w:szCs w:val="18"/>
                <w:highlight w:val="none"/>
                <w:lang w:val="en-US" w:eastAsia="zh-CN"/>
              </w:rPr>
              <w:t>②推广化肥减量增效技术，实施病虫害绿色防控和专业化通防统治</w:t>
            </w:r>
            <w:r>
              <w:rPr>
                <w:rFonts w:hint="eastAsia" w:cs="Times New Roman"/>
                <w:color w:val="auto"/>
                <w:sz w:val="18"/>
                <w:szCs w:val="18"/>
                <w:highlight w:val="none"/>
                <w:lang w:val="en-US" w:eastAsia="zh-CN"/>
              </w:rPr>
              <w:t>。</w:t>
            </w:r>
          </w:p>
        </w:tc>
        <w:tc>
          <w:tcPr>
            <w:tcW w:w="1242" w:type="dxa"/>
            <w:vAlign w:val="center"/>
          </w:tcPr>
          <w:p w14:paraId="217B9CE3">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5C14EDD0">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1D60A7A8">
            <w:pPr>
              <w:spacing w:line="0" w:lineRule="atLeast"/>
              <w:jc w:val="center"/>
              <w:rPr>
                <w:rFonts w:hint="default" w:ascii="Times New Roman" w:hAnsi="Times New Roman" w:cs="Times New Roman"/>
                <w:color w:val="FF0000"/>
                <w:sz w:val="18"/>
                <w:szCs w:val="18"/>
                <w:highlight w:val="none"/>
              </w:rPr>
            </w:pPr>
          </w:p>
        </w:tc>
      </w:tr>
      <w:tr w14:paraId="1B0A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32EDACE9">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1D091629">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49393D87">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14:paraId="246717AA">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3C68088B">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1033" w:type="dxa"/>
            <w:vAlign w:val="center"/>
          </w:tcPr>
          <w:p w14:paraId="249BBD74">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畜禽水产养殖体量较大</w:t>
            </w:r>
          </w:p>
        </w:tc>
        <w:tc>
          <w:tcPr>
            <w:tcW w:w="3134" w:type="dxa"/>
            <w:vAlign w:val="center"/>
          </w:tcPr>
          <w:p w14:paraId="2E592815">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①</w:t>
            </w:r>
            <w:r>
              <w:rPr>
                <w:rFonts w:hint="default" w:ascii="Times New Roman" w:hAnsi="Times New Roman" w:cs="Times New Roman"/>
                <w:color w:val="auto"/>
                <w:sz w:val="18"/>
                <w:szCs w:val="18"/>
                <w:highlight w:val="none"/>
              </w:rPr>
              <w:t>优化调整畜禽养殖布局，持续推进渔业绿色发展</w:t>
            </w:r>
            <w:r>
              <w:rPr>
                <w:rFonts w:hint="default" w:ascii="Times New Roman" w:hAnsi="Times New Roman" w:cs="Times New Roman"/>
                <w:color w:val="auto"/>
                <w:sz w:val="18"/>
                <w:szCs w:val="18"/>
                <w:highlight w:val="none"/>
                <w:lang w:val="en-US" w:eastAsia="zh-CN"/>
              </w:rPr>
              <w:t>；②</w:t>
            </w:r>
            <w:r>
              <w:rPr>
                <w:rFonts w:hint="default" w:ascii="Times New Roman" w:hAnsi="Times New Roman" w:cs="Times New Roman"/>
                <w:color w:val="auto"/>
                <w:sz w:val="18"/>
                <w:szCs w:val="18"/>
                <w:highlight w:val="none"/>
              </w:rPr>
              <w:t>推进养殖生产清洁化和产业模式生态化，加强畜禽粪污资源化利用</w:t>
            </w:r>
            <w:r>
              <w:rPr>
                <w:rFonts w:hint="default" w:ascii="Times New Roman" w:hAnsi="Times New Roman" w:cs="Times New Roman"/>
                <w:color w:val="auto"/>
                <w:sz w:val="18"/>
                <w:szCs w:val="18"/>
                <w:highlight w:val="none"/>
                <w:lang w:eastAsia="zh-CN"/>
              </w:rPr>
              <w:t>；③</w:t>
            </w:r>
            <w:r>
              <w:rPr>
                <w:rFonts w:hint="default" w:ascii="Times New Roman" w:hAnsi="Times New Roman" w:cs="Times New Roman"/>
                <w:color w:val="auto"/>
                <w:sz w:val="18"/>
                <w:szCs w:val="18"/>
                <w:highlight w:val="none"/>
              </w:rPr>
              <w:t>加强畜禽养殖环境监管</w:t>
            </w:r>
            <w:r>
              <w:rPr>
                <w:rFonts w:hint="eastAsia" w:cs="Times New Roman"/>
                <w:color w:val="auto"/>
                <w:sz w:val="18"/>
                <w:szCs w:val="18"/>
                <w:highlight w:val="none"/>
                <w:lang w:eastAsia="zh-CN"/>
              </w:rPr>
              <w:t>。</w:t>
            </w:r>
          </w:p>
        </w:tc>
        <w:tc>
          <w:tcPr>
            <w:tcW w:w="1242" w:type="dxa"/>
            <w:vAlign w:val="center"/>
          </w:tcPr>
          <w:p w14:paraId="5ACA0DDB">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县农业农村委、石耶镇</w:t>
            </w:r>
          </w:p>
        </w:tc>
        <w:tc>
          <w:tcPr>
            <w:tcW w:w="1177" w:type="dxa"/>
            <w:vAlign w:val="center"/>
          </w:tcPr>
          <w:p w14:paraId="60DD2362">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4B08D1DD">
            <w:pPr>
              <w:spacing w:line="0" w:lineRule="atLeast"/>
              <w:jc w:val="center"/>
              <w:rPr>
                <w:rFonts w:hint="default" w:ascii="Times New Roman" w:hAnsi="Times New Roman" w:cs="Times New Roman"/>
                <w:color w:val="FF0000"/>
                <w:sz w:val="18"/>
                <w:szCs w:val="18"/>
                <w:highlight w:val="none"/>
              </w:rPr>
            </w:pPr>
          </w:p>
        </w:tc>
      </w:tr>
      <w:tr w14:paraId="62F1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661F447C">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467194A4">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330FB6B3">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14:paraId="2F416A10">
            <w:pPr>
              <w:spacing w:line="0" w:lineRule="atLeast"/>
              <w:jc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kern w:val="0"/>
                <w:sz w:val="18"/>
                <w:szCs w:val="18"/>
                <w:highlight w:val="none"/>
              </w:rPr>
              <w:t>水环境治理</w:t>
            </w:r>
          </w:p>
        </w:tc>
        <w:tc>
          <w:tcPr>
            <w:tcW w:w="1708" w:type="dxa"/>
            <w:vAlign w:val="center"/>
          </w:tcPr>
          <w:p w14:paraId="15B80F4B">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部分居民水环境保护意识淡薄，倾倒垃圾入河</w:t>
            </w:r>
          </w:p>
        </w:tc>
        <w:tc>
          <w:tcPr>
            <w:tcW w:w="1033" w:type="dxa"/>
            <w:vAlign w:val="center"/>
          </w:tcPr>
          <w:p w14:paraId="459D51FD">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4BF7C1B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Times New Roman" w:hAnsi="Times New Roman" w:cs="Times New Roman"/>
                <w:color w:val="auto"/>
                <w:sz w:val="18"/>
                <w:szCs w:val="18"/>
                <w:highlight w:val="none"/>
                <w:lang w:val="en-US" w:eastAsia="zh-CN"/>
              </w:rPr>
              <w:t>加强日常清漂保洁</w:t>
            </w:r>
            <w:r>
              <w:rPr>
                <w:rFonts w:hint="eastAsia" w:cs="Times New Roman"/>
                <w:color w:val="auto"/>
                <w:sz w:val="18"/>
                <w:szCs w:val="18"/>
                <w:highlight w:val="none"/>
                <w:lang w:val="en-US" w:eastAsia="zh-CN"/>
              </w:rPr>
              <w:t>。</w:t>
            </w:r>
          </w:p>
        </w:tc>
        <w:tc>
          <w:tcPr>
            <w:tcW w:w="1242" w:type="dxa"/>
            <w:vAlign w:val="center"/>
          </w:tcPr>
          <w:p w14:paraId="5A4CED38">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石耶镇</w:t>
            </w:r>
          </w:p>
        </w:tc>
        <w:tc>
          <w:tcPr>
            <w:tcW w:w="1177" w:type="dxa"/>
            <w:vAlign w:val="center"/>
          </w:tcPr>
          <w:p w14:paraId="0E99105A">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28180FD9">
            <w:pPr>
              <w:spacing w:line="0" w:lineRule="atLeast"/>
              <w:jc w:val="center"/>
              <w:rPr>
                <w:rFonts w:hint="default" w:ascii="Times New Roman" w:hAnsi="Times New Roman" w:cs="Times New Roman"/>
                <w:color w:val="FF0000"/>
                <w:sz w:val="18"/>
                <w:szCs w:val="18"/>
                <w:highlight w:val="none"/>
              </w:rPr>
            </w:pPr>
          </w:p>
        </w:tc>
      </w:tr>
      <w:tr w14:paraId="283C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7F7856DC">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78A36C2B">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058F9946">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restart"/>
            <w:vAlign w:val="center"/>
          </w:tcPr>
          <w:p w14:paraId="1FC51CF7">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水生态修复</w:t>
            </w:r>
          </w:p>
        </w:tc>
        <w:tc>
          <w:tcPr>
            <w:tcW w:w="1708" w:type="dxa"/>
            <w:vAlign w:val="center"/>
          </w:tcPr>
          <w:p w14:paraId="556D11DA">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流域内存在水土流失情况</w:t>
            </w:r>
          </w:p>
        </w:tc>
        <w:tc>
          <w:tcPr>
            <w:tcW w:w="1033" w:type="dxa"/>
            <w:vAlign w:val="center"/>
          </w:tcPr>
          <w:p w14:paraId="0FE540FC">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全流域</w:t>
            </w:r>
          </w:p>
        </w:tc>
        <w:tc>
          <w:tcPr>
            <w:tcW w:w="3134" w:type="dxa"/>
            <w:vAlign w:val="center"/>
          </w:tcPr>
          <w:p w14:paraId="6C3D8022">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加强对现有林（草）植被和水土流失治理成果的管护，防止人为破坏。严格控制流域内的生产建设活动，防治人为新增水土流失。</w:t>
            </w:r>
          </w:p>
        </w:tc>
        <w:tc>
          <w:tcPr>
            <w:tcW w:w="1242" w:type="dxa"/>
            <w:vAlign w:val="center"/>
          </w:tcPr>
          <w:p w14:paraId="1594EB05">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县水利局、石耶镇</w:t>
            </w:r>
          </w:p>
        </w:tc>
        <w:tc>
          <w:tcPr>
            <w:tcW w:w="1177" w:type="dxa"/>
            <w:vAlign w:val="center"/>
          </w:tcPr>
          <w:p w14:paraId="18A3C122">
            <w:pPr>
              <w:spacing w:line="0" w:lineRule="atLeast"/>
              <w:jc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3649203D">
            <w:pPr>
              <w:spacing w:line="0" w:lineRule="atLeast"/>
              <w:jc w:val="center"/>
              <w:rPr>
                <w:rFonts w:hint="default" w:ascii="Times New Roman" w:hAnsi="Times New Roman" w:cs="Times New Roman"/>
                <w:color w:val="FF0000"/>
                <w:sz w:val="18"/>
                <w:szCs w:val="18"/>
                <w:highlight w:val="none"/>
              </w:rPr>
            </w:pPr>
          </w:p>
        </w:tc>
      </w:tr>
      <w:tr w14:paraId="511DB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69F9D9D7">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5CB37F08">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7237A5CF">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Merge w:val="continue"/>
            <w:vAlign w:val="center"/>
          </w:tcPr>
          <w:p w14:paraId="3F8C5007">
            <w:pPr>
              <w:spacing w:line="0" w:lineRule="atLeast"/>
              <w:jc w:val="center"/>
              <w:rPr>
                <w:rFonts w:hint="default" w:ascii="Times New Roman" w:hAnsi="Times New Roman" w:cs="Times New Roman"/>
                <w:color w:val="auto"/>
                <w:kern w:val="0"/>
                <w:sz w:val="18"/>
                <w:szCs w:val="18"/>
                <w:highlight w:val="none"/>
              </w:rPr>
            </w:pPr>
          </w:p>
        </w:tc>
        <w:tc>
          <w:tcPr>
            <w:tcW w:w="1708" w:type="dxa"/>
            <w:vAlign w:val="center"/>
          </w:tcPr>
          <w:p w14:paraId="1A2BD67B">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水生态系统修复工作亟需加强</w:t>
            </w:r>
          </w:p>
        </w:tc>
        <w:tc>
          <w:tcPr>
            <w:tcW w:w="1033" w:type="dxa"/>
            <w:vAlign w:val="center"/>
          </w:tcPr>
          <w:p w14:paraId="29C4F1D6">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eastAsia" w:ascii="宋体" w:hAnsi="宋体" w:eastAsia="宋体" w:cs="宋体"/>
                <w:i w:val="0"/>
                <w:iCs w:val="0"/>
                <w:color w:val="000000"/>
                <w:kern w:val="0"/>
                <w:sz w:val="21"/>
                <w:szCs w:val="21"/>
                <w:u w:val="none"/>
                <w:lang w:val="en-US" w:eastAsia="zh-CN" w:bidi="ar"/>
              </w:rPr>
              <w:t>甘溪沟河</w:t>
            </w:r>
            <w:r>
              <w:rPr>
                <w:rFonts w:hint="eastAsia" w:cs="Times New Roman"/>
                <w:color w:val="auto"/>
                <w:sz w:val="18"/>
                <w:szCs w:val="18"/>
                <w:highlight w:val="none"/>
                <w:lang w:val="en-US" w:eastAsia="zh-CN"/>
              </w:rPr>
              <w:t>干流</w:t>
            </w:r>
          </w:p>
        </w:tc>
        <w:tc>
          <w:tcPr>
            <w:tcW w:w="3134" w:type="dxa"/>
            <w:vAlign w:val="center"/>
          </w:tcPr>
          <w:p w14:paraId="3DED63BA">
            <w:pPr>
              <w:spacing w:line="0" w:lineRule="atLeast"/>
              <w:jc w:val="center"/>
              <w:textAlignment w:val="center"/>
              <w:rPr>
                <w:rFonts w:hint="default" w:ascii="Times New Roman" w:hAnsi="Times New Roman" w:cs="Times New Roman" w:eastAsiaTheme="minorEastAsia"/>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推进河库生态修复</w:t>
            </w:r>
            <w:r>
              <w:rPr>
                <w:rFonts w:hint="eastAsia" w:cs="Times New Roman"/>
                <w:color w:val="auto"/>
                <w:sz w:val="18"/>
                <w:szCs w:val="18"/>
                <w:highlight w:val="none"/>
                <w:lang w:val="en-US" w:eastAsia="zh-CN"/>
              </w:rPr>
              <w:t>。</w:t>
            </w:r>
          </w:p>
        </w:tc>
        <w:tc>
          <w:tcPr>
            <w:tcW w:w="1242" w:type="dxa"/>
            <w:vAlign w:val="center"/>
          </w:tcPr>
          <w:p w14:paraId="70D3E383">
            <w:pPr>
              <w:spacing w:line="0" w:lineRule="atLeast"/>
              <w:jc w:val="center"/>
              <w:textAlignment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县生态环境局、石耶镇</w:t>
            </w:r>
          </w:p>
        </w:tc>
        <w:tc>
          <w:tcPr>
            <w:tcW w:w="1177" w:type="dxa"/>
            <w:vAlign w:val="center"/>
          </w:tcPr>
          <w:p w14:paraId="6D0B869B">
            <w:pPr>
              <w:spacing w:line="0" w:lineRule="atLeast"/>
              <w:jc w:val="center"/>
              <w:rPr>
                <w:rFonts w:hint="eastAsia" w:ascii="Times New Roman" w:hAnsi="Times New Roman" w:cs="Times New Roman" w:eastAsiaTheme="minorEastAsia"/>
                <w:color w:val="auto"/>
                <w:kern w:val="2"/>
                <w:sz w:val="18"/>
                <w:szCs w:val="18"/>
                <w:highlight w:val="none"/>
                <w:lang w:val="en-US" w:eastAsia="zh-CN" w:bidi="ar-SA"/>
              </w:rPr>
            </w:pPr>
            <w:r>
              <w:rPr>
                <w:rFonts w:hint="eastAsia" w:cs="Times New Roman"/>
                <w:color w:val="auto"/>
                <w:sz w:val="18"/>
                <w:szCs w:val="18"/>
                <w:highlight w:val="none"/>
                <w:lang w:val="en-US" w:eastAsia="zh-CN"/>
              </w:rPr>
              <w:t>县</w:t>
            </w:r>
            <w:r>
              <w:rPr>
                <w:rFonts w:hint="default" w:ascii="Times New Roman" w:hAnsi="Times New Roman" w:cs="Times New Roman"/>
                <w:color w:val="auto"/>
                <w:sz w:val="18"/>
                <w:szCs w:val="18"/>
                <w:highlight w:val="none"/>
              </w:rPr>
              <w:t>财政局</w:t>
            </w:r>
          </w:p>
        </w:tc>
        <w:tc>
          <w:tcPr>
            <w:tcW w:w="1178" w:type="dxa"/>
            <w:vMerge w:val="continue"/>
            <w:vAlign w:val="center"/>
          </w:tcPr>
          <w:p w14:paraId="5F80E17F">
            <w:pPr>
              <w:spacing w:line="0" w:lineRule="atLeast"/>
              <w:jc w:val="center"/>
              <w:rPr>
                <w:rFonts w:hint="default" w:ascii="Times New Roman" w:hAnsi="Times New Roman" w:cs="Times New Roman"/>
                <w:color w:val="FF0000"/>
                <w:sz w:val="18"/>
                <w:szCs w:val="18"/>
                <w:highlight w:val="none"/>
              </w:rPr>
            </w:pPr>
          </w:p>
        </w:tc>
      </w:tr>
      <w:tr w14:paraId="13EA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Merge w:val="continue"/>
            <w:vAlign w:val="center"/>
          </w:tcPr>
          <w:p w14:paraId="58B69FE5">
            <w:pPr>
              <w:spacing w:line="0" w:lineRule="atLeast"/>
              <w:jc w:val="center"/>
              <w:rPr>
                <w:rFonts w:hint="default" w:ascii="Times New Roman" w:hAnsi="Times New Roman" w:cs="Times New Roman" w:eastAsiaTheme="minorEastAsia"/>
                <w:color w:val="FF0000"/>
                <w:kern w:val="0"/>
                <w:sz w:val="18"/>
                <w:szCs w:val="18"/>
                <w:highlight w:val="none"/>
                <w:lang w:val="en-US" w:eastAsia="zh-CN"/>
              </w:rPr>
            </w:pPr>
          </w:p>
        </w:tc>
        <w:tc>
          <w:tcPr>
            <w:tcW w:w="1041" w:type="dxa"/>
            <w:vMerge w:val="continue"/>
            <w:vAlign w:val="center"/>
          </w:tcPr>
          <w:p w14:paraId="45FFA77A">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140" w:type="dxa"/>
            <w:vMerge w:val="continue"/>
            <w:vAlign w:val="center"/>
          </w:tcPr>
          <w:p w14:paraId="782D74BF">
            <w:pPr>
              <w:spacing w:line="0" w:lineRule="atLeast"/>
              <w:jc w:val="center"/>
              <w:rPr>
                <w:rFonts w:hint="default" w:ascii="Times New Roman" w:hAnsi="Times New Roman" w:cs="Times New Roman"/>
                <w:color w:val="FF0000"/>
                <w:kern w:val="0"/>
                <w:sz w:val="18"/>
                <w:szCs w:val="18"/>
                <w:highlight w:val="none"/>
                <w:lang w:val="en-US" w:eastAsia="zh-CN"/>
              </w:rPr>
            </w:pPr>
          </w:p>
        </w:tc>
        <w:tc>
          <w:tcPr>
            <w:tcW w:w="1693" w:type="dxa"/>
            <w:vAlign w:val="center"/>
          </w:tcPr>
          <w:p w14:paraId="29D63CF0">
            <w:pPr>
              <w:spacing w:line="0" w:lineRule="atLeast"/>
              <w:jc w:val="center"/>
              <w:rPr>
                <w:rFonts w:hint="default" w:ascii="Times New Roman" w:hAnsi="Times New Roman" w:cs="Times New Roman" w:eastAsiaTheme="minorEastAsia"/>
                <w:color w:val="FF0000"/>
                <w:kern w:val="0"/>
                <w:sz w:val="18"/>
                <w:szCs w:val="18"/>
                <w:highlight w:val="none"/>
                <w:lang w:val="en-US" w:eastAsia="zh-CN" w:bidi="ar-SA"/>
              </w:rPr>
            </w:pPr>
            <w:r>
              <w:rPr>
                <w:rFonts w:hint="default" w:ascii="Times New Roman" w:hAnsi="Times New Roman" w:cs="Times New Roman"/>
                <w:color w:val="auto"/>
                <w:kern w:val="0"/>
                <w:sz w:val="18"/>
                <w:szCs w:val="18"/>
                <w:highlight w:val="none"/>
              </w:rPr>
              <w:t>执法监管</w:t>
            </w:r>
          </w:p>
        </w:tc>
        <w:tc>
          <w:tcPr>
            <w:tcW w:w="1708" w:type="dxa"/>
            <w:vAlign w:val="center"/>
          </w:tcPr>
          <w:p w14:paraId="404102D3">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投入经费少，没有稳定的工作经费渠道</w:t>
            </w:r>
          </w:p>
        </w:tc>
        <w:tc>
          <w:tcPr>
            <w:tcW w:w="1033" w:type="dxa"/>
            <w:vAlign w:val="center"/>
          </w:tcPr>
          <w:p w14:paraId="24080536">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全镇</w:t>
            </w:r>
          </w:p>
        </w:tc>
        <w:tc>
          <w:tcPr>
            <w:tcW w:w="3134" w:type="dxa"/>
            <w:vAlign w:val="center"/>
          </w:tcPr>
          <w:p w14:paraId="02508D76">
            <w:pPr>
              <w:spacing w:line="0" w:lineRule="atLeast"/>
              <w:jc w:val="center"/>
              <w:textAlignment w:val="center"/>
              <w:rPr>
                <w:rFonts w:hint="default" w:ascii="Times New Roman" w:hAnsi="Times New Roman" w:cs="Times New Roman" w:eastAsiaTheme="minorEastAsia"/>
                <w:color w:val="FF0000"/>
                <w:kern w:val="2"/>
                <w:sz w:val="18"/>
                <w:szCs w:val="18"/>
                <w:highlight w:val="none"/>
                <w:lang w:val="en-US" w:eastAsia="zh-CN" w:bidi="ar-SA"/>
              </w:rPr>
            </w:pPr>
            <w:r>
              <w:rPr>
                <w:rFonts w:hint="default" w:ascii="Times New Roman" w:hAnsi="Times New Roman" w:cs="Times New Roman"/>
                <w:color w:val="auto"/>
                <w:sz w:val="18"/>
                <w:szCs w:val="18"/>
                <w:highlight w:val="none"/>
              </w:rPr>
              <w:t>各级财政加大对全面推行河长制工作的经费投入，将河长制工作的日常经费列入本级财政预算。</w:t>
            </w:r>
          </w:p>
        </w:tc>
        <w:tc>
          <w:tcPr>
            <w:tcW w:w="1242" w:type="dxa"/>
            <w:vAlign w:val="center"/>
          </w:tcPr>
          <w:p w14:paraId="34AE7A08">
            <w:pPr>
              <w:spacing w:line="0" w:lineRule="atLeast"/>
              <w:jc w:val="center"/>
              <w:textAlignment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县河长办、石耶镇</w:t>
            </w:r>
          </w:p>
        </w:tc>
        <w:tc>
          <w:tcPr>
            <w:tcW w:w="1177" w:type="dxa"/>
            <w:vAlign w:val="center"/>
          </w:tcPr>
          <w:p w14:paraId="7F80790A">
            <w:pPr>
              <w:spacing w:line="0" w:lineRule="atLeast"/>
              <w:jc w:val="center"/>
              <w:rPr>
                <w:rFonts w:hint="eastAsia" w:ascii="Times New Roman" w:hAnsi="Times New Roman" w:cs="Times New Roman" w:eastAsiaTheme="minorEastAsia"/>
                <w:color w:val="FF0000"/>
                <w:kern w:val="2"/>
                <w:sz w:val="18"/>
                <w:szCs w:val="18"/>
                <w:highlight w:val="none"/>
                <w:lang w:val="en-US" w:eastAsia="zh-CN" w:bidi="ar-SA"/>
              </w:rPr>
            </w:pPr>
            <w:r>
              <w:rPr>
                <w:rFonts w:hint="eastAsia" w:cs="Times New Roman"/>
                <w:color w:val="auto"/>
                <w:sz w:val="18"/>
                <w:szCs w:val="18"/>
                <w:highlight w:val="none"/>
                <w:lang w:val="en-US" w:eastAsia="zh-CN"/>
              </w:rPr>
              <w:t>向上级争取</w:t>
            </w:r>
          </w:p>
        </w:tc>
        <w:tc>
          <w:tcPr>
            <w:tcW w:w="1178" w:type="dxa"/>
            <w:vMerge w:val="continue"/>
            <w:vAlign w:val="center"/>
          </w:tcPr>
          <w:p w14:paraId="4D93A94A">
            <w:pPr>
              <w:spacing w:line="0" w:lineRule="atLeast"/>
              <w:jc w:val="center"/>
              <w:rPr>
                <w:rFonts w:hint="default" w:ascii="Times New Roman" w:hAnsi="Times New Roman" w:cs="Times New Roman"/>
                <w:color w:val="FF0000"/>
                <w:sz w:val="18"/>
                <w:szCs w:val="18"/>
                <w:highlight w:val="none"/>
              </w:rPr>
            </w:pPr>
          </w:p>
        </w:tc>
      </w:tr>
    </w:tbl>
    <w:p w14:paraId="3E20E2C7">
      <w:pPr>
        <w:pStyle w:val="5"/>
        <w:ind w:left="0" w:leftChars="0" w:firstLine="0" w:firstLineChars="0"/>
        <w:rPr>
          <w:rFonts w:hint="eastAsia"/>
          <w:color w:val="auto"/>
          <w:highlight w:val="none"/>
          <w:lang w:val="en-US" w:eastAsia="zh-CN"/>
        </w:rPr>
        <w:sectPr>
          <w:pgSz w:w="16838" w:h="11905"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577"/>
        </w:sectPr>
      </w:pPr>
    </w:p>
    <w:p w14:paraId="2FA9F747">
      <w:pPr>
        <w:pStyle w:val="4"/>
        <w:numPr>
          <w:ilvl w:val="0"/>
          <w:numId w:val="0"/>
        </w:numPr>
        <w:spacing w:before="156" w:after="156"/>
        <w:ind w:leftChars="0"/>
        <w:rPr>
          <w:rFonts w:hint="eastAsia" w:eastAsia="华文中宋" w:cs="Times New Roman"/>
          <w:b/>
          <w:bCs/>
          <w:color w:val="auto"/>
          <w:sz w:val="24"/>
          <w:szCs w:val="24"/>
          <w:highlight w:val="none"/>
          <w:lang w:eastAsia="zh-CN"/>
        </w:rPr>
      </w:pPr>
      <w:bookmarkStart w:id="147" w:name="_Toc32264"/>
      <w:r>
        <w:rPr>
          <w:rFonts w:hint="eastAsia"/>
          <w:color w:val="auto"/>
          <w:highlight w:val="none"/>
          <w:lang w:val="en-US" w:eastAsia="zh-CN"/>
        </w:rPr>
        <w:t>10  附图</w:t>
      </w:r>
      <w:bookmarkEnd w:id="147"/>
    </w:p>
    <w:p w14:paraId="2425853B">
      <w:pPr>
        <w:pStyle w:val="6"/>
        <w:numPr>
          <w:ilvl w:val="1"/>
          <w:numId w:val="0"/>
        </w:numPr>
        <w:bidi w:val="0"/>
        <w:ind w:leftChars="0"/>
        <w:rPr>
          <w:rFonts w:hint="eastAsia"/>
          <w:color w:val="auto"/>
          <w:sz w:val="24"/>
          <w:szCs w:val="24"/>
          <w:lang w:val="en-US" w:eastAsia="zh-CN"/>
        </w:rPr>
      </w:pPr>
      <w:bookmarkStart w:id="148" w:name="_Toc25767"/>
      <w:r>
        <w:rPr>
          <w:rFonts w:hint="eastAsia"/>
          <w:color w:val="auto"/>
          <w:sz w:val="24"/>
          <w:szCs w:val="24"/>
          <w:lang w:eastAsia="zh-CN"/>
        </w:rPr>
        <w:t>附</w:t>
      </w:r>
      <w:r>
        <w:rPr>
          <w:rFonts w:hint="eastAsia"/>
          <w:color w:val="auto"/>
          <w:sz w:val="24"/>
          <w:szCs w:val="24"/>
          <w:lang w:val="en-US" w:eastAsia="zh-CN"/>
        </w:rPr>
        <w:t>图</w:t>
      </w:r>
      <w:r>
        <w:rPr>
          <w:rFonts w:hint="default"/>
          <w:color w:val="auto"/>
          <w:sz w:val="24"/>
          <w:szCs w:val="24"/>
          <w:lang w:val="en-US" w:eastAsia="zh-CN"/>
        </w:rPr>
        <w:t xml:space="preserve">1  </w:t>
      </w:r>
      <w:r>
        <w:rPr>
          <w:rFonts w:hint="eastAsia"/>
          <w:color w:val="auto"/>
          <w:sz w:val="24"/>
          <w:szCs w:val="24"/>
          <w:lang w:val="en-US" w:eastAsia="zh-CN"/>
        </w:rPr>
        <w:t>石耶镇河流水系图</w:t>
      </w:r>
      <w:bookmarkEnd w:id="148"/>
    </w:p>
    <w:p w14:paraId="131443DD">
      <w:pPr>
        <w:pStyle w:val="6"/>
        <w:numPr>
          <w:ilvl w:val="1"/>
          <w:numId w:val="0"/>
        </w:numPr>
        <w:bidi w:val="0"/>
        <w:ind w:leftChars="0"/>
        <w:rPr>
          <w:rFonts w:hint="default"/>
          <w:color w:val="auto"/>
          <w:lang w:val="en-US" w:eastAsia="zh-CN"/>
        </w:rPr>
      </w:pPr>
      <w:bookmarkStart w:id="149" w:name="_Toc3541"/>
      <w:r>
        <w:rPr>
          <w:rFonts w:hint="eastAsia"/>
          <w:color w:val="auto"/>
          <w:sz w:val="24"/>
          <w:szCs w:val="24"/>
          <w:lang w:eastAsia="zh-CN"/>
        </w:rPr>
        <w:t>附</w:t>
      </w:r>
      <w:r>
        <w:rPr>
          <w:rFonts w:hint="eastAsia"/>
          <w:color w:val="auto"/>
          <w:sz w:val="24"/>
          <w:szCs w:val="24"/>
          <w:lang w:val="en-US" w:eastAsia="zh-CN"/>
        </w:rPr>
        <w:t>图2</w:t>
      </w:r>
      <w:r>
        <w:rPr>
          <w:rFonts w:hint="default"/>
          <w:color w:val="auto"/>
          <w:sz w:val="24"/>
          <w:szCs w:val="24"/>
          <w:lang w:val="en-US" w:eastAsia="zh-CN"/>
        </w:rPr>
        <w:t xml:space="preserve">  </w:t>
      </w:r>
      <w:r>
        <w:rPr>
          <w:rFonts w:hint="eastAsia"/>
          <w:color w:val="auto"/>
          <w:sz w:val="24"/>
          <w:szCs w:val="24"/>
          <w:lang w:val="en-US" w:eastAsia="zh-CN"/>
        </w:rPr>
        <w:t>石耶镇河流主要问题及措施分布图</w:t>
      </w:r>
      <w:bookmarkEnd w:id="149"/>
    </w:p>
    <w:sectPr>
      <w:pgSz w:w="11905"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AndChars" w:linePitch="319" w:charSpace="171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方正仿宋_GBK">
    <w:panose1 w:val="02000000000000000000"/>
    <w:charset w:val="86"/>
    <w:family w:val="script"/>
    <w:pitch w:val="default"/>
    <w:sig w:usb0="A00002BF" w:usb1="38CF7CFA" w:usb2="00082016" w:usb3="00000000" w:csb0="00040001" w:csb1="0000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5CE17">
    <w:pPr>
      <w:pStyle w:val="16"/>
      <w:jc w:val="center"/>
      <w:rPr>
        <w:rFonts w:eastAsia="仿宋_GB2312" w:cs="Times New Roman"/>
        <w:sz w:val="22"/>
        <w:szCs w:val="22"/>
      </w:rPr>
    </w:pPr>
    <w:r>
      <w:rPr>
        <w:rFonts w:eastAsia="仿宋_GB2312" w:cs="Times New Roman"/>
        <w:sz w:val="22"/>
        <w:szCs w:val="22"/>
      </w:rPr>
      <w:fldChar w:fldCharType="begin"/>
    </w:r>
    <w:r>
      <w:rPr>
        <w:rFonts w:eastAsia="仿宋_GB2312" w:cs="Times New Roman"/>
        <w:sz w:val="22"/>
        <w:szCs w:val="22"/>
      </w:rPr>
      <w:instrText xml:space="preserve">PAGE   \* MERGEFORMAT</w:instrText>
    </w:r>
    <w:r>
      <w:rPr>
        <w:rFonts w:eastAsia="仿宋_GB2312" w:cs="Times New Roman"/>
        <w:sz w:val="22"/>
        <w:szCs w:val="22"/>
      </w:rPr>
      <w:fldChar w:fldCharType="separate"/>
    </w:r>
    <w:r>
      <w:rPr>
        <w:rFonts w:eastAsia="仿宋_GB2312" w:cs="Times New Roman"/>
        <w:sz w:val="22"/>
        <w:szCs w:val="22"/>
        <w:lang w:val="zh-CN"/>
      </w:rPr>
      <w:t>26</w:t>
    </w:r>
    <w:r>
      <w:rPr>
        <w:rFonts w:eastAsia="仿宋_GB2312" w:cs="Times New Roman"/>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1B5FA">
    <w:pPr>
      <w:pStyle w:val="16"/>
      <w:jc w:val="right"/>
      <w:rPr>
        <w:rFonts w:eastAsia="仿宋_GB2312" w:cs="Times New Roman"/>
        <w:sz w:val="22"/>
        <w:szCs w:val="22"/>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4D8255">
                          <w:pPr>
                            <w:pStyle w:val="16"/>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1C4D8255">
                    <w:pPr>
                      <w:pStyle w:val="16"/>
                    </w:pPr>
                    <w:r>
                      <w:fldChar w:fldCharType="begin"/>
                    </w:r>
                    <w:r>
                      <w:instrText xml:space="preserve"> PAGE  \* MERGEFORMAT </w:instrText>
                    </w:r>
                    <w:r>
                      <w:fldChar w:fldCharType="separate"/>
                    </w:r>
                    <w:r>
                      <w:t>I</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840DFA">
    <w:pPr>
      <w:pStyle w:val="17"/>
      <w:pBdr>
        <w:bottom w:val="none" w:color="auto" w:sz="0" w:space="1"/>
      </w:pBdr>
      <w:rPr>
        <w:rFonts w:hint="default" w:ascii="Times New Roman" w:hAnsi="Times New Roman"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F3F07">
    <w:pPr>
      <w:pStyle w:val="17"/>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重庆市</w:t>
    </w:r>
    <w:r>
      <w:rPr>
        <w:rFonts w:hint="eastAsia" w:eastAsia="宋体" w:cs="Times New Roman"/>
        <w:sz w:val="18"/>
        <w:szCs w:val="18"/>
        <w:lang w:val="en-US" w:eastAsia="zh-CN"/>
      </w:rPr>
      <w:t>秀山县石耶镇</w:t>
    </w:r>
    <w:r>
      <w:rPr>
        <w:rFonts w:hint="eastAsia" w:eastAsia="宋体" w:cs="Times New Roman"/>
        <w:sz w:val="18"/>
        <w:szCs w:val="18"/>
        <w:lang w:eastAsia="zh-CN"/>
      </w:rPr>
      <w:t>“</w:t>
    </w:r>
    <w:r>
      <w:rPr>
        <w:rFonts w:hint="default" w:ascii="Times New Roman" w:hAnsi="Times New Roman" w:eastAsia="宋体" w:cs="Times New Roman"/>
        <w:sz w:val="18"/>
        <w:szCs w:val="18"/>
      </w:rPr>
      <w:t>一</w:t>
    </w:r>
    <w:r>
      <w:rPr>
        <w:rFonts w:hint="eastAsia" w:eastAsia="宋体" w:cs="Times New Roman"/>
        <w:sz w:val="18"/>
        <w:szCs w:val="18"/>
        <w:lang w:val="en-US" w:eastAsia="zh-CN"/>
      </w:rPr>
      <w:t>河</w:t>
    </w:r>
    <w:r>
      <w:rPr>
        <w:rFonts w:hint="default" w:ascii="Times New Roman" w:hAnsi="Times New Roman" w:eastAsia="宋体" w:cs="Times New Roman"/>
        <w:sz w:val="18"/>
        <w:szCs w:val="18"/>
      </w:rPr>
      <w:t>一策</w:t>
    </w:r>
    <w:r>
      <w:rPr>
        <w:rFonts w:hint="eastAsia" w:eastAsia="宋体" w:cs="Times New Roman"/>
        <w:sz w:val="18"/>
        <w:szCs w:val="18"/>
        <w:lang w:eastAsia="zh-CN"/>
      </w:rPr>
      <w:t>”（</w:t>
    </w:r>
    <w:r>
      <w:rPr>
        <w:rFonts w:hint="eastAsia" w:eastAsia="宋体" w:cs="Times New Roman"/>
        <w:sz w:val="18"/>
        <w:szCs w:val="18"/>
        <w:lang w:val="en-US" w:eastAsia="zh-CN"/>
      </w:rPr>
      <w:t>2021-2025年</w:t>
    </w:r>
    <w:r>
      <w:rPr>
        <w:rFonts w:hint="eastAsia" w:eastAsia="宋体" w:cs="Times New Roman"/>
        <w:sz w:val="18"/>
        <w:szCs w:val="18"/>
        <w:lang w:eastAsia="zh-CN"/>
      </w:rPr>
      <w:t>）</w:t>
    </w:r>
    <w:r>
      <w:rPr>
        <w:rFonts w:hint="default" w:ascii="Times New Roman" w:hAnsi="Times New Roman" w:eastAsia="宋体" w:cs="Times New Roman"/>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7855EF"/>
    <w:multiLevelType w:val="multilevel"/>
    <w:tmpl w:val="AB7855EF"/>
    <w:lvl w:ilvl="0" w:tentative="0">
      <w:start w:val="1"/>
      <w:numFmt w:val="decimal"/>
      <w:pStyle w:val="4"/>
      <w:suff w:val="nothing"/>
      <w:lvlText w:val="%1"/>
      <w:lvlJc w:val="left"/>
      <w:pPr>
        <w:tabs>
          <w:tab w:val="left" w:pos="0"/>
        </w:tabs>
        <w:ind w:left="0" w:firstLine="0"/>
      </w:pPr>
      <w:rPr>
        <w:rFonts w:hint="default" w:ascii="Times New Roman" w:hAnsi="Times New Roman" w:eastAsia="宋体" w:cs="Times New Roman"/>
      </w:rPr>
    </w:lvl>
    <w:lvl w:ilvl="1" w:tentative="0">
      <w:start w:val="1"/>
      <w:numFmt w:val="decimal"/>
      <w:pStyle w:val="6"/>
      <w:suff w:val="space"/>
      <w:lvlText w:val="%1.%2"/>
      <w:lvlJc w:val="left"/>
      <w:pPr>
        <w:ind w:left="0" w:firstLine="0"/>
      </w:pPr>
      <w:rPr>
        <w:rFonts w:hint="eastAsia"/>
      </w:rPr>
    </w:lvl>
    <w:lvl w:ilvl="2" w:tentative="0">
      <w:start w:val="1"/>
      <w:numFmt w:val="decimal"/>
      <w:pStyle w:val="7"/>
      <w:suff w:val="space"/>
      <w:lvlText w:val="%1.%2.%3"/>
      <w:lvlJc w:val="left"/>
      <w:pPr>
        <w:ind w:left="0" w:firstLine="0"/>
      </w:pPr>
      <w:rPr>
        <w:rFonts w:hint="eastAsia"/>
      </w:rPr>
    </w:lvl>
    <w:lvl w:ilvl="3" w:tentative="0">
      <w:start w:val="1"/>
      <w:numFmt w:val="decimal"/>
      <w:pStyle w:val="8"/>
      <w:suff w:val="space"/>
      <w:lvlText w:val="%1.%2.%3.%4"/>
      <w:lvlJc w:val="left"/>
      <w:pPr>
        <w:ind w:left="0" w:firstLine="0"/>
      </w:pPr>
      <w:rPr>
        <w:rFonts w:hint="eastAsia"/>
      </w:rPr>
    </w:lvl>
    <w:lvl w:ilvl="4" w:tentative="0">
      <w:start w:val="1"/>
      <w:numFmt w:val="decimal"/>
      <w:pStyle w:val="9"/>
      <w:suff w:val="nothing"/>
      <w:lvlText w:val="（%5）"/>
      <w:lvlJc w:val="left"/>
      <w:pPr>
        <w:ind w:left="0" w:firstLine="0"/>
      </w:pPr>
      <w:rPr>
        <w:rFonts w:hint="eastAsia"/>
      </w:rPr>
    </w:lvl>
    <w:lvl w:ilvl="5" w:tentative="0">
      <w:start w:val="1"/>
      <w:numFmt w:val="decimal"/>
      <w:pStyle w:val="10"/>
      <w:suff w:val="nothing"/>
      <w:lvlText w:val="%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E6B3A5FF"/>
    <w:multiLevelType w:val="singleLevel"/>
    <w:tmpl w:val="E6B3A5FF"/>
    <w:lvl w:ilvl="0" w:tentative="0">
      <w:start w:val="1"/>
      <w:numFmt w:val="decimal"/>
      <w:suff w:val="nothing"/>
      <w:lvlText w:val="（%1）"/>
      <w:lvlJc w:val="left"/>
    </w:lvl>
  </w:abstractNum>
  <w:abstractNum w:abstractNumId="2">
    <w:nsid w:val="F6D932DB"/>
    <w:multiLevelType w:val="singleLevel"/>
    <w:tmpl w:val="F6D932DB"/>
    <w:lvl w:ilvl="0" w:tentative="0">
      <w:start w:val="1"/>
      <w:numFmt w:val="decimal"/>
      <w:suff w:val="nothing"/>
      <w:lvlText w:val="（%1）"/>
      <w:lvlJc w:val="left"/>
      <w:pPr>
        <w:ind w:left="-80"/>
      </w:pPr>
    </w:lvl>
  </w:abstractNum>
  <w:abstractNum w:abstractNumId="3">
    <w:nsid w:val="2C6CDE54"/>
    <w:multiLevelType w:val="singleLevel"/>
    <w:tmpl w:val="2C6CDE54"/>
    <w:lvl w:ilvl="0" w:tentative="0">
      <w:start w:val="1"/>
      <w:numFmt w:val="decimal"/>
      <w:suff w:val="nothing"/>
      <w:lvlText w:val="（%1）"/>
      <w:lvlJc w:val="left"/>
    </w:lvl>
  </w:abstractNum>
  <w:abstractNum w:abstractNumId="4">
    <w:nsid w:val="37A8B932"/>
    <w:multiLevelType w:val="singleLevel"/>
    <w:tmpl w:val="37A8B932"/>
    <w:lvl w:ilvl="0" w:tentative="0">
      <w:start w:val="1"/>
      <w:numFmt w:val="decimal"/>
      <w:suff w:val="nothing"/>
      <w:lvlText w:val="（%1）"/>
      <w:lvlJc w:val="left"/>
      <w:pPr>
        <w:ind w:left="-80"/>
      </w:pPr>
    </w:lvl>
  </w:abstractNum>
  <w:abstractNum w:abstractNumId="5">
    <w:nsid w:val="42E33B89"/>
    <w:multiLevelType w:val="multilevel"/>
    <w:tmpl w:val="42E33B89"/>
    <w:lvl w:ilvl="0" w:tentative="0">
      <w:start w:val="1"/>
      <w:numFmt w:val="decimal"/>
      <w:pStyle w:val="49"/>
      <w:suff w:val="space"/>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6">
    <w:nsid w:val="6D7323FB"/>
    <w:multiLevelType w:val="multilevel"/>
    <w:tmpl w:val="6D7323FB"/>
    <w:lvl w:ilvl="0" w:tentative="0">
      <w:start w:val="1"/>
      <w:numFmt w:val="decimal"/>
      <w:pStyle w:val="48"/>
      <w:suff w:val="nothing"/>
      <w:lvlText w:val="（%1）"/>
      <w:lvlJc w:val="left"/>
      <w:pPr>
        <w:ind w:left="0" w:firstLine="482"/>
      </w:pPr>
      <w:rPr>
        <w:rFonts w:hint="eastAsia"/>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7">
    <w:nsid w:val="720860F5"/>
    <w:multiLevelType w:val="multilevel"/>
    <w:tmpl w:val="720860F5"/>
    <w:lvl w:ilvl="0" w:tentative="0">
      <w:start w:val="1"/>
      <w:numFmt w:val="chineseCountingThousand"/>
      <w:pStyle w:val="51"/>
      <w:suff w:val="nothing"/>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8">
    <w:nsid w:val="72933778"/>
    <w:multiLevelType w:val="multilevel"/>
    <w:tmpl w:val="72933778"/>
    <w:lvl w:ilvl="0" w:tentative="0">
      <w:start w:val="1"/>
      <w:numFmt w:val="decimal"/>
      <w:pStyle w:val="50"/>
      <w:suff w:val="nothing"/>
      <w:lvlText w:val="%1、"/>
      <w:lvlJc w:val="left"/>
      <w:pPr>
        <w:ind w:left="0" w:firstLine="482"/>
      </w:pPr>
      <w:rPr>
        <w:rFonts w:hint="eastAsia"/>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num w:numId="1">
    <w:abstractNumId w:val="0"/>
  </w:num>
  <w:num w:numId="2">
    <w:abstractNumId w:val="6"/>
  </w:num>
  <w:num w:numId="3">
    <w:abstractNumId w:val="5"/>
  </w:num>
  <w:num w:numId="4">
    <w:abstractNumId w:val="8"/>
  </w:num>
  <w:num w:numId="5">
    <w:abstractNumId w:val="7"/>
  </w:num>
  <w:num w:numId="6">
    <w:abstractNumId w:val="3"/>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HorizontalSpacing w:val="109"/>
  <w:drawingGridVerticalSpacing w:val="159"/>
  <w:displayHorizontalDrawingGridEvery w:val="1"/>
  <w:displayVerticalDrawingGridEvery w:val="1"/>
  <w:noPunctuationKerning w:val="1"/>
  <w:characterSpacingControl w:val="compressPunctuation"/>
  <w:compat>
    <w:spaceForUL/>
    <w:balanceSingleByteDoubleByteWidth/>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llOGM0ZmI3NzJmZWI3YWUyMzFhYWYzOWQzNjEwNGUifQ=="/>
  </w:docVars>
  <w:rsids>
    <w:rsidRoot w:val="00AB021B"/>
    <w:rsid w:val="00086609"/>
    <w:rsid w:val="000A200A"/>
    <w:rsid w:val="000C271E"/>
    <w:rsid w:val="000F1E5C"/>
    <w:rsid w:val="00117FBA"/>
    <w:rsid w:val="001B507C"/>
    <w:rsid w:val="00211D81"/>
    <w:rsid w:val="00240E5B"/>
    <w:rsid w:val="002538BB"/>
    <w:rsid w:val="002B5117"/>
    <w:rsid w:val="002E4787"/>
    <w:rsid w:val="00334F8A"/>
    <w:rsid w:val="0038543A"/>
    <w:rsid w:val="004069F3"/>
    <w:rsid w:val="0045540B"/>
    <w:rsid w:val="004858F0"/>
    <w:rsid w:val="004C6352"/>
    <w:rsid w:val="00562116"/>
    <w:rsid w:val="005C0559"/>
    <w:rsid w:val="005E5498"/>
    <w:rsid w:val="00602F44"/>
    <w:rsid w:val="006150D3"/>
    <w:rsid w:val="00663991"/>
    <w:rsid w:val="006B44C8"/>
    <w:rsid w:val="00735202"/>
    <w:rsid w:val="00751751"/>
    <w:rsid w:val="007569DD"/>
    <w:rsid w:val="007B07DC"/>
    <w:rsid w:val="007D30D2"/>
    <w:rsid w:val="00817906"/>
    <w:rsid w:val="00835341"/>
    <w:rsid w:val="00846F81"/>
    <w:rsid w:val="00854605"/>
    <w:rsid w:val="008873F2"/>
    <w:rsid w:val="008A0B33"/>
    <w:rsid w:val="008E542E"/>
    <w:rsid w:val="00920CCE"/>
    <w:rsid w:val="009909B6"/>
    <w:rsid w:val="00AB021B"/>
    <w:rsid w:val="00B5042E"/>
    <w:rsid w:val="00B64426"/>
    <w:rsid w:val="00B677C0"/>
    <w:rsid w:val="00B80420"/>
    <w:rsid w:val="00BB331B"/>
    <w:rsid w:val="00BC20C1"/>
    <w:rsid w:val="00BF5136"/>
    <w:rsid w:val="00C257D7"/>
    <w:rsid w:val="00C76D61"/>
    <w:rsid w:val="00C972FB"/>
    <w:rsid w:val="00CB1175"/>
    <w:rsid w:val="00D3394F"/>
    <w:rsid w:val="00D63F71"/>
    <w:rsid w:val="00DB53AA"/>
    <w:rsid w:val="00DB6073"/>
    <w:rsid w:val="00DD1BD3"/>
    <w:rsid w:val="00DE46BA"/>
    <w:rsid w:val="00DF1040"/>
    <w:rsid w:val="00DF5793"/>
    <w:rsid w:val="00E028A3"/>
    <w:rsid w:val="00E07511"/>
    <w:rsid w:val="00E270D9"/>
    <w:rsid w:val="00E52B19"/>
    <w:rsid w:val="00E723A1"/>
    <w:rsid w:val="00E7313B"/>
    <w:rsid w:val="00FC6530"/>
    <w:rsid w:val="00FF0099"/>
    <w:rsid w:val="01022B23"/>
    <w:rsid w:val="011263E6"/>
    <w:rsid w:val="01244155"/>
    <w:rsid w:val="012C352B"/>
    <w:rsid w:val="012C70CB"/>
    <w:rsid w:val="016B00E9"/>
    <w:rsid w:val="01770E1F"/>
    <w:rsid w:val="017B358E"/>
    <w:rsid w:val="018C528C"/>
    <w:rsid w:val="01A20FAE"/>
    <w:rsid w:val="01CC2AA1"/>
    <w:rsid w:val="01D85389"/>
    <w:rsid w:val="02101D71"/>
    <w:rsid w:val="02603340"/>
    <w:rsid w:val="026978B9"/>
    <w:rsid w:val="027139D8"/>
    <w:rsid w:val="029A34DC"/>
    <w:rsid w:val="02B05498"/>
    <w:rsid w:val="02B2453A"/>
    <w:rsid w:val="02DB1A1D"/>
    <w:rsid w:val="02F23AB7"/>
    <w:rsid w:val="03022852"/>
    <w:rsid w:val="031F2FB7"/>
    <w:rsid w:val="032F25EE"/>
    <w:rsid w:val="033E309B"/>
    <w:rsid w:val="034B49BF"/>
    <w:rsid w:val="038F2A99"/>
    <w:rsid w:val="03902052"/>
    <w:rsid w:val="03951EDD"/>
    <w:rsid w:val="03A91074"/>
    <w:rsid w:val="03C32AAB"/>
    <w:rsid w:val="03CF546D"/>
    <w:rsid w:val="03F3295C"/>
    <w:rsid w:val="03F54CD6"/>
    <w:rsid w:val="03F70B72"/>
    <w:rsid w:val="04001ADA"/>
    <w:rsid w:val="040C054D"/>
    <w:rsid w:val="041F22B9"/>
    <w:rsid w:val="04291867"/>
    <w:rsid w:val="042E093C"/>
    <w:rsid w:val="043A4C16"/>
    <w:rsid w:val="04437EB2"/>
    <w:rsid w:val="047D7A3A"/>
    <w:rsid w:val="047E4CAC"/>
    <w:rsid w:val="04AC27DF"/>
    <w:rsid w:val="04B24B61"/>
    <w:rsid w:val="04FA25EB"/>
    <w:rsid w:val="051131F7"/>
    <w:rsid w:val="05523FB0"/>
    <w:rsid w:val="055B4D38"/>
    <w:rsid w:val="05721FBE"/>
    <w:rsid w:val="05B120E4"/>
    <w:rsid w:val="05B22337"/>
    <w:rsid w:val="05CC2FC1"/>
    <w:rsid w:val="05E02438"/>
    <w:rsid w:val="05F706FD"/>
    <w:rsid w:val="05F93F4C"/>
    <w:rsid w:val="060A7856"/>
    <w:rsid w:val="061A441E"/>
    <w:rsid w:val="06285EDF"/>
    <w:rsid w:val="062B1BE0"/>
    <w:rsid w:val="064D7907"/>
    <w:rsid w:val="0672404C"/>
    <w:rsid w:val="06B928CE"/>
    <w:rsid w:val="06CE0B88"/>
    <w:rsid w:val="06D832D5"/>
    <w:rsid w:val="06FB1094"/>
    <w:rsid w:val="071C5B37"/>
    <w:rsid w:val="07386C51"/>
    <w:rsid w:val="0770632C"/>
    <w:rsid w:val="077F0D53"/>
    <w:rsid w:val="07980928"/>
    <w:rsid w:val="07A720DD"/>
    <w:rsid w:val="07DC4016"/>
    <w:rsid w:val="07E27987"/>
    <w:rsid w:val="07E31935"/>
    <w:rsid w:val="07F139E4"/>
    <w:rsid w:val="080456B9"/>
    <w:rsid w:val="0819463B"/>
    <w:rsid w:val="081A502D"/>
    <w:rsid w:val="081F60DC"/>
    <w:rsid w:val="082B631B"/>
    <w:rsid w:val="083858E4"/>
    <w:rsid w:val="084B4FFC"/>
    <w:rsid w:val="08631F14"/>
    <w:rsid w:val="088C26D0"/>
    <w:rsid w:val="08A4386D"/>
    <w:rsid w:val="08B26A06"/>
    <w:rsid w:val="08B632BE"/>
    <w:rsid w:val="09087643"/>
    <w:rsid w:val="090B5072"/>
    <w:rsid w:val="090F2648"/>
    <w:rsid w:val="09347CC6"/>
    <w:rsid w:val="093635C0"/>
    <w:rsid w:val="093E0388"/>
    <w:rsid w:val="094F1F94"/>
    <w:rsid w:val="09570A24"/>
    <w:rsid w:val="096E55DB"/>
    <w:rsid w:val="0984112F"/>
    <w:rsid w:val="09873526"/>
    <w:rsid w:val="09882481"/>
    <w:rsid w:val="09B70F1C"/>
    <w:rsid w:val="09C10751"/>
    <w:rsid w:val="09DA6BDB"/>
    <w:rsid w:val="09E75A89"/>
    <w:rsid w:val="09EF7D1E"/>
    <w:rsid w:val="09FC756C"/>
    <w:rsid w:val="0A2971C9"/>
    <w:rsid w:val="0A322E22"/>
    <w:rsid w:val="0A3C300B"/>
    <w:rsid w:val="0A6A1E19"/>
    <w:rsid w:val="0A847A69"/>
    <w:rsid w:val="0A881AB7"/>
    <w:rsid w:val="0A993258"/>
    <w:rsid w:val="0AAE28E3"/>
    <w:rsid w:val="0ADB2493"/>
    <w:rsid w:val="0AF56EF1"/>
    <w:rsid w:val="0AFB133F"/>
    <w:rsid w:val="0B275F8D"/>
    <w:rsid w:val="0B422BD9"/>
    <w:rsid w:val="0B671EB8"/>
    <w:rsid w:val="0B686D88"/>
    <w:rsid w:val="0B757730"/>
    <w:rsid w:val="0BA337E3"/>
    <w:rsid w:val="0BFF3A88"/>
    <w:rsid w:val="0C4922B1"/>
    <w:rsid w:val="0C5515A3"/>
    <w:rsid w:val="0C941CE8"/>
    <w:rsid w:val="0C9820FE"/>
    <w:rsid w:val="0C996B48"/>
    <w:rsid w:val="0CBD14B6"/>
    <w:rsid w:val="0CD21CA1"/>
    <w:rsid w:val="0CDA7691"/>
    <w:rsid w:val="0D1161A2"/>
    <w:rsid w:val="0D27500A"/>
    <w:rsid w:val="0D6F0F7D"/>
    <w:rsid w:val="0D9C2732"/>
    <w:rsid w:val="0DFD64E0"/>
    <w:rsid w:val="0E017D57"/>
    <w:rsid w:val="0E0E4A2C"/>
    <w:rsid w:val="0E2474D6"/>
    <w:rsid w:val="0E5D74A9"/>
    <w:rsid w:val="0EA25139"/>
    <w:rsid w:val="0EA462A5"/>
    <w:rsid w:val="0ED33B1F"/>
    <w:rsid w:val="0EE037B6"/>
    <w:rsid w:val="0F037C96"/>
    <w:rsid w:val="0F434E7B"/>
    <w:rsid w:val="0F667122"/>
    <w:rsid w:val="0F6D5879"/>
    <w:rsid w:val="0F6E0CA5"/>
    <w:rsid w:val="0F6E1AB8"/>
    <w:rsid w:val="0F811269"/>
    <w:rsid w:val="0F87638F"/>
    <w:rsid w:val="0FAC00CD"/>
    <w:rsid w:val="0FAF7A32"/>
    <w:rsid w:val="0FC67508"/>
    <w:rsid w:val="0FE64335"/>
    <w:rsid w:val="0FEC1DEC"/>
    <w:rsid w:val="101E73EC"/>
    <w:rsid w:val="1022422F"/>
    <w:rsid w:val="105D3308"/>
    <w:rsid w:val="106974E7"/>
    <w:rsid w:val="10BF3255"/>
    <w:rsid w:val="10F32838"/>
    <w:rsid w:val="112B18EC"/>
    <w:rsid w:val="117D2C04"/>
    <w:rsid w:val="11AB5D5E"/>
    <w:rsid w:val="11D1056A"/>
    <w:rsid w:val="11D461D8"/>
    <w:rsid w:val="11F60644"/>
    <w:rsid w:val="11F64B9A"/>
    <w:rsid w:val="120C2CF4"/>
    <w:rsid w:val="1222433F"/>
    <w:rsid w:val="124406C4"/>
    <w:rsid w:val="1257109A"/>
    <w:rsid w:val="12751AD4"/>
    <w:rsid w:val="12B062EA"/>
    <w:rsid w:val="12B0656F"/>
    <w:rsid w:val="12CD4BF7"/>
    <w:rsid w:val="12F01496"/>
    <w:rsid w:val="12F82EF8"/>
    <w:rsid w:val="133268A9"/>
    <w:rsid w:val="134D7E98"/>
    <w:rsid w:val="139D749D"/>
    <w:rsid w:val="13AC63AB"/>
    <w:rsid w:val="13B26991"/>
    <w:rsid w:val="13BE6F11"/>
    <w:rsid w:val="13CE198B"/>
    <w:rsid w:val="13CF6144"/>
    <w:rsid w:val="13E75675"/>
    <w:rsid w:val="13E95A93"/>
    <w:rsid w:val="13F875B7"/>
    <w:rsid w:val="14126B1A"/>
    <w:rsid w:val="1439098F"/>
    <w:rsid w:val="14565C69"/>
    <w:rsid w:val="14685617"/>
    <w:rsid w:val="147538DD"/>
    <w:rsid w:val="147A467D"/>
    <w:rsid w:val="147B7ACA"/>
    <w:rsid w:val="14B539F5"/>
    <w:rsid w:val="14DE42F0"/>
    <w:rsid w:val="14EB7C83"/>
    <w:rsid w:val="14F97C89"/>
    <w:rsid w:val="15056DF3"/>
    <w:rsid w:val="15076942"/>
    <w:rsid w:val="150A0D8A"/>
    <w:rsid w:val="15146A71"/>
    <w:rsid w:val="151C5804"/>
    <w:rsid w:val="153F28A0"/>
    <w:rsid w:val="15593564"/>
    <w:rsid w:val="155C5462"/>
    <w:rsid w:val="15895B54"/>
    <w:rsid w:val="15950775"/>
    <w:rsid w:val="15A8347D"/>
    <w:rsid w:val="15AC12FA"/>
    <w:rsid w:val="15AC5F23"/>
    <w:rsid w:val="15EA22E0"/>
    <w:rsid w:val="15F52E69"/>
    <w:rsid w:val="16313180"/>
    <w:rsid w:val="1635477B"/>
    <w:rsid w:val="163B372C"/>
    <w:rsid w:val="1668162B"/>
    <w:rsid w:val="168078E3"/>
    <w:rsid w:val="16D83BF8"/>
    <w:rsid w:val="16F5310D"/>
    <w:rsid w:val="17012EF2"/>
    <w:rsid w:val="17172D11"/>
    <w:rsid w:val="171E4844"/>
    <w:rsid w:val="17455609"/>
    <w:rsid w:val="174C0397"/>
    <w:rsid w:val="17602554"/>
    <w:rsid w:val="1766498D"/>
    <w:rsid w:val="178C2A19"/>
    <w:rsid w:val="178F5EB8"/>
    <w:rsid w:val="179368FF"/>
    <w:rsid w:val="17A85EFE"/>
    <w:rsid w:val="17B246DF"/>
    <w:rsid w:val="17BF0D02"/>
    <w:rsid w:val="17C5260F"/>
    <w:rsid w:val="17C91193"/>
    <w:rsid w:val="17CF5F8B"/>
    <w:rsid w:val="17D37AB7"/>
    <w:rsid w:val="17EA462C"/>
    <w:rsid w:val="17FA4049"/>
    <w:rsid w:val="18203B5A"/>
    <w:rsid w:val="182949BD"/>
    <w:rsid w:val="182C2CC4"/>
    <w:rsid w:val="1856667D"/>
    <w:rsid w:val="18766386"/>
    <w:rsid w:val="18A77D21"/>
    <w:rsid w:val="18B44C62"/>
    <w:rsid w:val="18CE1025"/>
    <w:rsid w:val="18EC7D07"/>
    <w:rsid w:val="18F22D6E"/>
    <w:rsid w:val="19287384"/>
    <w:rsid w:val="192B0FE6"/>
    <w:rsid w:val="193A5249"/>
    <w:rsid w:val="19401A7C"/>
    <w:rsid w:val="194912C7"/>
    <w:rsid w:val="194A3F95"/>
    <w:rsid w:val="199D58A8"/>
    <w:rsid w:val="19A15094"/>
    <w:rsid w:val="19B67284"/>
    <w:rsid w:val="19D04EC3"/>
    <w:rsid w:val="19D63090"/>
    <w:rsid w:val="19EF4FDB"/>
    <w:rsid w:val="1A215730"/>
    <w:rsid w:val="1A2A1C67"/>
    <w:rsid w:val="1A2E101D"/>
    <w:rsid w:val="1A5829E4"/>
    <w:rsid w:val="1A711CE9"/>
    <w:rsid w:val="1A904385"/>
    <w:rsid w:val="1AC41B83"/>
    <w:rsid w:val="1AC55FDD"/>
    <w:rsid w:val="1AE10504"/>
    <w:rsid w:val="1AEB4388"/>
    <w:rsid w:val="1B062ED6"/>
    <w:rsid w:val="1B0F5C21"/>
    <w:rsid w:val="1B122764"/>
    <w:rsid w:val="1B1E4963"/>
    <w:rsid w:val="1B5C60FE"/>
    <w:rsid w:val="1B611F00"/>
    <w:rsid w:val="1B687090"/>
    <w:rsid w:val="1B6F6EE6"/>
    <w:rsid w:val="1BB61537"/>
    <w:rsid w:val="1BC24821"/>
    <w:rsid w:val="1BD23F5C"/>
    <w:rsid w:val="1BDC0A66"/>
    <w:rsid w:val="1BF230C2"/>
    <w:rsid w:val="1BF47B43"/>
    <w:rsid w:val="1C095CBB"/>
    <w:rsid w:val="1C3C1A89"/>
    <w:rsid w:val="1C5A2B88"/>
    <w:rsid w:val="1CA03693"/>
    <w:rsid w:val="1CB55902"/>
    <w:rsid w:val="1CB62415"/>
    <w:rsid w:val="1CBA7499"/>
    <w:rsid w:val="1CC50897"/>
    <w:rsid w:val="1CD03EAB"/>
    <w:rsid w:val="1CEC5579"/>
    <w:rsid w:val="1CF12A08"/>
    <w:rsid w:val="1D4233B0"/>
    <w:rsid w:val="1D614871"/>
    <w:rsid w:val="1D6254FC"/>
    <w:rsid w:val="1D8A091C"/>
    <w:rsid w:val="1DAC61B0"/>
    <w:rsid w:val="1DB94FC9"/>
    <w:rsid w:val="1DC30B74"/>
    <w:rsid w:val="1DCB7F1C"/>
    <w:rsid w:val="1DD23DF0"/>
    <w:rsid w:val="1DE976B6"/>
    <w:rsid w:val="1E0D7417"/>
    <w:rsid w:val="1E26792B"/>
    <w:rsid w:val="1E374ED2"/>
    <w:rsid w:val="1E50099A"/>
    <w:rsid w:val="1E50384F"/>
    <w:rsid w:val="1E517541"/>
    <w:rsid w:val="1E885DB4"/>
    <w:rsid w:val="1E945BB0"/>
    <w:rsid w:val="1EA129B5"/>
    <w:rsid w:val="1EB25D59"/>
    <w:rsid w:val="1EB57B34"/>
    <w:rsid w:val="1EB72991"/>
    <w:rsid w:val="1ED35A1F"/>
    <w:rsid w:val="1ED4082F"/>
    <w:rsid w:val="1EEA57AE"/>
    <w:rsid w:val="1EEF55EA"/>
    <w:rsid w:val="1F3C3D88"/>
    <w:rsid w:val="1F523578"/>
    <w:rsid w:val="1F555601"/>
    <w:rsid w:val="1F6336CF"/>
    <w:rsid w:val="1F93689C"/>
    <w:rsid w:val="1F9A4CCC"/>
    <w:rsid w:val="1F9B71EC"/>
    <w:rsid w:val="1FB34E4C"/>
    <w:rsid w:val="1FDA6170"/>
    <w:rsid w:val="1FDD7C37"/>
    <w:rsid w:val="1FE74650"/>
    <w:rsid w:val="1FFD10B3"/>
    <w:rsid w:val="200100F5"/>
    <w:rsid w:val="20162D60"/>
    <w:rsid w:val="201B4B46"/>
    <w:rsid w:val="20251C34"/>
    <w:rsid w:val="203C0664"/>
    <w:rsid w:val="203C0BC8"/>
    <w:rsid w:val="203D15EA"/>
    <w:rsid w:val="2041670A"/>
    <w:rsid w:val="205916FC"/>
    <w:rsid w:val="20A00289"/>
    <w:rsid w:val="20A25C5E"/>
    <w:rsid w:val="20C705E7"/>
    <w:rsid w:val="20DF71D4"/>
    <w:rsid w:val="210D23AB"/>
    <w:rsid w:val="2111133E"/>
    <w:rsid w:val="212E506E"/>
    <w:rsid w:val="2133056D"/>
    <w:rsid w:val="21483367"/>
    <w:rsid w:val="215E4417"/>
    <w:rsid w:val="21744240"/>
    <w:rsid w:val="217C4E91"/>
    <w:rsid w:val="21973481"/>
    <w:rsid w:val="21CC3AF4"/>
    <w:rsid w:val="21E32373"/>
    <w:rsid w:val="21ED2EAE"/>
    <w:rsid w:val="222D4811"/>
    <w:rsid w:val="22447FF2"/>
    <w:rsid w:val="227B5E7A"/>
    <w:rsid w:val="22951DAE"/>
    <w:rsid w:val="22BC1831"/>
    <w:rsid w:val="22DC071B"/>
    <w:rsid w:val="22DF1306"/>
    <w:rsid w:val="23000DE0"/>
    <w:rsid w:val="231071D7"/>
    <w:rsid w:val="23202C84"/>
    <w:rsid w:val="232C55EE"/>
    <w:rsid w:val="234115FE"/>
    <w:rsid w:val="23465893"/>
    <w:rsid w:val="237F12B4"/>
    <w:rsid w:val="238025D1"/>
    <w:rsid w:val="23820DF2"/>
    <w:rsid w:val="23890A1A"/>
    <w:rsid w:val="238D1F90"/>
    <w:rsid w:val="23AD350B"/>
    <w:rsid w:val="23B32188"/>
    <w:rsid w:val="23B735E8"/>
    <w:rsid w:val="23F935AA"/>
    <w:rsid w:val="24264856"/>
    <w:rsid w:val="24632549"/>
    <w:rsid w:val="24691844"/>
    <w:rsid w:val="24863440"/>
    <w:rsid w:val="248A417F"/>
    <w:rsid w:val="248C1234"/>
    <w:rsid w:val="24A6633B"/>
    <w:rsid w:val="24EE7ACA"/>
    <w:rsid w:val="24FB064E"/>
    <w:rsid w:val="25121275"/>
    <w:rsid w:val="25215BA3"/>
    <w:rsid w:val="25320F67"/>
    <w:rsid w:val="25487AD3"/>
    <w:rsid w:val="255141A5"/>
    <w:rsid w:val="25706409"/>
    <w:rsid w:val="258B3A01"/>
    <w:rsid w:val="25C5271D"/>
    <w:rsid w:val="25E1155A"/>
    <w:rsid w:val="25E20B4F"/>
    <w:rsid w:val="25EA2D01"/>
    <w:rsid w:val="25F01B72"/>
    <w:rsid w:val="25F628F5"/>
    <w:rsid w:val="260A52D3"/>
    <w:rsid w:val="261D4D25"/>
    <w:rsid w:val="2645609E"/>
    <w:rsid w:val="26517340"/>
    <w:rsid w:val="2661779C"/>
    <w:rsid w:val="26642DBD"/>
    <w:rsid w:val="266C0646"/>
    <w:rsid w:val="267A7315"/>
    <w:rsid w:val="26961D72"/>
    <w:rsid w:val="26B21916"/>
    <w:rsid w:val="26E03DA9"/>
    <w:rsid w:val="26F342B1"/>
    <w:rsid w:val="27157CB1"/>
    <w:rsid w:val="2723706C"/>
    <w:rsid w:val="2745719A"/>
    <w:rsid w:val="275502F1"/>
    <w:rsid w:val="275C4458"/>
    <w:rsid w:val="277D1310"/>
    <w:rsid w:val="277E3C5C"/>
    <w:rsid w:val="278954F5"/>
    <w:rsid w:val="27971374"/>
    <w:rsid w:val="279C0FBF"/>
    <w:rsid w:val="27DE3725"/>
    <w:rsid w:val="27F925B7"/>
    <w:rsid w:val="28062763"/>
    <w:rsid w:val="281566DC"/>
    <w:rsid w:val="28237473"/>
    <w:rsid w:val="282A2AD6"/>
    <w:rsid w:val="28591442"/>
    <w:rsid w:val="28852445"/>
    <w:rsid w:val="28902B6A"/>
    <w:rsid w:val="28AF654E"/>
    <w:rsid w:val="28BF6A3E"/>
    <w:rsid w:val="290B336C"/>
    <w:rsid w:val="290B4D2D"/>
    <w:rsid w:val="29186D00"/>
    <w:rsid w:val="291E255C"/>
    <w:rsid w:val="29356826"/>
    <w:rsid w:val="29540FD1"/>
    <w:rsid w:val="29647ED0"/>
    <w:rsid w:val="29970281"/>
    <w:rsid w:val="29C5036A"/>
    <w:rsid w:val="29C72CCE"/>
    <w:rsid w:val="29CF1F1B"/>
    <w:rsid w:val="29D32715"/>
    <w:rsid w:val="29E335E5"/>
    <w:rsid w:val="29EB2229"/>
    <w:rsid w:val="29F11B4E"/>
    <w:rsid w:val="2A1F2ECB"/>
    <w:rsid w:val="2A313DA6"/>
    <w:rsid w:val="2A4B401F"/>
    <w:rsid w:val="2A5D06A5"/>
    <w:rsid w:val="2A6051C8"/>
    <w:rsid w:val="2AAA0138"/>
    <w:rsid w:val="2ABC2942"/>
    <w:rsid w:val="2ACD14CE"/>
    <w:rsid w:val="2ACE0549"/>
    <w:rsid w:val="2AD90D50"/>
    <w:rsid w:val="2ADC23DA"/>
    <w:rsid w:val="2AF90EF1"/>
    <w:rsid w:val="2AFB0C3B"/>
    <w:rsid w:val="2B0F0AB4"/>
    <w:rsid w:val="2B44738A"/>
    <w:rsid w:val="2B807EFE"/>
    <w:rsid w:val="2B891E26"/>
    <w:rsid w:val="2B8D5B70"/>
    <w:rsid w:val="2B8E0875"/>
    <w:rsid w:val="2B97531F"/>
    <w:rsid w:val="2BA25BC0"/>
    <w:rsid w:val="2BAA2F89"/>
    <w:rsid w:val="2BAB3486"/>
    <w:rsid w:val="2BAD686B"/>
    <w:rsid w:val="2BCC50C3"/>
    <w:rsid w:val="2BCC6B8D"/>
    <w:rsid w:val="2BD603E2"/>
    <w:rsid w:val="2BDB4694"/>
    <w:rsid w:val="2C6D0032"/>
    <w:rsid w:val="2C77380A"/>
    <w:rsid w:val="2C9F5DF9"/>
    <w:rsid w:val="2CA50175"/>
    <w:rsid w:val="2CAB1D04"/>
    <w:rsid w:val="2CFA6037"/>
    <w:rsid w:val="2D036DF0"/>
    <w:rsid w:val="2D1F36B7"/>
    <w:rsid w:val="2D4054B1"/>
    <w:rsid w:val="2D5F0348"/>
    <w:rsid w:val="2D653470"/>
    <w:rsid w:val="2D6F4868"/>
    <w:rsid w:val="2D975486"/>
    <w:rsid w:val="2DA06BCF"/>
    <w:rsid w:val="2DA26454"/>
    <w:rsid w:val="2DC64FC0"/>
    <w:rsid w:val="2E0553F2"/>
    <w:rsid w:val="2E0970AE"/>
    <w:rsid w:val="2E122E7D"/>
    <w:rsid w:val="2E165609"/>
    <w:rsid w:val="2E217D00"/>
    <w:rsid w:val="2E2355E6"/>
    <w:rsid w:val="2E2D5C59"/>
    <w:rsid w:val="2E941DBA"/>
    <w:rsid w:val="2EE42176"/>
    <w:rsid w:val="2EE443C1"/>
    <w:rsid w:val="2F134CD6"/>
    <w:rsid w:val="2F1F30B8"/>
    <w:rsid w:val="2F346F77"/>
    <w:rsid w:val="2F3B63E3"/>
    <w:rsid w:val="2F410D52"/>
    <w:rsid w:val="2F60337B"/>
    <w:rsid w:val="2F607824"/>
    <w:rsid w:val="2F6E0487"/>
    <w:rsid w:val="2F943F8D"/>
    <w:rsid w:val="2FF12B40"/>
    <w:rsid w:val="2FF9247B"/>
    <w:rsid w:val="2FFB5665"/>
    <w:rsid w:val="300D31CC"/>
    <w:rsid w:val="301D7FBA"/>
    <w:rsid w:val="306814BC"/>
    <w:rsid w:val="306B3624"/>
    <w:rsid w:val="30760DD4"/>
    <w:rsid w:val="3093408B"/>
    <w:rsid w:val="3094105A"/>
    <w:rsid w:val="30AE4CDC"/>
    <w:rsid w:val="30DB28F4"/>
    <w:rsid w:val="30DD01AC"/>
    <w:rsid w:val="31214260"/>
    <w:rsid w:val="31605610"/>
    <w:rsid w:val="31680642"/>
    <w:rsid w:val="319F412C"/>
    <w:rsid w:val="31C875C5"/>
    <w:rsid w:val="31DD49D6"/>
    <w:rsid w:val="31E67F8E"/>
    <w:rsid w:val="31F514CC"/>
    <w:rsid w:val="31F9354C"/>
    <w:rsid w:val="320D44B1"/>
    <w:rsid w:val="320F0632"/>
    <w:rsid w:val="32250850"/>
    <w:rsid w:val="322C0745"/>
    <w:rsid w:val="3234688F"/>
    <w:rsid w:val="323C02DA"/>
    <w:rsid w:val="323E3756"/>
    <w:rsid w:val="32575D64"/>
    <w:rsid w:val="326D407A"/>
    <w:rsid w:val="326E4CD7"/>
    <w:rsid w:val="328B7BF4"/>
    <w:rsid w:val="329E1EBD"/>
    <w:rsid w:val="32B91BBF"/>
    <w:rsid w:val="32D75CB6"/>
    <w:rsid w:val="32E17ED5"/>
    <w:rsid w:val="32F42049"/>
    <w:rsid w:val="33361EBC"/>
    <w:rsid w:val="33577282"/>
    <w:rsid w:val="33642717"/>
    <w:rsid w:val="339C56D3"/>
    <w:rsid w:val="33EF2030"/>
    <w:rsid w:val="341C25F7"/>
    <w:rsid w:val="34244C6E"/>
    <w:rsid w:val="3444279C"/>
    <w:rsid w:val="344713B5"/>
    <w:rsid w:val="3461241E"/>
    <w:rsid w:val="34832505"/>
    <w:rsid w:val="348B69CC"/>
    <w:rsid w:val="34AA0894"/>
    <w:rsid w:val="34D01F93"/>
    <w:rsid w:val="34FD2807"/>
    <w:rsid w:val="35037B28"/>
    <w:rsid w:val="351E2383"/>
    <w:rsid w:val="35235517"/>
    <w:rsid w:val="35586334"/>
    <w:rsid w:val="35785139"/>
    <w:rsid w:val="35B23A2C"/>
    <w:rsid w:val="35D50EF4"/>
    <w:rsid w:val="35DC2632"/>
    <w:rsid w:val="35F41B99"/>
    <w:rsid w:val="36657270"/>
    <w:rsid w:val="366822FA"/>
    <w:rsid w:val="366D61DC"/>
    <w:rsid w:val="3685424A"/>
    <w:rsid w:val="36A26C08"/>
    <w:rsid w:val="36A61457"/>
    <w:rsid w:val="36CA74D8"/>
    <w:rsid w:val="36E06897"/>
    <w:rsid w:val="36FB0AC4"/>
    <w:rsid w:val="37046DD7"/>
    <w:rsid w:val="37050DB2"/>
    <w:rsid w:val="370A313E"/>
    <w:rsid w:val="372058E1"/>
    <w:rsid w:val="37263773"/>
    <w:rsid w:val="372D6AA3"/>
    <w:rsid w:val="37313B78"/>
    <w:rsid w:val="375B6075"/>
    <w:rsid w:val="37601E1F"/>
    <w:rsid w:val="37715546"/>
    <w:rsid w:val="37927B93"/>
    <w:rsid w:val="37B1152D"/>
    <w:rsid w:val="37BB2D65"/>
    <w:rsid w:val="37D75BB6"/>
    <w:rsid w:val="37E114F9"/>
    <w:rsid w:val="37F7609B"/>
    <w:rsid w:val="38166F80"/>
    <w:rsid w:val="381E022B"/>
    <w:rsid w:val="382163D4"/>
    <w:rsid w:val="38513B03"/>
    <w:rsid w:val="388D1DB0"/>
    <w:rsid w:val="38926163"/>
    <w:rsid w:val="38933548"/>
    <w:rsid w:val="38B06C70"/>
    <w:rsid w:val="38BA6CFF"/>
    <w:rsid w:val="38D73A66"/>
    <w:rsid w:val="38D857C2"/>
    <w:rsid w:val="39031D63"/>
    <w:rsid w:val="39101760"/>
    <w:rsid w:val="39467247"/>
    <w:rsid w:val="39530723"/>
    <w:rsid w:val="39853A1E"/>
    <w:rsid w:val="3993731D"/>
    <w:rsid w:val="39A60603"/>
    <w:rsid w:val="39D34DD8"/>
    <w:rsid w:val="39D93942"/>
    <w:rsid w:val="39EC0809"/>
    <w:rsid w:val="39F97536"/>
    <w:rsid w:val="3A0C71D3"/>
    <w:rsid w:val="3A19365A"/>
    <w:rsid w:val="3A204B01"/>
    <w:rsid w:val="3A644A0E"/>
    <w:rsid w:val="3A707EFE"/>
    <w:rsid w:val="3A8426A6"/>
    <w:rsid w:val="3A8524AC"/>
    <w:rsid w:val="3AA26EAF"/>
    <w:rsid w:val="3AB16BC1"/>
    <w:rsid w:val="3AB95351"/>
    <w:rsid w:val="3ACF33FE"/>
    <w:rsid w:val="3ACF6151"/>
    <w:rsid w:val="3AD4651B"/>
    <w:rsid w:val="3AE55E20"/>
    <w:rsid w:val="3AF22831"/>
    <w:rsid w:val="3AF80AAA"/>
    <w:rsid w:val="3AFA0966"/>
    <w:rsid w:val="3B17254B"/>
    <w:rsid w:val="3B28279D"/>
    <w:rsid w:val="3B2C0C15"/>
    <w:rsid w:val="3B302A22"/>
    <w:rsid w:val="3B402291"/>
    <w:rsid w:val="3B655883"/>
    <w:rsid w:val="3B705612"/>
    <w:rsid w:val="3B7C6D50"/>
    <w:rsid w:val="3B9F45ED"/>
    <w:rsid w:val="3BA36931"/>
    <w:rsid w:val="3BC97A6B"/>
    <w:rsid w:val="3BD9141E"/>
    <w:rsid w:val="3C122210"/>
    <w:rsid w:val="3C187720"/>
    <w:rsid w:val="3C1C4A10"/>
    <w:rsid w:val="3C5E101D"/>
    <w:rsid w:val="3C6B68B2"/>
    <w:rsid w:val="3C774404"/>
    <w:rsid w:val="3C8E324A"/>
    <w:rsid w:val="3C913A54"/>
    <w:rsid w:val="3C975890"/>
    <w:rsid w:val="3CAD7714"/>
    <w:rsid w:val="3CC146A8"/>
    <w:rsid w:val="3CC939EF"/>
    <w:rsid w:val="3CED4810"/>
    <w:rsid w:val="3CF7473E"/>
    <w:rsid w:val="3D141934"/>
    <w:rsid w:val="3D1C0117"/>
    <w:rsid w:val="3D46478B"/>
    <w:rsid w:val="3D5B4668"/>
    <w:rsid w:val="3D7E1630"/>
    <w:rsid w:val="3DB42CFD"/>
    <w:rsid w:val="3DBF20E3"/>
    <w:rsid w:val="3DE9732D"/>
    <w:rsid w:val="3E160FB9"/>
    <w:rsid w:val="3E1767C4"/>
    <w:rsid w:val="3E176CED"/>
    <w:rsid w:val="3E4E2E22"/>
    <w:rsid w:val="3E5365C9"/>
    <w:rsid w:val="3E592D8E"/>
    <w:rsid w:val="3E916110"/>
    <w:rsid w:val="3E9448DC"/>
    <w:rsid w:val="3EA46FBF"/>
    <w:rsid w:val="3ECD0E3D"/>
    <w:rsid w:val="3ED34A8C"/>
    <w:rsid w:val="3EDF1E51"/>
    <w:rsid w:val="3EEE133D"/>
    <w:rsid w:val="3EFF62FE"/>
    <w:rsid w:val="3F310DFB"/>
    <w:rsid w:val="3F430F46"/>
    <w:rsid w:val="3F4C18DD"/>
    <w:rsid w:val="3F605D9D"/>
    <w:rsid w:val="3F777433"/>
    <w:rsid w:val="3F891221"/>
    <w:rsid w:val="3F9747A6"/>
    <w:rsid w:val="3FA75966"/>
    <w:rsid w:val="3FB31235"/>
    <w:rsid w:val="3FD76AB3"/>
    <w:rsid w:val="3FDB476A"/>
    <w:rsid w:val="3FFF78E1"/>
    <w:rsid w:val="40232ECA"/>
    <w:rsid w:val="40411B35"/>
    <w:rsid w:val="404D24EB"/>
    <w:rsid w:val="40593BA1"/>
    <w:rsid w:val="406A69CD"/>
    <w:rsid w:val="40712F2B"/>
    <w:rsid w:val="408328B1"/>
    <w:rsid w:val="408E7288"/>
    <w:rsid w:val="40AA3C25"/>
    <w:rsid w:val="40B21E24"/>
    <w:rsid w:val="40CF05E7"/>
    <w:rsid w:val="40EB7BF2"/>
    <w:rsid w:val="40FF0B0E"/>
    <w:rsid w:val="41023481"/>
    <w:rsid w:val="411D7016"/>
    <w:rsid w:val="411E58A2"/>
    <w:rsid w:val="412764CC"/>
    <w:rsid w:val="413E601E"/>
    <w:rsid w:val="414766AB"/>
    <w:rsid w:val="41541909"/>
    <w:rsid w:val="415C2051"/>
    <w:rsid w:val="41773C08"/>
    <w:rsid w:val="417C0FF5"/>
    <w:rsid w:val="419A7F97"/>
    <w:rsid w:val="41E718E5"/>
    <w:rsid w:val="41E73378"/>
    <w:rsid w:val="41F06EF6"/>
    <w:rsid w:val="41FE4B63"/>
    <w:rsid w:val="420867E3"/>
    <w:rsid w:val="420F034A"/>
    <w:rsid w:val="42156705"/>
    <w:rsid w:val="42167FA6"/>
    <w:rsid w:val="42180D6D"/>
    <w:rsid w:val="42260F97"/>
    <w:rsid w:val="422E614E"/>
    <w:rsid w:val="426E359C"/>
    <w:rsid w:val="42736B17"/>
    <w:rsid w:val="42F82C52"/>
    <w:rsid w:val="43085036"/>
    <w:rsid w:val="432B5177"/>
    <w:rsid w:val="43425F66"/>
    <w:rsid w:val="43520935"/>
    <w:rsid w:val="43621F3B"/>
    <w:rsid w:val="437732DE"/>
    <w:rsid w:val="43A904F6"/>
    <w:rsid w:val="43C90FCD"/>
    <w:rsid w:val="43DD2D18"/>
    <w:rsid w:val="43E559FA"/>
    <w:rsid w:val="440808A5"/>
    <w:rsid w:val="44111D45"/>
    <w:rsid w:val="441721F5"/>
    <w:rsid w:val="44187B26"/>
    <w:rsid w:val="445F2E76"/>
    <w:rsid w:val="446C14AD"/>
    <w:rsid w:val="44A0368E"/>
    <w:rsid w:val="44C05400"/>
    <w:rsid w:val="44E2344D"/>
    <w:rsid w:val="450B2FC9"/>
    <w:rsid w:val="45253BCD"/>
    <w:rsid w:val="45493ACD"/>
    <w:rsid w:val="456551F5"/>
    <w:rsid w:val="45664350"/>
    <w:rsid w:val="45685AED"/>
    <w:rsid w:val="45760120"/>
    <w:rsid w:val="45782D63"/>
    <w:rsid w:val="45937381"/>
    <w:rsid w:val="45973DF3"/>
    <w:rsid w:val="459C4AF7"/>
    <w:rsid w:val="45A916F0"/>
    <w:rsid w:val="45DE1093"/>
    <w:rsid w:val="45FD106D"/>
    <w:rsid w:val="46027FFA"/>
    <w:rsid w:val="461B4FCE"/>
    <w:rsid w:val="46423EF8"/>
    <w:rsid w:val="4643040C"/>
    <w:rsid w:val="46571925"/>
    <w:rsid w:val="465876A7"/>
    <w:rsid w:val="46A015EE"/>
    <w:rsid w:val="46A7296B"/>
    <w:rsid w:val="46B84F29"/>
    <w:rsid w:val="46C86D3D"/>
    <w:rsid w:val="46CD1D1D"/>
    <w:rsid w:val="470274EC"/>
    <w:rsid w:val="47037734"/>
    <w:rsid w:val="470C046F"/>
    <w:rsid w:val="472811A3"/>
    <w:rsid w:val="474D283D"/>
    <w:rsid w:val="47584C74"/>
    <w:rsid w:val="477765CF"/>
    <w:rsid w:val="47AC79A5"/>
    <w:rsid w:val="47B40AB0"/>
    <w:rsid w:val="47C54077"/>
    <w:rsid w:val="47CE3DFE"/>
    <w:rsid w:val="47D20405"/>
    <w:rsid w:val="47E019EB"/>
    <w:rsid w:val="47E12577"/>
    <w:rsid w:val="47F0749A"/>
    <w:rsid w:val="480718AA"/>
    <w:rsid w:val="4826373E"/>
    <w:rsid w:val="483300A0"/>
    <w:rsid w:val="48830F37"/>
    <w:rsid w:val="489F26A9"/>
    <w:rsid w:val="48AB3CD5"/>
    <w:rsid w:val="48B55D43"/>
    <w:rsid w:val="48B660DD"/>
    <w:rsid w:val="48C65016"/>
    <w:rsid w:val="48C7461B"/>
    <w:rsid w:val="48D74B3F"/>
    <w:rsid w:val="48EC6F2A"/>
    <w:rsid w:val="48EE2422"/>
    <w:rsid w:val="48FB66C9"/>
    <w:rsid w:val="490D4C38"/>
    <w:rsid w:val="490D5AAD"/>
    <w:rsid w:val="491B4513"/>
    <w:rsid w:val="49814CE4"/>
    <w:rsid w:val="498166B1"/>
    <w:rsid w:val="498C5CA5"/>
    <w:rsid w:val="49B67522"/>
    <w:rsid w:val="49CE5608"/>
    <w:rsid w:val="4A0731AE"/>
    <w:rsid w:val="4A1013B1"/>
    <w:rsid w:val="4A6B42CF"/>
    <w:rsid w:val="4A7832D6"/>
    <w:rsid w:val="4A872041"/>
    <w:rsid w:val="4AA543B7"/>
    <w:rsid w:val="4AE71734"/>
    <w:rsid w:val="4AE87C03"/>
    <w:rsid w:val="4B161019"/>
    <w:rsid w:val="4B2421DA"/>
    <w:rsid w:val="4B675541"/>
    <w:rsid w:val="4B772740"/>
    <w:rsid w:val="4B820229"/>
    <w:rsid w:val="4B9C7743"/>
    <w:rsid w:val="4BA253EA"/>
    <w:rsid w:val="4BA53156"/>
    <w:rsid w:val="4BBF548D"/>
    <w:rsid w:val="4BCE0980"/>
    <w:rsid w:val="4C0111EE"/>
    <w:rsid w:val="4C1F0636"/>
    <w:rsid w:val="4C455FD4"/>
    <w:rsid w:val="4C496D6A"/>
    <w:rsid w:val="4C53637A"/>
    <w:rsid w:val="4C5D21C1"/>
    <w:rsid w:val="4C8740B6"/>
    <w:rsid w:val="4C933206"/>
    <w:rsid w:val="4C9F2EB6"/>
    <w:rsid w:val="4CBD2DC0"/>
    <w:rsid w:val="4CCA5B25"/>
    <w:rsid w:val="4CDA4811"/>
    <w:rsid w:val="4CDB0239"/>
    <w:rsid w:val="4CDE5ABD"/>
    <w:rsid w:val="4CE40018"/>
    <w:rsid w:val="4CFA0A2E"/>
    <w:rsid w:val="4D2340C2"/>
    <w:rsid w:val="4D253E9F"/>
    <w:rsid w:val="4D3F706D"/>
    <w:rsid w:val="4D743C32"/>
    <w:rsid w:val="4D842D9F"/>
    <w:rsid w:val="4D8972B7"/>
    <w:rsid w:val="4D8A170E"/>
    <w:rsid w:val="4D90214E"/>
    <w:rsid w:val="4DB5381E"/>
    <w:rsid w:val="4DBB2717"/>
    <w:rsid w:val="4DCA0C4D"/>
    <w:rsid w:val="4DDC6C9E"/>
    <w:rsid w:val="4DFD6E2B"/>
    <w:rsid w:val="4E1E2778"/>
    <w:rsid w:val="4E2243BB"/>
    <w:rsid w:val="4E77179F"/>
    <w:rsid w:val="4E771889"/>
    <w:rsid w:val="4E782172"/>
    <w:rsid w:val="4E8E3B65"/>
    <w:rsid w:val="4EC37FFB"/>
    <w:rsid w:val="4EDD4162"/>
    <w:rsid w:val="4EDE54FD"/>
    <w:rsid w:val="4EFA33EE"/>
    <w:rsid w:val="4F2D2048"/>
    <w:rsid w:val="4F3240DC"/>
    <w:rsid w:val="4F3B4EF7"/>
    <w:rsid w:val="4F4C768D"/>
    <w:rsid w:val="4F5C2AC8"/>
    <w:rsid w:val="4F841FD9"/>
    <w:rsid w:val="4FB12F83"/>
    <w:rsid w:val="4FCA4B28"/>
    <w:rsid w:val="4FCA4D6D"/>
    <w:rsid w:val="4FE35C01"/>
    <w:rsid w:val="502F4CB0"/>
    <w:rsid w:val="50406BF4"/>
    <w:rsid w:val="504165DA"/>
    <w:rsid w:val="50856BCD"/>
    <w:rsid w:val="509B6C35"/>
    <w:rsid w:val="50A11F38"/>
    <w:rsid w:val="50A4657D"/>
    <w:rsid w:val="50F91772"/>
    <w:rsid w:val="51037C7B"/>
    <w:rsid w:val="51134CE4"/>
    <w:rsid w:val="511B63C9"/>
    <w:rsid w:val="51402386"/>
    <w:rsid w:val="514506F3"/>
    <w:rsid w:val="515249EC"/>
    <w:rsid w:val="51576A87"/>
    <w:rsid w:val="5161781E"/>
    <w:rsid w:val="5164744D"/>
    <w:rsid w:val="518B6358"/>
    <w:rsid w:val="51A4146E"/>
    <w:rsid w:val="51C7783C"/>
    <w:rsid w:val="51E23592"/>
    <w:rsid w:val="51F13BF2"/>
    <w:rsid w:val="51F331AE"/>
    <w:rsid w:val="520C644C"/>
    <w:rsid w:val="52113B29"/>
    <w:rsid w:val="52183F04"/>
    <w:rsid w:val="523D6645"/>
    <w:rsid w:val="525B271D"/>
    <w:rsid w:val="526404B7"/>
    <w:rsid w:val="529F1D21"/>
    <w:rsid w:val="52B27796"/>
    <w:rsid w:val="52B50C50"/>
    <w:rsid w:val="52CA5CD8"/>
    <w:rsid w:val="52DB0FA8"/>
    <w:rsid w:val="52EF3F81"/>
    <w:rsid w:val="53202D52"/>
    <w:rsid w:val="53325074"/>
    <w:rsid w:val="53526167"/>
    <w:rsid w:val="53593D9D"/>
    <w:rsid w:val="53814269"/>
    <w:rsid w:val="5384032E"/>
    <w:rsid w:val="53A203B7"/>
    <w:rsid w:val="53A43998"/>
    <w:rsid w:val="53AC358C"/>
    <w:rsid w:val="53AC5007"/>
    <w:rsid w:val="53C246AF"/>
    <w:rsid w:val="53DC0580"/>
    <w:rsid w:val="53E93358"/>
    <w:rsid w:val="53FD2E70"/>
    <w:rsid w:val="541C736E"/>
    <w:rsid w:val="543A5E67"/>
    <w:rsid w:val="54514615"/>
    <w:rsid w:val="54554F3A"/>
    <w:rsid w:val="5489370F"/>
    <w:rsid w:val="548B20FB"/>
    <w:rsid w:val="54A25276"/>
    <w:rsid w:val="54A62045"/>
    <w:rsid w:val="54AC5A6C"/>
    <w:rsid w:val="54C82F35"/>
    <w:rsid w:val="54CD4948"/>
    <w:rsid w:val="54D3569E"/>
    <w:rsid w:val="54DB5F15"/>
    <w:rsid w:val="54F659C5"/>
    <w:rsid w:val="550013CC"/>
    <w:rsid w:val="551478AD"/>
    <w:rsid w:val="55312765"/>
    <w:rsid w:val="55322562"/>
    <w:rsid w:val="55370D32"/>
    <w:rsid w:val="5557568C"/>
    <w:rsid w:val="559B72DC"/>
    <w:rsid w:val="55FA1645"/>
    <w:rsid w:val="561C1747"/>
    <w:rsid w:val="5628361C"/>
    <w:rsid w:val="564D3C20"/>
    <w:rsid w:val="56703323"/>
    <w:rsid w:val="56967583"/>
    <w:rsid w:val="56B32639"/>
    <w:rsid w:val="56CC7668"/>
    <w:rsid w:val="56E15E2E"/>
    <w:rsid w:val="56ED2AC5"/>
    <w:rsid w:val="574845AD"/>
    <w:rsid w:val="57823B7D"/>
    <w:rsid w:val="57856F62"/>
    <w:rsid w:val="578C25B0"/>
    <w:rsid w:val="57B950A1"/>
    <w:rsid w:val="57C70088"/>
    <w:rsid w:val="57CC62FA"/>
    <w:rsid w:val="57EE6C30"/>
    <w:rsid w:val="580073CC"/>
    <w:rsid w:val="5808455E"/>
    <w:rsid w:val="582F2E67"/>
    <w:rsid w:val="58315C57"/>
    <w:rsid w:val="584F22AF"/>
    <w:rsid w:val="58540FEB"/>
    <w:rsid w:val="58644E3D"/>
    <w:rsid w:val="587712D7"/>
    <w:rsid w:val="589442EE"/>
    <w:rsid w:val="589A341C"/>
    <w:rsid w:val="58A06343"/>
    <w:rsid w:val="58C6092E"/>
    <w:rsid w:val="58DD4CF9"/>
    <w:rsid w:val="58E64FFB"/>
    <w:rsid w:val="58EF1D9E"/>
    <w:rsid w:val="591128E2"/>
    <w:rsid w:val="591568BD"/>
    <w:rsid w:val="59220ADC"/>
    <w:rsid w:val="592C41DE"/>
    <w:rsid w:val="594D2094"/>
    <w:rsid w:val="594D4A2B"/>
    <w:rsid w:val="5959492E"/>
    <w:rsid w:val="595F5A03"/>
    <w:rsid w:val="59871E0A"/>
    <w:rsid w:val="598C0688"/>
    <w:rsid w:val="59934482"/>
    <w:rsid w:val="599B1883"/>
    <w:rsid w:val="59A14EEF"/>
    <w:rsid w:val="59BC68A9"/>
    <w:rsid w:val="5A177118"/>
    <w:rsid w:val="5A291509"/>
    <w:rsid w:val="5A4430D0"/>
    <w:rsid w:val="5A5678AA"/>
    <w:rsid w:val="5A624E33"/>
    <w:rsid w:val="5A687822"/>
    <w:rsid w:val="5A69000F"/>
    <w:rsid w:val="5A751489"/>
    <w:rsid w:val="5AC42DF6"/>
    <w:rsid w:val="5AD600FE"/>
    <w:rsid w:val="5AD721C5"/>
    <w:rsid w:val="5B0B63C9"/>
    <w:rsid w:val="5B0C592C"/>
    <w:rsid w:val="5B256E98"/>
    <w:rsid w:val="5B3A5844"/>
    <w:rsid w:val="5B626D84"/>
    <w:rsid w:val="5B72702B"/>
    <w:rsid w:val="5B9E139D"/>
    <w:rsid w:val="5BA727F4"/>
    <w:rsid w:val="5BBE1098"/>
    <w:rsid w:val="5BE14CE5"/>
    <w:rsid w:val="5C143CD8"/>
    <w:rsid w:val="5C237A56"/>
    <w:rsid w:val="5C49532E"/>
    <w:rsid w:val="5C4F1546"/>
    <w:rsid w:val="5C521EC2"/>
    <w:rsid w:val="5C611D6C"/>
    <w:rsid w:val="5C830886"/>
    <w:rsid w:val="5C865E32"/>
    <w:rsid w:val="5CBF2190"/>
    <w:rsid w:val="5CD022AD"/>
    <w:rsid w:val="5CDC62C6"/>
    <w:rsid w:val="5CE07304"/>
    <w:rsid w:val="5CFB0C63"/>
    <w:rsid w:val="5D1C5711"/>
    <w:rsid w:val="5D391664"/>
    <w:rsid w:val="5D3A606D"/>
    <w:rsid w:val="5D866FAB"/>
    <w:rsid w:val="5D974780"/>
    <w:rsid w:val="5DAA1321"/>
    <w:rsid w:val="5DBA2EE5"/>
    <w:rsid w:val="5DC61E56"/>
    <w:rsid w:val="5DFB7F73"/>
    <w:rsid w:val="5E080787"/>
    <w:rsid w:val="5E1438A6"/>
    <w:rsid w:val="5E2E7257"/>
    <w:rsid w:val="5E410C60"/>
    <w:rsid w:val="5E542986"/>
    <w:rsid w:val="5E6B10E7"/>
    <w:rsid w:val="5E6C56AF"/>
    <w:rsid w:val="5E785D17"/>
    <w:rsid w:val="5E797E70"/>
    <w:rsid w:val="5E8E0D24"/>
    <w:rsid w:val="5EB46B23"/>
    <w:rsid w:val="5EBE6501"/>
    <w:rsid w:val="5ED261DA"/>
    <w:rsid w:val="5EE26A97"/>
    <w:rsid w:val="5EE44C5E"/>
    <w:rsid w:val="5EEB68DE"/>
    <w:rsid w:val="5EF32B93"/>
    <w:rsid w:val="5F061384"/>
    <w:rsid w:val="5F19201A"/>
    <w:rsid w:val="5F2E3323"/>
    <w:rsid w:val="5F3338D2"/>
    <w:rsid w:val="5F4036AE"/>
    <w:rsid w:val="5F4844AC"/>
    <w:rsid w:val="5F606919"/>
    <w:rsid w:val="5F722EEC"/>
    <w:rsid w:val="5F853BB4"/>
    <w:rsid w:val="5FB36DAC"/>
    <w:rsid w:val="5FC04257"/>
    <w:rsid w:val="5FCF42C7"/>
    <w:rsid w:val="5FD40E56"/>
    <w:rsid w:val="5FE106A5"/>
    <w:rsid w:val="5FF303A1"/>
    <w:rsid w:val="601271AB"/>
    <w:rsid w:val="60237891"/>
    <w:rsid w:val="602B3103"/>
    <w:rsid w:val="604751DF"/>
    <w:rsid w:val="604A2551"/>
    <w:rsid w:val="605557A3"/>
    <w:rsid w:val="60584758"/>
    <w:rsid w:val="606D154F"/>
    <w:rsid w:val="606E2FEB"/>
    <w:rsid w:val="60741B56"/>
    <w:rsid w:val="608331ED"/>
    <w:rsid w:val="608D61D3"/>
    <w:rsid w:val="608F204E"/>
    <w:rsid w:val="6090128B"/>
    <w:rsid w:val="60970B81"/>
    <w:rsid w:val="60A03595"/>
    <w:rsid w:val="60A172BD"/>
    <w:rsid w:val="60AA02EE"/>
    <w:rsid w:val="60AE6BBC"/>
    <w:rsid w:val="60C106C1"/>
    <w:rsid w:val="60E01E67"/>
    <w:rsid w:val="60F80ADA"/>
    <w:rsid w:val="61027590"/>
    <w:rsid w:val="610903B2"/>
    <w:rsid w:val="61571630"/>
    <w:rsid w:val="61575C66"/>
    <w:rsid w:val="61A46032"/>
    <w:rsid w:val="61BE5A83"/>
    <w:rsid w:val="61BE7B03"/>
    <w:rsid w:val="61D77F0E"/>
    <w:rsid w:val="61D97FF0"/>
    <w:rsid w:val="61E60533"/>
    <w:rsid w:val="61FF377C"/>
    <w:rsid w:val="620B3496"/>
    <w:rsid w:val="62464751"/>
    <w:rsid w:val="624D00ED"/>
    <w:rsid w:val="626B1EAE"/>
    <w:rsid w:val="628144ED"/>
    <w:rsid w:val="6288067C"/>
    <w:rsid w:val="62E47A3B"/>
    <w:rsid w:val="62ED5214"/>
    <w:rsid w:val="630A10A5"/>
    <w:rsid w:val="6318772D"/>
    <w:rsid w:val="631F7E80"/>
    <w:rsid w:val="63231960"/>
    <w:rsid w:val="6327515F"/>
    <w:rsid w:val="63374E4E"/>
    <w:rsid w:val="6348233B"/>
    <w:rsid w:val="634A4539"/>
    <w:rsid w:val="635157FD"/>
    <w:rsid w:val="636509AD"/>
    <w:rsid w:val="63652C57"/>
    <w:rsid w:val="636B2405"/>
    <w:rsid w:val="63CF3375"/>
    <w:rsid w:val="63D93754"/>
    <w:rsid w:val="63EF4FD4"/>
    <w:rsid w:val="6421118D"/>
    <w:rsid w:val="643919B0"/>
    <w:rsid w:val="646F55F5"/>
    <w:rsid w:val="64802885"/>
    <w:rsid w:val="64863640"/>
    <w:rsid w:val="64880597"/>
    <w:rsid w:val="648C34E8"/>
    <w:rsid w:val="648E08FD"/>
    <w:rsid w:val="64946471"/>
    <w:rsid w:val="64A01F7C"/>
    <w:rsid w:val="64B3498B"/>
    <w:rsid w:val="64E41B95"/>
    <w:rsid w:val="64E96EC0"/>
    <w:rsid w:val="64EB3D65"/>
    <w:rsid w:val="64F65284"/>
    <w:rsid w:val="65083AC6"/>
    <w:rsid w:val="652D6B6A"/>
    <w:rsid w:val="654C3C9B"/>
    <w:rsid w:val="654E1EEB"/>
    <w:rsid w:val="654F2835"/>
    <w:rsid w:val="6576231B"/>
    <w:rsid w:val="65802A86"/>
    <w:rsid w:val="65A07CB8"/>
    <w:rsid w:val="65AC5AE3"/>
    <w:rsid w:val="65B92434"/>
    <w:rsid w:val="65C44133"/>
    <w:rsid w:val="65E266BB"/>
    <w:rsid w:val="663248A6"/>
    <w:rsid w:val="663F7EF3"/>
    <w:rsid w:val="664028FD"/>
    <w:rsid w:val="664271F0"/>
    <w:rsid w:val="666C3D79"/>
    <w:rsid w:val="667016B7"/>
    <w:rsid w:val="6675442D"/>
    <w:rsid w:val="66A86B96"/>
    <w:rsid w:val="66AE16E6"/>
    <w:rsid w:val="66CD61E5"/>
    <w:rsid w:val="66E771CF"/>
    <w:rsid w:val="671902F0"/>
    <w:rsid w:val="673F73EC"/>
    <w:rsid w:val="67451B94"/>
    <w:rsid w:val="67464C2B"/>
    <w:rsid w:val="676364C2"/>
    <w:rsid w:val="6769684D"/>
    <w:rsid w:val="678420D6"/>
    <w:rsid w:val="67857591"/>
    <w:rsid w:val="6787463F"/>
    <w:rsid w:val="679117D3"/>
    <w:rsid w:val="67E174AF"/>
    <w:rsid w:val="680239AA"/>
    <w:rsid w:val="680C60C5"/>
    <w:rsid w:val="684A3CAD"/>
    <w:rsid w:val="68935202"/>
    <w:rsid w:val="68990E49"/>
    <w:rsid w:val="689E3443"/>
    <w:rsid w:val="68BD68E9"/>
    <w:rsid w:val="68C85277"/>
    <w:rsid w:val="68D46F73"/>
    <w:rsid w:val="68E179DB"/>
    <w:rsid w:val="68E46312"/>
    <w:rsid w:val="69091DAD"/>
    <w:rsid w:val="690B5932"/>
    <w:rsid w:val="691D4B13"/>
    <w:rsid w:val="69233BE1"/>
    <w:rsid w:val="69302D92"/>
    <w:rsid w:val="6936183A"/>
    <w:rsid w:val="69366620"/>
    <w:rsid w:val="69540105"/>
    <w:rsid w:val="695A0F22"/>
    <w:rsid w:val="695A653E"/>
    <w:rsid w:val="696E7E84"/>
    <w:rsid w:val="69714AA8"/>
    <w:rsid w:val="697C4CF6"/>
    <w:rsid w:val="69A73499"/>
    <w:rsid w:val="69C448E9"/>
    <w:rsid w:val="6A076C9A"/>
    <w:rsid w:val="6A0906BC"/>
    <w:rsid w:val="6A0A5EC7"/>
    <w:rsid w:val="6A400576"/>
    <w:rsid w:val="6A5855E6"/>
    <w:rsid w:val="6A5A5BFC"/>
    <w:rsid w:val="6A5E3F42"/>
    <w:rsid w:val="6A635D6A"/>
    <w:rsid w:val="6A730847"/>
    <w:rsid w:val="6A8B2931"/>
    <w:rsid w:val="6AAB3F35"/>
    <w:rsid w:val="6ABF632C"/>
    <w:rsid w:val="6B05727A"/>
    <w:rsid w:val="6B23503E"/>
    <w:rsid w:val="6B2B4D4E"/>
    <w:rsid w:val="6B312EB2"/>
    <w:rsid w:val="6B4637D0"/>
    <w:rsid w:val="6B582AF4"/>
    <w:rsid w:val="6B6E451F"/>
    <w:rsid w:val="6B7404F2"/>
    <w:rsid w:val="6B8469B3"/>
    <w:rsid w:val="6B960E18"/>
    <w:rsid w:val="6B9F1F94"/>
    <w:rsid w:val="6BA40FBE"/>
    <w:rsid w:val="6BB40D31"/>
    <w:rsid w:val="6BCF48A9"/>
    <w:rsid w:val="6BD11091"/>
    <w:rsid w:val="6BD30C9F"/>
    <w:rsid w:val="6BD73F4A"/>
    <w:rsid w:val="6C0756CE"/>
    <w:rsid w:val="6C152EE5"/>
    <w:rsid w:val="6C190209"/>
    <w:rsid w:val="6C414760"/>
    <w:rsid w:val="6C6F0566"/>
    <w:rsid w:val="6C965CB6"/>
    <w:rsid w:val="6CCD04D2"/>
    <w:rsid w:val="6CDF67C3"/>
    <w:rsid w:val="6CFD63E1"/>
    <w:rsid w:val="6D3C72BF"/>
    <w:rsid w:val="6D541632"/>
    <w:rsid w:val="6D59081D"/>
    <w:rsid w:val="6D962921"/>
    <w:rsid w:val="6DD66028"/>
    <w:rsid w:val="6E011171"/>
    <w:rsid w:val="6E0F6F05"/>
    <w:rsid w:val="6E1B17E1"/>
    <w:rsid w:val="6E440F66"/>
    <w:rsid w:val="6E574411"/>
    <w:rsid w:val="6E6173DC"/>
    <w:rsid w:val="6E841731"/>
    <w:rsid w:val="6EA27830"/>
    <w:rsid w:val="6EBF06B5"/>
    <w:rsid w:val="6EC86A4A"/>
    <w:rsid w:val="6ED31944"/>
    <w:rsid w:val="6EE63187"/>
    <w:rsid w:val="6EEC3FE4"/>
    <w:rsid w:val="6F2305F2"/>
    <w:rsid w:val="6F343CDF"/>
    <w:rsid w:val="6F426701"/>
    <w:rsid w:val="6F587835"/>
    <w:rsid w:val="6F595CAF"/>
    <w:rsid w:val="6F663610"/>
    <w:rsid w:val="6FA44A0D"/>
    <w:rsid w:val="6FB8083B"/>
    <w:rsid w:val="6FB9380F"/>
    <w:rsid w:val="6FBC3CE0"/>
    <w:rsid w:val="6FC7284B"/>
    <w:rsid w:val="6FCC2082"/>
    <w:rsid w:val="6FDE312D"/>
    <w:rsid w:val="6FE73843"/>
    <w:rsid w:val="6FE97357"/>
    <w:rsid w:val="70067D0A"/>
    <w:rsid w:val="70086AD3"/>
    <w:rsid w:val="7011196D"/>
    <w:rsid w:val="70241477"/>
    <w:rsid w:val="702A6959"/>
    <w:rsid w:val="704B7429"/>
    <w:rsid w:val="704E5AD2"/>
    <w:rsid w:val="70860FFA"/>
    <w:rsid w:val="70876255"/>
    <w:rsid w:val="70876B20"/>
    <w:rsid w:val="708B12F0"/>
    <w:rsid w:val="70B97553"/>
    <w:rsid w:val="70DF4537"/>
    <w:rsid w:val="70E1263B"/>
    <w:rsid w:val="70EF60D4"/>
    <w:rsid w:val="70F264D3"/>
    <w:rsid w:val="70F841ED"/>
    <w:rsid w:val="7119623F"/>
    <w:rsid w:val="712E4668"/>
    <w:rsid w:val="71627A31"/>
    <w:rsid w:val="71726D02"/>
    <w:rsid w:val="71755C4E"/>
    <w:rsid w:val="717C3330"/>
    <w:rsid w:val="7184704A"/>
    <w:rsid w:val="719C1CB1"/>
    <w:rsid w:val="71AA05CC"/>
    <w:rsid w:val="71C66EA2"/>
    <w:rsid w:val="71D23A6A"/>
    <w:rsid w:val="71E0704F"/>
    <w:rsid w:val="71F64049"/>
    <w:rsid w:val="71FA37C8"/>
    <w:rsid w:val="71FB3C9B"/>
    <w:rsid w:val="72116E8D"/>
    <w:rsid w:val="721E42B7"/>
    <w:rsid w:val="722F6471"/>
    <w:rsid w:val="72493929"/>
    <w:rsid w:val="725032B4"/>
    <w:rsid w:val="725B132C"/>
    <w:rsid w:val="725F0A83"/>
    <w:rsid w:val="72692068"/>
    <w:rsid w:val="727455FD"/>
    <w:rsid w:val="72A204AD"/>
    <w:rsid w:val="72A7699A"/>
    <w:rsid w:val="72BA7CCE"/>
    <w:rsid w:val="72C83B54"/>
    <w:rsid w:val="72DE4CB4"/>
    <w:rsid w:val="72E66C89"/>
    <w:rsid w:val="72EC3293"/>
    <w:rsid w:val="72ED2385"/>
    <w:rsid w:val="73001D85"/>
    <w:rsid w:val="73234B3E"/>
    <w:rsid w:val="73376E71"/>
    <w:rsid w:val="736D42C1"/>
    <w:rsid w:val="737A76BD"/>
    <w:rsid w:val="73976C73"/>
    <w:rsid w:val="73A23137"/>
    <w:rsid w:val="73A830B6"/>
    <w:rsid w:val="73B4267F"/>
    <w:rsid w:val="73BE24BB"/>
    <w:rsid w:val="73C37917"/>
    <w:rsid w:val="73F06A40"/>
    <w:rsid w:val="740C058E"/>
    <w:rsid w:val="740C5116"/>
    <w:rsid w:val="740E2DB0"/>
    <w:rsid w:val="7420327A"/>
    <w:rsid w:val="744512E6"/>
    <w:rsid w:val="7450098D"/>
    <w:rsid w:val="74D85391"/>
    <w:rsid w:val="74E809FE"/>
    <w:rsid w:val="74E86741"/>
    <w:rsid w:val="74F81F49"/>
    <w:rsid w:val="750C00B4"/>
    <w:rsid w:val="751465AE"/>
    <w:rsid w:val="75182E01"/>
    <w:rsid w:val="7519487A"/>
    <w:rsid w:val="7535741A"/>
    <w:rsid w:val="75477A88"/>
    <w:rsid w:val="756E0CC5"/>
    <w:rsid w:val="75922A7B"/>
    <w:rsid w:val="759B60BD"/>
    <w:rsid w:val="75D83E0A"/>
    <w:rsid w:val="75F5674B"/>
    <w:rsid w:val="76190D6F"/>
    <w:rsid w:val="76196C8B"/>
    <w:rsid w:val="763E2F04"/>
    <w:rsid w:val="76702146"/>
    <w:rsid w:val="768810AD"/>
    <w:rsid w:val="768E6039"/>
    <w:rsid w:val="769827D7"/>
    <w:rsid w:val="76984A67"/>
    <w:rsid w:val="76A23611"/>
    <w:rsid w:val="76A84B35"/>
    <w:rsid w:val="76B50E27"/>
    <w:rsid w:val="76B95E32"/>
    <w:rsid w:val="76BA50AD"/>
    <w:rsid w:val="76E06301"/>
    <w:rsid w:val="77001169"/>
    <w:rsid w:val="77116CBC"/>
    <w:rsid w:val="77210004"/>
    <w:rsid w:val="776910D9"/>
    <w:rsid w:val="77754875"/>
    <w:rsid w:val="77AA41F5"/>
    <w:rsid w:val="77AD7339"/>
    <w:rsid w:val="77E42060"/>
    <w:rsid w:val="77EB3CBE"/>
    <w:rsid w:val="78113B8B"/>
    <w:rsid w:val="78263153"/>
    <w:rsid w:val="782974D8"/>
    <w:rsid w:val="78824472"/>
    <w:rsid w:val="78931503"/>
    <w:rsid w:val="78CC4FC5"/>
    <w:rsid w:val="793237AA"/>
    <w:rsid w:val="793C00B7"/>
    <w:rsid w:val="795262E1"/>
    <w:rsid w:val="796149ED"/>
    <w:rsid w:val="796376A5"/>
    <w:rsid w:val="79664892"/>
    <w:rsid w:val="796B69DF"/>
    <w:rsid w:val="79751215"/>
    <w:rsid w:val="798F0FC4"/>
    <w:rsid w:val="79AE27FA"/>
    <w:rsid w:val="79BD408E"/>
    <w:rsid w:val="7A151AC9"/>
    <w:rsid w:val="7A1C465D"/>
    <w:rsid w:val="7A2A5AB4"/>
    <w:rsid w:val="7A363A15"/>
    <w:rsid w:val="7A38711F"/>
    <w:rsid w:val="7A3E61EF"/>
    <w:rsid w:val="7A463F6B"/>
    <w:rsid w:val="7A4D4AA5"/>
    <w:rsid w:val="7A577B8F"/>
    <w:rsid w:val="7A67456A"/>
    <w:rsid w:val="7A6D6318"/>
    <w:rsid w:val="7A734F70"/>
    <w:rsid w:val="7A7C0845"/>
    <w:rsid w:val="7A9376F3"/>
    <w:rsid w:val="7AAE734A"/>
    <w:rsid w:val="7AC643CB"/>
    <w:rsid w:val="7AEB5E7B"/>
    <w:rsid w:val="7AEC4D19"/>
    <w:rsid w:val="7B1B6D1C"/>
    <w:rsid w:val="7B28430B"/>
    <w:rsid w:val="7B676C62"/>
    <w:rsid w:val="7B75250E"/>
    <w:rsid w:val="7B7B68CF"/>
    <w:rsid w:val="7B966893"/>
    <w:rsid w:val="7BAD2B01"/>
    <w:rsid w:val="7BF9144A"/>
    <w:rsid w:val="7C0116D0"/>
    <w:rsid w:val="7C1160B1"/>
    <w:rsid w:val="7C1D7055"/>
    <w:rsid w:val="7C1F23EC"/>
    <w:rsid w:val="7C1F5919"/>
    <w:rsid w:val="7C1F6DC2"/>
    <w:rsid w:val="7C2C725F"/>
    <w:rsid w:val="7C591144"/>
    <w:rsid w:val="7C6F342D"/>
    <w:rsid w:val="7C7B0B75"/>
    <w:rsid w:val="7C9A781B"/>
    <w:rsid w:val="7C9E7EA0"/>
    <w:rsid w:val="7CB35084"/>
    <w:rsid w:val="7CB92B34"/>
    <w:rsid w:val="7CBA3BE9"/>
    <w:rsid w:val="7CCE5A89"/>
    <w:rsid w:val="7CD95F00"/>
    <w:rsid w:val="7D23242F"/>
    <w:rsid w:val="7D564269"/>
    <w:rsid w:val="7D727AF7"/>
    <w:rsid w:val="7D864B87"/>
    <w:rsid w:val="7DA016BC"/>
    <w:rsid w:val="7DA02ED6"/>
    <w:rsid w:val="7DA27EE1"/>
    <w:rsid w:val="7DA5645D"/>
    <w:rsid w:val="7DD412B3"/>
    <w:rsid w:val="7DDA2DCE"/>
    <w:rsid w:val="7DF66BDE"/>
    <w:rsid w:val="7DF85D33"/>
    <w:rsid w:val="7E0843C4"/>
    <w:rsid w:val="7E312F0E"/>
    <w:rsid w:val="7E35358F"/>
    <w:rsid w:val="7E652CE8"/>
    <w:rsid w:val="7E655E1C"/>
    <w:rsid w:val="7E895355"/>
    <w:rsid w:val="7EF93D1F"/>
    <w:rsid w:val="7F124D2C"/>
    <w:rsid w:val="7F1C511E"/>
    <w:rsid w:val="7F246799"/>
    <w:rsid w:val="7FA442E6"/>
    <w:rsid w:val="7FA51D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nhideWhenUsed="0" w:uiPriority="0"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heme="minorEastAsia" w:cstheme="minorBidi"/>
      <w:kern w:val="2"/>
      <w:sz w:val="21"/>
      <w:szCs w:val="21"/>
      <w:lang w:val="en-US" w:eastAsia="zh-CN" w:bidi="ar-SA"/>
    </w:rPr>
  </w:style>
  <w:style w:type="paragraph" w:styleId="4">
    <w:name w:val="heading 1"/>
    <w:basedOn w:val="1"/>
    <w:next w:val="5"/>
    <w:link w:val="40"/>
    <w:qFormat/>
    <w:uiPriority w:val="0"/>
    <w:pPr>
      <w:keepLines/>
      <w:numPr>
        <w:ilvl w:val="0"/>
        <w:numId w:val="1"/>
      </w:numPr>
      <w:spacing w:before="50" w:beforeLines="50" w:after="50" w:afterLines="50"/>
      <w:jc w:val="center"/>
      <w:outlineLvl w:val="0"/>
    </w:pPr>
    <w:rPr>
      <w:rFonts w:ascii="Times New Roman" w:hAnsi="Times New Roman" w:eastAsia="华文中宋" w:cs="Times New Roman"/>
      <w:b/>
      <w:bCs/>
      <w:kern w:val="44"/>
      <w:sz w:val="44"/>
      <w:szCs w:val="44"/>
    </w:rPr>
  </w:style>
  <w:style w:type="paragraph" w:styleId="6">
    <w:name w:val="heading 2"/>
    <w:basedOn w:val="1"/>
    <w:next w:val="1"/>
    <w:link w:val="41"/>
    <w:unhideWhenUsed/>
    <w:qFormat/>
    <w:uiPriority w:val="0"/>
    <w:pPr>
      <w:keepLines/>
      <w:numPr>
        <w:ilvl w:val="1"/>
        <w:numId w:val="1"/>
      </w:numPr>
      <w:spacing w:before="25" w:beforeLines="25" w:after="25" w:afterLines="25" w:line="360" w:lineRule="auto"/>
      <w:outlineLvl w:val="1"/>
    </w:pPr>
    <w:rPr>
      <w:rFonts w:ascii="Times New Roman" w:hAnsi="Times New Roman" w:eastAsia="华文中宋" w:cstheme="majorBidi"/>
      <w:b/>
      <w:bCs/>
      <w:sz w:val="36"/>
      <w:szCs w:val="32"/>
    </w:rPr>
  </w:style>
  <w:style w:type="paragraph" w:styleId="7">
    <w:name w:val="heading 3"/>
    <w:basedOn w:val="6"/>
    <w:next w:val="1"/>
    <w:link w:val="42"/>
    <w:unhideWhenUsed/>
    <w:qFormat/>
    <w:uiPriority w:val="0"/>
    <w:pPr>
      <w:keepLines/>
      <w:numPr>
        <w:ilvl w:val="2"/>
        <w:numId w:val="1"/>
      </w:numPr>
      <w:outlineLvl w:val="2"/>
    </w:pPr>
    <w:rPr>
      <w:rFonts w:cs="Times New Roman"/>
      <w:sz w:val="32"/>
    </w:rPr>
  </w:style>
  <w:style w:type="paragraph" w:styleId="8">
    <w:name w:val="heading 4"/>
    <w:basedOn w:val="6"/>
    <w:next w:val="1"/>
    <w:link w:val="44"/>
    <w:unhideWhenUsed/>
    <w:qFormat/>
    <w:uiPriority w:val="0"/>
    <w:pPr>
      <w:keepLines/>
      <w:numPr>
        <w:ilvl w:val="3"/>
        <w:numId w:val="1"/>
      </w:numPr>
      <w:spacing w:line="360" w:lineRule="auto"/>
      <w:outlineLvl w:val="3"/>
    </w:pPr>
    <w:rPr>
      <w:rFonts w:ascii="Times New Roman" w:hAnsi="Times New Roman" w:eastAsia="华文中宋" w:cstheme="majorBidi"/>
      <w:sz w:val="28"/>
      <w:szCs w:val="28"/>
    </w:rPr>
  </w:style>
  <w:style w:type="paragraph" w:styleId="9">
    <w:name w:val="heading 5"/>
    <w:basedOn w:val="1"/>
    <w:next w:val="1"/>
    <w:link w:val="34"/>
    <w:unhideWhenUsed/>
    <w:qFormat/>
    <w:uiPriority w:val="0"/>
    <w:pPr>
      <w:keepNext/>
      <w:keepLines/>
      <w:numPr>
        <w:ilvl w:val="4"/>
        <w:numId w:val="1"/>
      </w:numPr>
      <w:spacing w:line="360" w:lineRule="auto"/>
      <w:outlineLvl w:val="4"/>
    </w:pPr>
    <w:rPr>
      <w:rFonts w:eastAsia="华文中宋" w:cs="Times New Roman"/>
      <w:bCs/>
      <w:sz w:val="24"/>
      <w:szCs w:val="28"/>
    </w:rPr>
  </w:style>
  <w:style w:type="paragraph" w:styleId="10">
    <w:name w:val="heading 6"/>
    <w:basedOn w:val="1"/>
    <w:next w:val="1"/>
    <w:link w:val="57"/>
    <w:qFormat/>
    <w:uiPriority w:val="0"/>
    <w:pPr>
      <w:keepNext/>
      <w:keepLines/>
      <w:numPr>
        <w:ilvl w:val="5"/>
        <w:numId w:val="1"/>
      </w:numPr>
      <w:tabs>
        <w:tab w:val="left" w:pos="1514"/>
      </w:tabs>
      <w:adjustRightInd w:val="0"/>
      <w:snapToGrid w:val="0"/>
      <w:spacing w:line="360" w:lineRule="auto"/>
      <w:outlineLvl w:val="5"/>
    </w:pPr>
    <w:rPr>
      <w:rFonts w:eastAsia="华文中宋" w:cs="Times New Roman"/>
      <w:bCs/>
      <w:sz w:val="24"/>
      <w:szCs w:val="24"/>
    </w:rPr>
  </w:style>
  <w:style w:type="paragraph" w:styleId="11">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仿宋" w:hAnsi="仿宋" w:eastAsia="仿宋" w:cs="仿宋"/>
      <w:sz w:val="28"/>
      <w:szCs w:val="28"/>
      <w:lang w:val="zh-CN" w:eastAsia="zh-CN" w:bidi="zh-CN"/>
    </w:rPr>
  </w:style>
  <w:style w:type="paragraph" w:styleId="3">
    <w:name w:val="Body Text Indent"/>
    <w:basedOn w:val="1"/>
    <w:qFormat/>
    <w:uiPriority w:val="0"/>
    <w:pPr>
      <w:spacing w:line="324" w:lineRule="auto"/>
      <w:ind w:firstLine="459"/>
      <w:jc w:val="both"/>
    </w:pPr>
    <w:rPr>
      <w:spacing w:val="15"/>
    </w:rPr>
  </w:style>
  <w:style w:type="paragraph" w:customStyle="1" w:styleId="5">
    <w:name w:val="报告正文"/>
    <w:basedOn w:val="1"/>
    <w:link w:val="85"/>
    <w:qFormat/>
    <w:uiPriority w:val="0"/>
    <w:pPr>
      <w:spacing w:line="360" w:lineRule="auto"/>
      <w:ind w:firstLine="1440" w:firstLineChars="200"/>
      <w:textAlignment w:val="baseline"/>
    </w:pPr>
    <w:rPr>
      <w:rFonts w:ascii="Times New Roman" w:hAnsi="Times New Roman" w:eastAsia="宋体" w:cs="Times New Roman"/>
      <w:sz w:val="24"/>
      <w:szCs w:val="20"/>
    </w:rPr>
  </w:style>
  <w:style w:type="paragraph" w:styleId="12">
    <w:name w:val="caption"/>
    <w:basedOn w:val="1"/>
    <w:next w:val="1"/>
    <w:unhideWhenUsed/>
    <w:qFormat/>
    <w:uiPriority w:val="35"/>
    <w:pPr>
      <w:jc w:val="center"/>
    </w:pPr>
    <w:rPr>
      <w:rFonts w:eastAsia="黑体" w:cstheme="majorBidi"/>
      <w:sz w:val="24"/>
    </w:rPr>
  </w:style>
  <w:style w:type="paragraph" w:styleId="13">
    <w:name w:val="toc 3"/>
    <w:basedOn w:val="1"/>
    <w:next w:val="1"/>
    <w:unhideWhenUsed/>
    <w:qFormat/>
    <w:uiPriority w:val="39"/>
    <w:pPr>
      <w:spacing w:line="360" w:lineRule="auto"/>
      <w:ind w:left="840" w:leftChars="400"/>
    </w:pPr>
    <w:rPr>
      <w:sz w:val="24"/>
    </w:rPr>
  </w:style>
  <w:style w:type="paragraph" w:styleId="14">
    <w:name w:val="Plain Text"/>
    <w:basedOn w:val="1"/>
    <w:unhideWhenUsed/>
    <w:qFormat/>
    <w:uiPriority w:val="99"/>
    <w:rPr>
      <w:rFonts w:ascii="宋体" w:hAnsi="Courier New" w:cs="Courier New"/>
      <w:sz w:val="28"/>
      <w:szCs w:val="21"/>
    </w:rPr>
  </w:style>
  <w:style w:type="paragraph" w:styleId="15">
    <w:name w:val="Balloon Text"/>
    <w:basedOn w:val="1"/>
    <w:link w:val="58"/>
    <w:qFormat/>
    <w:uiPriority w:val="0"/>
    <w:rPr>
      <w:rFonts w:asciiTheme="minorHAnsi" w:hAnsiTheme="minorHAnsi"/>
      <w:sz w:val="18"/>
      <w:szCs w:val="18"/>
    </w:rPr>
  </w:style>
  <w:style w:type="paragraph" w:styleId="16">
    <w:name w:val="footer"/>
    <w:basedOn w:val="1"/>
    <w:link w:val="53"/>
    <w:unhideWhenUsed/>
    <w:qFormat/>
    <w:uiPriority w:val="99"/>
    <w:pPr>
      <w:tabs>
        <w:tab w:val="center" w:pos="4153"/>
        <w:tab w:val="right" w:pos="8306"/>
      </w:tabs>
      <w:snapToGrid w:val="0"/>
      <w:jc w:val="left"/>
    </w:pPr>
    <w:rPr>
      <w:sz w:val="18"/>
      <w:szCs w:val="18"/>
    </w:rPr>
  </w:style>
  <w:style w:type="paragraph" w:styleId="17">
    <w:name w:val="header"/>
    <w:basedOn w:val="1"/>
    <w:link w:val="52"/>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spacing w:line="360" w:lineRule="auto"/>
    </w:pPr>
    <w:rPr>
      <w:rFonts w:eastAsia="黑体"/>
      <w:sz w:val="28"/>
    </w:rPr>
  </w:style>
  <w:style w:type="paragraph" w:styleId="19">
    <w:name w:val="toc 2"/>
    <w:basedOn w:val="1"/>
    <w:next w:val="1"/>
    <w:unhideWhenUsed/>
    <w:qFormat/>
    <w:uiPriority w:val="39"/>
    <w:pPr>
      <w:spacing w:line="360" w:lineRule="auto"/>
      <w:ind w:left="420" w:leftChars="200"/>
    </w:pPr>
    <w:rPr>
      <w:sz w:val="24"/>
    </w:rPr>
  </w:style>
  <w:style w:type="paragraph" w:styleId="20">
    <w:name w:val="Body Text 2"/>
    <w:basedOn w:val="1"/>
    <w:semiHidden/>
    <w:unhideWhenUsed/>
    <w:qFormat/>
    <w:uiPriority w:val="99"/>
    <w:pPr>
      <w:spacing w:after="120" w:afterLines="0" w:afterAutospacing="0" w:line="480" w:lineRule="auto"/>
    </w:pPr>
  </w:style>
  <w:style w:type="paragraph" w:styleId="21">
    <w:name w:val="HTML Preformatted"/>
    <w:basedOn w:val="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2">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24">
    <w:name w:val="Table Grid"/>
    <w:basedOn w:val="2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Hyperlink"/>
    <w:basedOn w:val="25"/>
    <w:unhideWhenUsed/>
    <w:qFormat/>
    <w:uiPriority w:val="99"/>
    <w:rPr>
      <w:color w:val="0000FF" w:themeColor="hyperlink"/>
      <w:u w:val="single"/>
      <w14:textFill>
        <w14:solidFill>
          <w14:schemeClr w14:val="hlink"/>
        </w14:solidFill>
      </w14:textFill>
    </w:rPr>
  </w:style>
  <w:style w:type="paragraph" w:customStyle="1" w:styleId="27">
    <w:name w:val="小标题"/>
    <w:basedOn w:val="5"/>
    <w:next w:val="1"/>
    <w:link w:val="84"/>
    <w:qFormat/>
    <w:uiPriority w:val="0"/>
    <w:pPr>
      <w:adjustRightInd w:val="0"/>
      <w:snapToGrid w:val="0"/>
      <w:spacing w:before="20" w:beforeLines="20" w:after="20" w:afterLines="20" w:line="240" w:lineRule="auto"/>
      <w:ind w:firstLine="640" w:firstLineChars="200"/>
    </w:pPr>
    <w:rPr>
      <w:rFonts w:ascii="Times New Roman" w:hAnsi="Times New Roman" w:eastAsia="华文中宋"/>
      <w:b/>
    </w:rPr>
  </w:style>
  <w:style w:type="paragraph" w:customStyle="1" w:styleId="28">
    <w:name w:val="表格标题"/>
    <w:basedOn w:val="29"/>
    <w:next w:val="8"/>
    <w:qFormat/>
    <w:uiPriority w:val="0"/>
    <w:pPr>
      <w:widowControl/>
      <w:adjustRightInd w:val="0"/>
      <w:snapToGrid w:val="0"/>
      <w:spacing w:before="50" w:beforeLines="50" w:afterAutospacing="0" w:line="240" w:lineRule="atLeast"/>
      <w:ind w:firstLine="0" w:firstLineChars="0"/>
      <w:jc w:val="center"/>
    </w:pPr>
    <w:rPr>
      <w:rFonts w:eastAsia="华文中宋"/>
      <w:bCs/>
      <w:kern w:val="0"/>
    </w:rPr>
  </w:style>
  <w:style w:type="paragraph" w:customStyle="1" w:styleId="29">
    <w:name w:val="表格"/>
    <w:basedOn w:val="30"/>
    <w:next w:val="1"/>
    <w:qFormat/>
    <w:uiPriority w:val="0"/>
    <w:pPr>
      <w:widowControl/>
      <w:spacing w:line="0" w:lineRule="atLeast"/>
      <w:ind w:left="-25" w:leftChars="-25" w:right="-25" w:rightChars="-25" w:firstLine="0" w:firstLineChars="0"/>
      <w:jc w:val="center"/>
    </w:pPr>
    <w:rPr>
      <w:rFonts w:eastAsia="宋体"/>
      <w:snapToGrid w:val="0"/>
      <w:kern w:val="0"/>
      <w:sz w:val="18"/>
      <w:szCs w:val="20"/>
    </w:rPr>
  </w:style>
  <w:style w:type="paragraph" w:styleId="30">
    <w:name w:val="No Spacing"/>
    <w:qFormat/>
    <w:uiPriority w:val="0"/>
    <w:pPr>
      <w:widowControl w:val="0"/>
      <w:spacing w:line="360" w:lineRule="auto"/>
      <w:jc w:val="center"/>
    </w:pPr>
    <w:rPr>
      <w:rFonts w:ascii="仿宋_GB2312" w:hAnsi="Times New Roman" w:eastAsia="仿宋_GB2312" w:cs="Times New Roman"/>
      <w:b/>
      <w:kern w:val="2"/>
      <w:sz w:val="24"/>
      <w:szCs w:val="28"/>
      <w:lang w:val="en-US" w:eastAsia="zh-CN" w:bidi="ar-SA"/>
    </w:rPr>
  </w:style>
  <w:style w:type="paragraph" w:customStyle="1" w:styleId="31">
    <w:name w:val="图名"/>
    <w:basedOn w:val="12"/>
    <w:next w:val="1"/>
    <w:qFormat/>
    <w:uiPriority w:val="0"/>
    <w:pPr>
      <w:widowControl/>
      <w:adjustRightInd w:val="0"/>
      <w:snapToGrid w:val="0"/>
      <w:spacing w:after="50" w:afterLines="50"/>
    </w:pPr>
    <w:rPr>
      <w:rFonts w:ascii="Times New Roman" w:hAnsi="Times New Roman" w:eastAsia="华文中宋" w:cs="Times New Roman"/>
      <w:b/>
      <w:bCs/>
      <w:szCs w:val="24"/>
    </w:rPr>
  </w:style>
  <w:style w:type="paragraph" w:customStyle="1" w:styleId="32">
    <w:name w:val="表格格式"/>
    <w:basedOn w:val="1"/>
    <w:qFormat/>
    <w:uiPriority w:val="0"/>
    <w:pPr>
      <w:adjustRightInd w:val="0"/>
      <w:snapToGrid w:val="0"/>
      <w:jc w:val="center"/>
    </w:pPr>
    <w:rPr>
      <w:rFonts w:ascii="Times New Roman"/>
    </w:rPr>
  </w:style>
  <w:style w:type="paragraph" w:customStyle="1" w:styleId="33">
    <w:name w:val="表头"/>
    <w:basedOn w:val="5"/>
    <w:next w:val="1"/>
    <w:qFormat/>
    <w:uiPriority w:val="0"/>
    <w:pPr>
      <w:adjustRightInd w:val="0"/>
      <w:snapToGrid w:val="0"/>
      <w:spacing w:before="50" w:beforeLines="50" w:line="240" w:lineRule="auto"/>
      <w:ind w:firstLine="0" w:firstLineChars="0"/>
      <w:jc w:val="center"/>
    </w:pPr>
    <w:rPr>
      <w:rFonts w:eastAsia="华文中宋"/>
      <w:b/>
    </w:rPr>
  </w:style>
  <w:style w:type="character" w:customStyle="1" w:styleId="34">
    <w:name w:val="标题 5 字符"/>
    <w:basedOn w:val="25"/>
    <w:link w:val="9"/>
    <w:qFormat/>
    <w:uiPriority w:val="0"/>
    <w:rPr>
      <w:rFonts w:ascii="Times New Roman" w:hAnsi="Times New Roman" w:eastAsia="华文中宋" w:cs="Times New Roman"/>
      <w:bCs/>
      <w:sz w:val="24"/>
      <w:szCs w:val="28"/>
    </w:rPr>
  </w:style>
  <w:style w:type="paragraph" w:customStyle="1" w:styleId="35">
    <w:name w:val="Body Text First Indent1"/>
    <w:basedOn w:val="2"/>
    <w:qFormat/>
    <w:uiPriority w:val="0"/>
  </w:style>
  <w:style w:type="paragraph" w:customStyle="1" w:styleId="36">
    <w:name w:val="报告图形"/>
    <w:basedOn w:val="1"/>
    <w:qFormat/>
    <w:uiPriority w:val="0"/>
    <w:pPr>
      <w:jc w:val="center"/>
    </w:pPr>
    <w:rPr>
      <w:rFonts w:eastAsia="宋体" w:cs="Times New Roman"/>
      <w:szCs w:val="20"/>
    </w:rPr>
  </w:style>
  <w:style w:type="paragraph" w:customStyle="1" w:styleId="37">
    <w:name w:val="公式"/>
    <w:basedOn w:val="5"/>
    <w:qFormat/>
    <w:uiPriority w:val="0"/>
    <w:pPr>
      <w:ind w:firstLine="0" w:firstLineChars="0"/>
      <w:jc w:val="center"/>
      <w:textAlignment w:val="center"/>
    </w:pPr>
  </w:style>
  <w:style w:type="paragraph" w:customStyle="1" w:styleId="38">
    <w:name w:val="论文正文"/>
    <w:basedOn w:val="1"/>
    <w:link w:val="39"/>
    <w:qFormat/>
    <w:uiPriority w:val="0"/>
    <w:pPr>
      <w:spacing w:before="25" w:beforeLines="25" w:after="25" w:afterLines="25" w:line="300" w:lineRule="auto"/>
      <w:ind w:firstLine="200" w:firstLineChars="200"/>
    </w:pPr>
    <w:rPr>
      <w:sz w:val="24"/>
      <w:szCs w:val="24"/>
    </w:rPr>
  </w:style>
  <w:style w:type="character" w:customStyle="1" w:styleId="39">
    <w:name w:val="论文正文 Char"/>
    <w:link w:val="38"/>
    <w:qFormat/>
    <w:uiPriority w:val="0"/>
    <w:rPr>
      <w:rFonts w:ascii="Times New Roman" w:hAnsi="Times New Roman"/>
      <w:sz w:val="24"/>
      <w:szCs w:val="24"/>
    </w:rPr>
  </w:style>
  <w:style w:type="character" w:customStyle="1" w:styleId="40">
    <w:name w:val="标题 1 字符"/>
    <w:basedOn w:val="25"/>
    <w:link w:val="4"/>
    <w:qFormat/>
    <w:uiPriority w:val="0"/>
    <w:rPr>
      <w:rFonts w:ascii="Times New Roman" w:hAnsi="Times New Roman" w:eastAsia="华文中宋" w:cs="Times New Roman"/>
      <w:b/>
      <w:bCs/>
      <w:kern w:val="44"/>
      <w:sz w:val="44"/>
      <w:szCs w:val="44"/>
    </w:rPr>
  </w:style>
  <w:style w:type="character" w:customStyle="1" w:styleId="41">
    <w:name w:val="标题 2 字符"/>
    <w:basedOn w:val="25"/>
    <w:link w:val="6"/>
    <w:qFormat/>
    <w:uiPriority w:val="0"/>
    <w:rPr>
      <w:rFonts w:ascii="Times New Roman" w:hAnsi="Times New Roman" w:eastAsia="华文中宋" w:cstheme="majorBidi"/>
      <w:b/>
      <w:bCs/>
      <w:sz w:val="36"/>
      <w:szCs w:val="32"/>
    </w:rPr>
  </w:style>
  <w:style w:type="character" w:customStyle="1" w:styleId="42">
    <w:name w:val="标题 3 字符"/>
    <w:basedOn w:val="25"/>
    <w:link w:val="7"/>
    <w:qFormat/>
    <w:uiPriority w:val="0"/>
    <w:rPr>
      <w:rFonts w:ascii="Times New Roman" w:hAnsi="Times New Roman" w:eastAsia="华文中宋" w:cs="Times New Roman"/>
      <w:b/>
      <w:bCs/>
      <w:sz w:val="32"/>
      <w:szCs w:val="32"/>
    </w:rPr>
  </w:style>
  <w:style w:type="paragraph" w:customStyle="1" w:styleId="43">
    <w:name w:val="书稿正文"/>
    <w:basedOn w:val="1"/>
    <w:qFormat/>
    <w:uiPriority w:val="0"/>
    <w:pPr>
      <w:ind w:firstLine="200" w:firstLineChars="200"/>
    </w:pPr>
    <w:rPr>
      <w:rFonts w:eastAsia="宋体" w:cs="Times New Roman"/>
      <w:szCs w:val="24"/>
    </w:rPr>
  </w:style>
  <w:style w:type="character" w:customStyle="1" w:styleId="44">
    <w:name w:val="标题 4 字符"/>
    <w:basedOn w:val="25"/>
    <w:link w:val="8"/>
    <w:qFormat/>
    <w:uiPriority w:val="0"/>
    <w:rPr>
      <w:rFonts w:ascii="Times New Roman" w:hAnsi="Times New Roman" w:eastAsia="华文中宋" w:cstheme="majorBidi"/>
      <w:b/>
      <w:bCs/>
      <w:sz w:val="28"/>
      <w:szCs w:val="28"/>
    </w:rPr>
  </w:style>
  <w:style w:type="table" w:customStyle="1" w:styleId="45">
    <w:name w:val="三线表"/>
    <w:basedOn w:val="23"/>
    <w:qFormat/>
    <w:uiPriority w:val="99"/>
    <w:pPr>
      <w:jc w:val="center"/>
    </w:pPr>
    <w:rPr>
      <w:rFonts w:ascii="Times New Roman" w:hAnsi="Times New Roman" w:eastAsia="宋体" w:cs="Times New Roman"/>
      <w:kern w:val="0"/>
      <w:sz w:val="20"/>
      <w:szCs w:val="20"/>
    </w:rPr>
    <w:tblPr>
      <w:jc w:val="center"/>
      <w:tblBorders>
        <w:top w:val="single" w:color="000000" w:sz="12" w:space="0"/>
        <w:bottom w:val="single" w:color="000000" w:sz="12" w:space="0"/>
      </w:tblBorders>
    </w:tblPr>
    <w:trPr>
      <w:jc w:val="center"/>
    </w:trPr>
    <w:tcPr>
      <w:vAlign w:val="center"/>
    </w:tcPr>
    <w:tblStylePr w:type="firstRow">
      <w:rPr>
        <w:rFonts w:ascii="Times New Roman" w:hAnsi="Times New Roman"/>
        <w:b/>
        <w:i w:val="0"/>
      </w:rPr>
      <w:tcPr>
        <w:tcBorders>
          <w:top w:val="single" w:color="000000" w:sz="12" w:space="0"/>
          <w:left w:val="nil"/>
          <w:bottom w:val="single" w:color="000000" w:sz="2" w:space="0"/>
          <w:right w:val="nil"/>
          <w:insideH w:val="nil"/>
          <w:insideV w:val="nil"/>
          <w:tl2br w:val="nil"/>
          <w:tr2bl w:val="nil"/>
        </w:tcBorders>
      </w:tcPr>
    </w:tblStylePr>
    <w:tblStylePr w:type="lastRow">
      <w:rPr>
        <w:b/>
      </w:rPr>
    </w:tblStylePr>
  </w:style>
  <w:style w:type="paragraph" w:customStyle="1" w:styleId="46">
    <w:name w:val="表后注明"/>
    <w:basedOn w:val="1"/>
    <w:qFormat/>
    <w:uiPriority w:val="0"/>
    <w:pPr>
      <w:jc w:val="left"/>
    </w:pPr>
    <w:rPr>
      <w:rFonts w:eastAsia="宋体"/>
    </w:rPr>
  </w:style>
  <w:style w:type="table" w:customStyle="1" w:styleId="47">
    <w:name w:val="全线表格"/>
    <w:basedOn w:val="23"/>
    <w:qFormat/>
    <w:uiPriority w:val="99"/>
    <w:pPr>
      <w:jc w:val="center"/>
    </w:pPr>
    <w:rPr>
      <w:rFonts w:ascii="Times New Roman" w:hAnsi="Times New Roman" w:eastAsia="仿宋_GB2312"/>
      <w:sz w:val="24"/>
      <w:szCs w:val="22"/>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48">
    <w:name w:val="报告圆括"/>
    <w:basedOn w:val="5"/>
    <w:qFormat/>
    <w:uiPriority w:val="0"/>
    <w:pPr>
      <w:numPr>
        <w:ilvl w:val="0"/>
        <w:numId w:val="2"/>
      </w:numPr>
      <w:ind w:firstLine="0" w:firstLineChars="0"/>
    </w:pPr>
  </w:style>
  <w:style w:type="paragraph" w:customStyle="1" w:styleId="49">
    <w:name w:val="报告半圆"/>
    <w:basedOn w:val="5"/>
    <w:qFormat/>
    <w:uiPriority w:val="0"/>
    <w:pPr>
      <w:numPr>
        <w:ilvl w:val="0"/>
        <w:numId w:val="3"/>
      </w:numPr>
      <w:ind w:firstLine="0" w:firstLineChars="0"/>
    </w:pPr>
  </w:style>
  <w:style w:type="paragraph" w:customStyle="1" w:styleId="50">
    <w:name w:val="报告小数"/>
    <w:basedOn w:val="5"/>
    <w:qFormat/>
    <w:uiPriority w:val="0"/>
    <w:pPr>
      <w:numPr>
        <w:ilvl w:val="0"/>
        <w:numId w:val="4"/>
      </w:numPr>
      <w:ind w:firstLine="0" w:firstLineChars="0"/>
    </w:pPr>
  </w:style>
  <w:style w:type="paragraph" w:customStyle="1" w:styleId="51">
    <w:name w:val="报告大数"/>
    <w:basedOn w:val="5"/>
    <w:qFormat/>
    <w:uiPriority w:val="0"/>
    <w:pPr>
      <w:numPr>
        <w:ilvl w:val="0"/>
        <w:numId w:val="5"/>
      </w:numPr>
      <w:ind w:firstLine="0" w:firstLineChars="0"/>
    </w:pPr>
  </w:style>
  <w:style w:type="character" w:customStyle="1" w:styleId="52">
    <w:name w:val="页眉 字符"/>
    <w:basedOn w:val="25"/>
    <w:link w:val="17"/>
    <w:qFormat/>
    <w:uiPriority w:val="99"/>
    <w:rPr>
      <w:sz w:val="18"/>
      <w:szCs w:val="18"/>
    </w:rPr>
  </w:style>
  <w:style w:type="character" w:customStyle="1" w:styleId="53">
    <w:name w:val="页脚 字符"/>
    <w:basedOn w:val="25"/>
    <w:link w:val="16"/>
    <w:qFormat/>
    <w:uiPriority w:val="99"/>
    <w:rPr>
      <w:sz w:val="18"/>
      <w:szCs w:val="18"/>
    </w:rPr>
  </w:style>
  <w:style w:type="paragraph" w:customStyle="1" w:styleId="54">
    <w:name w:val="报告表题"/>
    <w:basedOn w:val="12"/>
    <w:next w:val="5"/>
    <w:qFormat/>
    <w:uiPriority w:val="0"/>
    <w:pPr>
      <w:tabs>
        <w:tab w:val="left" w:pos="0"/>
        <w:tab w:val="center" w:pos="4200"/>
      </w:tabs>
      <w:jc w:val="left"/>
    </w:pPr>
  </w:style>
  <w:style w:type="paragraph" w:customStyle="1" w:styleId="55">
    <w:name w:val="报告表横"/>
    <w:basedOn w:val="12"/>
    <w:next w:val="5"/>
    <w:qFormat/>
    <w:uiPriority w:val="0"/>
    <w:pPr>
      <w:tabs>
        <w:tab w:val="left" w:pos="0"/>
        <w:tab w:val="center" w:pos="6930"/>
      </w:tabs>
      <w:jc w:val="left"/>
    </w:pPr>
  </w:style>
  <w:style w:type="paragraph" w:customStyle="1" w:styleId="56">
    <w:name w:val="表名"/>
    <w:basedOn w:val="12"/>
    <w:qFormat/>
    <w:uiPriority w:val="0"/>
    <w:pPr>
      <w:keepNext/>
      <w:adjustRightInd w:val="0"/>
      <w:snapToGrid w:val="0"/>
      <w:spacing w:before="50" w:beforeLines="50"/>
    </w:pPr>
    <w:rPr>
      <w:rFonts w:ascii="Times New Roman" w:hAnsi="Times New Roman" w:eastAsia="华文中宋" w:cs="仿宋_GB2312"/>
      <w:b/>
      <w:bCs/>
      <w:szCs w:val="24"/>
    </w:rPr>
  </w:style>
  <w:style w:type="character" w:customStyle="1" w:styleId="57">
    <w:name w:val="标题 6 字符"/>
    <w:basedOn w:val="25"/>
    <w:link w:val="10"/>
    <w:qFormat/>
    <w:uiPriority w:val="0"/>
    <w:rPr>
      <w:rFonts w:ascii="Times New Roman" w:hAnsi="Times New Roman" w:eastAsia="华文中宋" w:cs="Times New Roman"/>
      <w:bCs/>
      <w:sz w:val="24"/>
      <w:szCs w:val="24"/>
    </w:rPr>
  </w:style>
  <w:style w:type="character" w:customStyle="1" w:styleId="58">
    <w:name w:val="批注框文本 字符"/>
    <w:basedOn w:val="25"/>
    <w:link w:val="15"/>
    <w:qFormat/>
    <w:uiPriority w:val="0"/>
    <w:rPr>
      <w:sz w:val="18"/>
      <w:szCs w:val="18"/>
    </w:rPr>
  </w:style>
  <w:style w:type="character" w:customStyle="1" w:styleId="59">
    <w:name w:val="批注框文本 字符1"/>
    <w:basedOn w:val="25"/>
    <w:semiHidden/>
    <w:qFormat/>
    <w:uiPriority w:val="99"/>
    <w:rPr>
      <w:rFonts w:ascii="Times New Roman" w:hAnsi="Times New Roman"/>
      <w:sz w:val="18"/>
      <w:szCs w:val="18"/>
    </w:rPr>
  </w:style>
  <w:style w:type="character" w:customStyle="1" w:styleId="60">
    <w:name w:val="font11"/>
    <w:basedOn w:val="25"/>
    <w:qFormat/>
    <w:uiPriority w:val="0"/>
    <w:rPr>
      <w:rFonts w:hint="default" w:ascii="Times New Roman" w:hAnsi="Times New Roman" w:cs="Times New Roman"/>
      <w:color w:val="000000"/>
      <w:sz w:val="24"/>
      <w:szCs w:val="24"/>
      <w:u w:val="none"/>
    </w:rPr>
  </w:style>
  <w:style w:type="character" w:customStyle="1" w:styleId="61">
    <w:name w:val="font21"/>
    <w:basedOn w:val="25"/>
    <w:qFormat/>
    <w:uiPriority w:val="0"/>
    <w:rPr>
      <w:rFonts w:hint="eastAsia" w:ascii="宋体" w:hAnsi="宋体" w:eastAsia="宋体" w:cs="宋体"/>
      <w:color w:val="000000"/>
      <w:sz w:val="24"/>
      <w:szCs w:val="24"/>
      <w:u w:val="none"/>
    </w:rPr>
  </w:style>
  <w:style w:type="paragraph" w:customStyle="1" w:styleId="62">
    <w:name w:val="文本TD"/>
    <w:basedOn w:val="63"/>
    <w:qFormat/>
    <w:uiPriority w:val="0"/>
    <w:pPr>
      <w:spacing w:before="0" w:after="0"/>
    </w:pPr>
  </w:style>
  <w:style w:type="paragraph" w:customStyle="1" w:styleId="63">
    <w:name w:val="正文TD"/>
    <w:basedOn w:val="1"/>
    <w:qFormat/>
    <w:uiPriority w:val="0"/>
    <w:pPr>
      <w:shd w:val="clear" w:color="auto" w:fill="FFFFFF"/>
      <w:spacing w:before="150" w:after="150" w:line="360" w:lineRule="auto"/>
      <w:ind w:firstLine="480" w:firstLineChars="200"/>
    </w:pPr>
    <w:rPr>
      <w:color w:val="002060"/>
      <w:kern w:val="0"/>
    </w:rPr>
  </w:style>
  <w:style w:type="character" w:customStyle="1" w:styleId="64">
    <w:name w:val="font31"/>
    <w:basedOn w:val="25"/>
    <w:qFormat/>
    <w:uiPriority w:val="0"/>
    <w:rPr>
      <w:rFonts w:hint="default" w:ascii="Times New Roman" w:hAnsi="Times New Roman" w:cs="Times New Roman"/>
      <w:color w:val="000000"/>
      <w:sz w:val="20"/>
      <w:szCs w:val="20"/>
      <w:u w:val="none"/>
    </w:rPr>
  </w:style>
  <w:style w:type="character" w:customStyle="1" w:styleId="65">
    <w:name w:val="font01"/>
    <w:basedOn w:val="25"/>
    <w:qFormat/>
    <w:uiPriority w:val="0"/>
    <w:rPr>
      <w:rFonts w:hint="eastAsia" w:ascii="宋体" w:hAnsi="宋体" w:eastAsia="宋体" w:cs="宋体"/>
      <w:color w:val="000000"/>
      <w:sz w:val="20"/>
      <w:szCs w:val="20"/>
      <w:u w:val="none"/>
    </w:rPr>
  </w:style>
  <w:style w:type="character" w:customStyle="1" w:styleId="66">
    <w:name w:val="font71"/>
    <w:qFormat/>
    <w:uiPriority w:val="0"/>
    <w:rPr>
      <w:rFonts w:hint="eastAsia" w:ascii="宋体" w:hAnsi="宋体" w:eastAsia="宋体" w:cs="宋体"/>
      <w:color w:val="auto"/>
      <w:sz w:val="22"/>
      <w:szCs w:val="22"/>
      <w:u w:val="none"/>
    </w:rPr>
  </w:style>
  <w:style w:type="character" w:customStyle="1" w:styleId="67">
    <w:name w:val="font51"/>
    <w:qFormat/>
    <w:uiPriority w:val="0"/>
    <w:rPr>
      <w:rFonts w:hint="default" w:ascii="Times New Roman" w:hAnsi="Times New Roman" w:cs="Times New Roman"/>
      <w:color w:val="auto"/>
      <w:sz w:val="22"/>
      <w:szCs w:val="22"/>
      <w:u w:val="none"/>
    </w:rPr>
  </w:style>
  <w:style w:type="paragraph" w:customStyle="1" w:styleId="68">
    <w:name w:val="样式 表格 + 六号 左侧:  -0.25 字符 右侧:  -0.25 字符"/>
    <w:basedOn w:val="29"/>
    <w:qFormat/>
    <w:uiPriority w:val="0"/>
    <w:pPr>
      <w:ind w:left="0" w:leftChars="0" w:right="0" w:rightChars="0"/>
    </w:pPr>
    <w:rPr>
      <w:rFonts w:eastAsia="楷体_GB2312" w:cs="宋体"/>
      <w:szCs w:val="20"/>
    </w:rPr>
  </w:style>
  <w:style w:type="character" w:customStyle="1" w:styleId="69">
    <w:name w:val="font12"/>
    <w:basedOn w:val="25"/>
    <w:qFormat/>
    <w:uiPriority w:val="0"/>
    <w:rPr>
      <w:rFonts w:hint="eastAsia" w:ascii="宋体" w:hAnsi="宋体" w:eastAsia="宋体" w:cs="宋体"/>
      <w:color w:val="000000"/>
      <w:sz w:val="20"/>
      <w:szCs w:val="20"/>
      <w:u w:val="none"/>
    </w:rPr>
  </w:style>
  <w:style w:type="character" w:customStyle="1" w:styleId="70">
    <w:name w:val="font91"/>
    <w:basedOn w:val="25"/>
    <w:qFormat/>
    <w:uiPriority w:val="0"/>
    <w:rPr>
      <w:rFonts w:hint="eastAsia" w:ascii="宋体" w:hAnsi="宋体" w:eastAsia="宋体" w:cs="宋体"/>
      <w:color w:val="000000"/>
      <w:sz w:val="20"/>
      <w:szCs w:val="20"/>
      <w:u w:val="none"/>
    </w:rPr>
  </w:style>
  <w:style w:type="character" w:customStyle="1" w:styleId="71">
    <w:name w:val="font111"/>
    <w:basedOn w:val="25"/>
    <w:qFormat/>
    <w:uiPriority w:val="0"/>
    <w:rPr>
      <w:rFonts w:hint="eastAsia" w:ascii="宋体" w:hAnsi="宋体" w:eastAsia="宋体" w:cs="宋体"/>
      <w:color w:val="000000"/>
      <w:sz w:val="20"/>
      <w:szCs w:val="20"/>
      <w:u w:val="none"/>
    </w:rPr>
  </w:style>
  <w:style w:type="character" w:customStyle="1" w:styleId="72">
    <w:name w:val="font141"/>
    <w:basedOn w:val="25"/>
    <w:qFormat/>
    <w:uiPriority w:val="0"/>
    <w:rPr>
      <w:rFonts w:hint="eastAsia" w:ascii="宋体" w:hAnsi="宋体" w:eastAsia="宋体" w:cs="宋体"/>
      <w:color w:val="000000"/>
      <w:sz w:val="20"/>
      <w:szCs w:val="20"/>
      <w:u w:val="none"/>
    </w:rPr>
  </w:style>
  <w:style w:type="character" w:customStyle="1" w:styleId="73">
    <w:name w:val="font101"/>
    <w:basedOn w:val="25"/>
    <w:qFormat/>
    <w:uiPriority w:val="0"/>
    <w:rPr>
      <w:rFonts w:hint="eastAsia" w:ascii="宋体" w:hAnsi="宋体" w:eastAsia="宋体" w:cs="宋体"/>
      <w:color w:val="000000"/>
      <w:sz w:val="21"/>
      <w:szCs w:val="21"/>
      <w:u w:val="none"/>
    </w:rPr>
  </w:style>
  <w:style w:type="character" w:customStyle="1" w:styleId="74">
    <w:name w:val="font41"/>
    <w:basedOn w:val="25"/>
    <w:qFormat/>
    <w:uiPriority w:val="0"/>
    <w:rPr>
      <w:rFonts w:hint="eastAsia" w:ascii="宋体" w:hAnsi="宋体" w:eastAsia="宋体" w:cs="宋体"/>
      <w:color w:val="000000"/>
      <w:sz w:val="22"/>
      <w:szCs w:val="22"/>
      <w:u w:val="none"/>
    </w:rPr>
  </w:style>
  <w:style w:type="character" w:customStyle="1" w:styleId="75">
    <w:name w:val="font81"/>
    <w:basedOn w:val="25"/>
    <w:qFormat/>
    <w:uiPriority w:val="0"/>
    <w:rPr>
      <w:rFonts w:hint="eastAsia" w:ascii="宋体" w:hAnsi="宋体" w:eastAsia="宋体" w:cs="宋体"/>
      <w:color w:val="000000"/>
      <w:sz w:val="21"/>
      <w:szCs w:val="21"/>
      <w:u w:val="none"/>
    </w:rPr>
  </w:style>
  <w:style w:type="character" w:customStyle="1" w:styleId="76">
    <w:name w:val="font61"/>
    <w:basedOn w:val="25"/>
    <w:qFormat/>
    <w:uiPriority w:val="0"/>
    <w:rPr>
      <w:rFonts w:hint="default" w:ascii="Times New Roman" w:hAnsi="Times New Roman" w:cs="Times New Roman"/>
      <w:color w:val="000000"/>
      <w:sz w:val="22"/>
      <w:szCs w:val="22"/>
      <w:u w:val="none"/>
    </w:rPr>
  </w:style>
  <w:style w:type="paragraph" w:customStyle="1" w:styleId="77">
    <w:name w:val="表格文字"/>
    <w:basedOn w:val="1"/>
    <w:qFormat/>
    <w:uiPriority w:val="0"/>
    <w:pPr>
      <w:spacing w:line="240" w:lineRule="auto"/>
      <w:ind w:firstLine="0" w:firstLineChars="0"/>
      <w:jc w:val="center"/>
    </w:pPr>
    <w:rPr>
      <w:sz w:val="21"/>
    </w:rPr>
  </w:style>
  <w:style w:type="character" w:customStyle="1" w:styleId="78">
    <w:name w:val="无间隔 字符"/>
    <w:qFormat/>
    <w:uiPriority w:val="0"/>
    <w:rPr>
      <w:rFonts w:ascii="仿宋_GB2312" w:hAnsi="Times New Roman" w:eastAsia="仿宋_GB2312"/>
      <w:b/>
      <w:sz w:val="24"/>
      <w:szCs w:val="28"/>
    </w:rPr>
  </w:style>
  <w:style w:type="table" w:customStyle="1" w:styleId="79">
    <w:name w:val="网格型1"/>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
    <w:name w:val="Default"/>
    <w:qFormat/>
    <w:uiPriority w:val="0"/>
    <w:pPr>
      <w:widowControl w:val="0"/>
      <w:autoSpaceDE w:val="0"/>
      <w:autoSpaceDN w:val="0"/>
      <w:adjustRightInd w:val="0"/>
    </w:pPr>
    <w:rPr>
      <w:rFonts w:ascii="Arial Unicode MS" w:eastAsia="Arial Unicode MS" w:cs="Arial Unicode MS" w:hAnsiTheme="minorHAnsi"/>
      <w:color w:val="000000"/>
      <w:kern w:val="0"/>
      <w:sz w:val="24"/>
      <w:szCs w:val="24"/>
      <w:lang w:val="en-US" w:eastAsia="zh-CN" w:bidi="ar-SA"/>
    </w:rPr>
  </w:style>
  <w:style w:type="character" w:customStyle="1" w:styleId="81">
    <w:name w:val="font112"/>
    <w:basedOn w:val="25"/>
    <w:qFormat/>
    <w:uiPriority w:val="0"/>
    <w:rPr>
      <w:rFonts w:ascii="方正仿宋_GBK" w:hAnsi="方正仿宋_GBK" w:eastAsia="方正仿宋_GBK" w:cs="方正仿宋_GBK"/>
      <w:color w:val="000000"/>
      <w:sz w:val="20"/>
      <w:szCs w:val="20"/>
      <w:u w:val="none"/>
    </w:rPr>
  </w:style>
  <w:style w:type="paragraph" w:customStyle="1" w:styleId="82">
    <w:name w:val="表内"/>
    <w:basedOn w:val="1"/>
    <w:qFormat/>
    <w:uiPriority w:val="0"/>
    <w:pPr>
      <w:widowControl/>
      <w:adjustRightInd w:val="0"/>
      <w:snapToGrid w:val="0"/>
      <w:ind w:firstLine="0" w:firstLineChars="0"/>
      <w:jc w:val="center"/>
    </w:pPr>
    <w:rPr>
      <w:sz w:val="21"/>
      <w:szCs w:val="24"/>
    </w:rPr>
  </w:style>
  <w:style w:type="paragraph" w:customStyle="1" w:styleId="83">
    <w:name w:val="图片"/>
    <w:basedOn w:val="1"/>
    <w:qFormat/>
    <w:uiPriority w:val="0"/>
    <w:pPr>
      <w:spacing w:line="240" w:lineRule="auto"/>
      <w:ind w:firstLine="0" w:firstLineChars="0"/>
      <w:jc w:val="center"/>
    </w:pPr>
  </w:style>
  <w:style w:type="character" w:customStyle="1" w:styleId="84">
    <w:name w:val="小标题 Char"/>
    <w:link w:val="27"/>
    <w:qFormat/>
    <w:uiPriority w:val="0"/>
    <w:rPr>
      <w:rFonts w:ascii="Times New Roman" w:hAnsi="Times New Roman" w:eastAsia="华文中宋"/>
      <w:b/>
    </w:rPr>
  </w:style>
  <w:style w:type="character" w:customStyle="1" w:styleId="85">
    <w:name w:val="报告正文 Char"/>
    <w:link w:val="5"/>
    <w:qFormat/>
    <w:uiPriority w:val="0"/>
    <w:rPr>
      <w:rFonts w:ascii="Times New Roman" w:hAnsi="Times New Roman" w:eastAsia="宋体" w:cs="Times New Roman"/>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XiuShan&#19968;&#27827;&#19968;&#31574;\&#28342;&#28330;&#27827;&#35745;&#31639;&#65288;&#28857;&#28304;&#38754;&#28304;&#65289;.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XiuShan&#19968;&#27827;&#19968;&#31574;\&#28342;&#28330;&#27827;&#35745;&#31639;&#65288;&#28857;&#28304;&#38754;&#28304;&#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COD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6666666666666"/>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'[溶溪河计算（点源面源）.xlsx]计算'!$AH$246:$AH$247</c:f>
              <c:numCache>
                <c:formatCode>General</c:formatCode>
                <c:ptCount val="2"/>
                <c:pt idx="0">
                  <c:v>17.446</c:v>
                </c:pt>
                <c:pt idx="1">
                  <c:v>127.15</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76bcb671-4290-48f9-9e0f-b501319d1394}"/>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b="1">
                <a:latin typeface="Times New Roman" panose="02020603050405020304" charset="0"/>
                <a:ea typeface="华文中宋" panose="02010600040101010101" charset="-122"/>
                <a:cs typeface="Times New Roman" panose="02020603050405020304" charset="0"/>
              </a:rPr>
              <a:t>石耶镇 </a:t>
            </a:r>
            <a:r>
              <a:rPr lang="en-US" altLang="zh-CN" b="1">
                <a:latin typeface="Times New Roman" panose="02020603050405020304" charset="0"/>
                <a:ea typeface="华文中宋" panose="02010600040101010101" charset="-122"/>
                <a:cs typeface="Times New Roman" panose="02020603050405020304" charset="0"/>
              </a:rPr>
              <a:t>NH</a:t>
            </a:r>
            <a:r>
              <a:rPr lang="en-US" altLang="zh-CN" b="1" baseline="-25000">
                <a:solidFill>
                  <a:schemeClr val="tx1">
                    <a:lumMod val="65000"/>
                    <a:lumOff val="35000"/>
                  </a:schemeClr>
                </a:solidFill>
                <a:uFillTx/>
                <a:latin typeface="Times New Roman" panose="02020603050405020304" charset="0"/>
                <a:ea typeface="华文中宋" panose="02010600040101010101" charset="-122"/>
                <a:cs typeface="Times New Roman" panose="02020603050405020304" charset="0"/>
              </a:rPr>
              <a:t>3</a:t>
            </a:r>
            <a:r>
              <a:rPr lang="en-US" altLang="zh-CN" b="1">
                <a:latin typeface="Times New Roman" panose="02020603050405020304" charset="0"/>
                <a:ea typeface="华文中宋" panose="02010600040101010101" charset="-122"/>
                <a:cs typeface="Times New Roman" panose="02020603050405020304" charset="0"/>
              </a:rPr>
              <a:t>-N</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20796922551395"/>
          <c:y val="0.0416308705612829"/>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'[溶溪河计算（点源面源）.xlsx]计算'!$AJ$246:$AJ$247</c:f>
              <c:numCache>
                <c:formatCode>General</c:formatCode>
                <c:ptCount val="2"/>
                <c:pt idx="0">
                  <c:v>1.78</c:v>
                </c:pt>
                <c:pt idx="1">
                  <c:v>29</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d2d30ec-dfe0-4b95-a2e4-10680b4fe121}"/>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lumMod val="65000"/>
                    <a:lumOff val="35000"/>
                  </a:schemeClr>
                </a:solidFill>
                <a:latin typeface="微软雅黑" panose="020B0503020204020204" charset="-122"/>
                <a:ea typeface="微软雅黑" panose="020B0503020204020204" charset="-122"/>
                <a:cs typeface="+mn-cs"/>
              </a:defRPr>
            </a:pPr>
            <a:r>
              <a:rPr altLang="en-US" b="1">
                <a:latin typeface="Times New Roman" panose="02020603050405020304" charset="0"/>
                <a:ea typeface="华文中宋" panose="02010600040101010101" charset="-122"/>
                <a:cs typeface="Times New Roman" panose="02020603050405020304" charset="0"/>
              </a:rPr>
              <a:t>石耶镇</a:t>
            </a:r>
            <a:r>
              <a:rPr lang="en-US" altLang="zh-CN" b="1">
                <a:latin typeface="Times New Roman" panose="02020603050405020304" charset="0"/>
                <a:ea typeface="华文中宋" panose="02010600040101010101" charset="-122"/>
                <a:cs typeface="Times New Roman" panose="02020603050405020304" charset="0"/>
              </a:rPr>
              <a:t>TP</a:t>
            </a:r>
            <a:r>
              <a:rPr b="1">
                <a:latin typeface="Times New Roman" panose="02020603050405020304" charset="0"/>
                <a:ea typeface="华文中宋" panose="02010600040101010101" charset="-122"/>
                <a:cs typeface="Times New Roman" panose="02020603050405020304" charset="0"/>
              </a:rPr>
              <a:t> 污染源类别分析</a:t>
            </a:r>
            <a:endParaRPr b="1">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9861111111111"/>
          <c:y val="0.041550149142431"/>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Lbls>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'[溶溪河计算（点源面源）.xlsx]计算'!$AG$246:$AG$247</c:f>
              <c:strCache>
                <c:ptCount val="2"/>
                <c:pt idx="0" c:formatCode="0.00_ ">
                  <c:v>点源</c:v>
                </c:pt>
                <c:pt idx="1" c:formatCode="0.00_ ">
                  <c:v>面源</c:v>
                </c:pt>
              </c:strCache>
            </c:strRef>
          </c:cat>
          <c:val>
            <c:numRef>
              <c:f>'[溶溪河计算（点源面源）.xlsx]计算'!$AL$246:$AL$247</c:f>
              <c:numCache>
                <c:formatCode>General</c:formatCode>
                <c:ptCount val="2"/>
                <c:pt idx="0">
                  <c:v>0.233</c:v>
                </c:pt>
                <c:pt idx="1">
                  <c:v>2.54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f86f37ab-d1d6-4cc7-92c9-8306141d0cd8}"/>
      </c:ext>
    </c:extLst>
  </c:chart>
  <c:spPr>
    <a:gradFill flip="none" rotWithShape="1">
      <a:gsLst>
        <a:gs pos="0">
          <a:schemeClr val="bg1">
            <a:lumMod val="95000"/>
          </a:schemeClr>
        </a:gs>
        <a:gs pos="100000">
          <a:schemeClr val="bg1">
            <a:lumMod val="50000"/>
          </a:schemeClr>
        </a:gs>
      </a:gsLst>
      <a:path path="circle">
        <a:fillToRect l="50000" t="50000" r="50000" b="50000"/>
      </a:path>
      <a:tileRect/>
    </a:gra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COD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5455448918747"/>
                  <c:y val="0.0936514761748"/>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0895003596817484"/>
                  <c:y val="0.11978693759416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00253361249580646"/>
                  <c:y val="0.11037620275113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5"/>
              <c:layout>
                <c:manualLayout>
                  <c:x val="0.00764696930047787"/>
                  <c:y val="-0.109756097560976"/>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17.17%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17.45</c:v>
                </c:pt>
                <c:pt idx="1" c:formatCode="0.00_ ">
                  <c:v>0</c:v>
                </c:pt>
                <c:pt idx="2" c:formatCode="0.00_ ">
                  <c:v>0</c:v>
                </c:pt>
                <c:pt idx="3">
                  <c:v>12.42</c:v>
                </c:pt>
                <c:pt idx="4">
                  <c:v>30.67</c:v>
                </c:pt>
                <c:pt idx="5">
                  <c:v>24.83</c:v>
                </c:pt>
                <c:pt idx="6">
                  <c:v>22.96</c:v>
                </c:pt>
                <c:pt idx="7">
                  <c:v>2.83</c:v>
                </c:pt>
                <c:pt idx="8">
                  <c:v>33.44</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22031520-27a7-4c68-9fbd-b5255bc8f36a}"/>
      </c:ext>
    </c:extLst>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NH</a:t>
            </a:r>
            <a:r>
              <a:rPr lang="en-US" altLang="zh-CN" b="1" baseline="-25000">
                <a:solidFill>
                  <a:sysClr val="windowText" lastClr="000000"/>
                </a:solidFill>
                <a:latin typeface="Times New Roman" panose="02020603050405020304" charset="0"/>
                <a:ea typeface="华文中宋" panose="02010600040101010101" charset="-122"/>
                <a:cs typeface="Times New Roman" panose="02020603050405020304" charset="0"/>
              </a:rPr>
              <a:t>3</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-N</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33194444444445"/>
          <c:y val="0.00609756097560976"/>
        </c:manualLayout>
      </c:layout>
      <c:overlay val="0"/>
      <c:spPr>
        <a:noFill/>
        <a:ln>
          <a:noFill/>
        </a:ln>
        <a:effectLst/>
      </c:spPr>
    </c:title>
    <c:autoTitleDeleted val="0"/>
    <c:plotArea>
      <c:layout>
        <c:manualLayout>
          <c:layoutTarget val="inner"/>
          <c:xMode val="edge"/>
          <c:yMode val="edge"/>
          <c:x val="0.254370102471368"/>
          <c:y val="0.159953070003911"/>
          <c:w val="0.427727546714888"/>
          <c:h val="0.693781775518185"/>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explosion val="3"/>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301380705097168"/>
                  <c:y val="0.0293312475557294"/>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31344183242917"/>
                      <c:h val="0.123777864685178"/>
                    </c:manualLayout>
                  </c15:layout>
                </c:ext>
              </c:extLst>
            </c:dLbl>
            <c:dLbl>
              <c:idx val="1"/>
              <c:delete val="1"/>
            </c:dLbl>
            <c:dLbl>
              <c:idx val="2"/>
              <c:delete val="1"/>
            </c:dLbl>
            <c:dLbl>
              <c:idx val="3"/>
              <c:layout>
                <c:manualLayout>
                  <c:x val="0.219365994912988"/>
                  <c:y val="0.14209537831642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97649186256781"/>
                      <c:h val="0.119280406726633"/>
                    </c:manualLayout>
                  </c15:layout>
                </c:ext>
              </c:extLst>
            </c:dLbl>
            <c:dLbl>
              <c:idx val="4"/>
              <c:layout>
                <c:manualLayout>
                  <c:x val="0.175227948527545"/>
                  <c:y val="0.22650290420196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777777777778"/>
                      <c:h val="0.12479674796748"/>
                    </c:manualLayout>
                  </c15:layout>
                </c:ext>
              </c:extLst>
            </c:dLbl>
            <c:dLbl>
              <c:idx val="5"/>
              <c:layout>
                <c:manualLayout>
                  <c:x val="-0.175686364032855"/>
                  <c:y val="0.0396341463414634"/>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农业种植16.15%</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191089031068464"/>
                  <c:y val="0.108424823028023"/>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delete val="1"/>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1.78</c:v>
                </c:pt>
                <c:pt idx="1" c:formatCode="0.00_ ">
                  <c:v>0</c:v>
                </c:pt>
                <c:pt idx="2" c:formatCode="0.00_ ">
                  <c:v>0</c:v>
                </c:pt>
                <c:pt idx="3">
                  <c:v>0.23</c:v>
                </c:pt>
                <c:pt idx="4">
                  <c:v>2.51</c:v>
                </c:pt>
                <c:pt idx="5">
                  <c:v>4.97</c:v>
                </c:pt>
                <c:pt idx="6">
                  <c:v>0.36</c:v>
                </c:pt>
                <c:pt idx="7">
                  <c:v>0</c:v>
                </c:pt>
                <c:pt idx="8">
                  <c:v>20.93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92bea5da-8d5c-4744-a42a-d91a57fe62f3}"/>
      </c:ext>
    </c:extLst>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ysClr val="windowText" lastClr="000000"/>
                </a:solidFill>
                <a:latin typeface="微软雅黑" panose="020B0503020204020204" charset="-122"/>
                <a:ea typeface="微软雅黑" panose="020B0503020204020204" charset="-122"/>
                <a:cs typeface="+mn-cs"/>
              </a:defRPr>
            </a:pPr>
            <a:r>
              <a:rPr b="1">
                <a:solidFill>
                  <a:sysClr val="windowText" lastClr="000000"/>
                </a:solidFill>
                <a:latin typeface="Times New Roman" panose="02020603050405020304" charset="0"/>
                <a:ea typeface="华文中宋" panose="02010600040101010101" charset="-122"/>
                <a:cs typeface="Times New Roman" panose="02020603050405020304" charset="0"/>
              </a:rPr>
              <a:t>石耶镇 </a:t>
            </a:r>
            <a:r>
              <a:rPr lang="en-US" altLang="zh-CN" b="1">
                <a:solidFill>
                  <a:sysClr val="windowText" lastClr="000000"/>
                </a:solidFill>
                <a:latin typeface="Times New Roman" panose="02020603050405020304" charset="0"/>
                <a:ea typeface="华文中宋" panose="02010600040101010101" charset="-122"/>
                <a:cs typeface="Times New Roman" panose="02020603050405020304" charset="0"/>
              </a:rPr>
              <a:t>TP</a:t>
            </a:r>
            <a:r>
              <a:rPr b="1">
                <a:solidFill>
                  <a:sysClr val="windowText" lastClr="000000"/>
                </a:solidFill>
                <a:latin typeface="Times New Roman" panose="02020603050405020304" charset="0"/>
                <a:ea typeface="华文中宋" panose="02010600040101010101" charset="-122"/>
                <a:cs typeface="Times New Roman" panose="02020603050405020304" charset="0"/>
              </a:rPr>
              <a:t> 污染源构成分析</a:t>
            </a:r>
            <a:endParaRPr b="1">
              <a:solidFill>
                <a:sysClr val="windowText" lastClr="000000"/>
              </a:solidFill>
              <a:latin typeface="Times New Roman" panose="02020603050405020304" charset="0"/>
              <a:ea typeface="华文中宋" panose="02010600040101010101" charset="-122"/>
              <a:cs typeface="Times New Roman" panose="02020603050405020304" charset="0"/>
            </a:endParaRPr>
          </a:p>
        </c:rich>
      </c:tx>
      <c:layout>
        <c:manualLayout>
          <c:xMode val="edge"/>
          <c:yMode val="edge"/>
          <c:x val="0.241527777777778"/>
          <c:y val="0.00770663956639562"/>
        </c:manualLayout>
      </c:layout>
      <c:overlay val="0"/>
      <c:spPr>
        <a:noFill/>
        <a:ln>
          <a:noFill/>
        </a:ln>
        <a:effectLst/>
      </c:spPr>
    </c:title>
    <c:autoTitleDeleted val="0"/>
    <c:plotArea>
      <c:layout>
        <c:manualLayout>
          <c:layoutTarget val="inner"/>
          <c:xMode val="edge"/>
          <c:yMode val="edge"/>
          <c:x val="0.248175199324456"/>
          <c:y val="0.202695291759743"/>
          <c:w val="0.482222222222222"/>
          <c:h val="0.705691056910569"/>
        </c:manualLayout>
      </c:layout>
      <c:pieChart>
        <c:varyColors val="1"/>
        <c:ser>
          <c:idx val="0"/>
          <c:order val="0"/>
          <c:spPr>
            <a:effectLst>
              <a:outerShdw blurRad="50800" dist="38100" dir="2700000" algn="tl" rotWithShape="0">
                <a:prstClr val="black">
                  <a:alpha val="40000"/>
                </a:prstClr>
              </a:outerShdw>
            </a:effectLst>
          </c:spPr>
          <c:explosion val="4"/>
          <c:dPt>
            <c:idx val="0"/>
            <c:bubble3D val="0"/>
            <c:explosion val="0"/>
            <c:spPr>
              <a:solidFill>
                <a:schemeClr val="accent1"/>
              </a:solidFill>
              <a:ln w="19050">
                <a:solidFill>
                  <a:schemeClr val="lt1"/>
                </a:solidFill>
              </a:ln>
              <a:effectLst>
                <a:outerShdw blurRad="50800" dist="38100" dir="2700000" algn="tl" rotWithShape="0">
                  <a:prstClr val="black">
                    <a:alpha val="40000"/>
                  </a:prstClr>
                </a:outerShdw>
              </a:effectLst>
            </c:spPr>
          </c:dPt>
          <c:dPt>
            <c:idx val="1"/>
            <c:bubble3D val="0"/>
            <c:explosion val="0"/>
            <c:spPr>
              <a:solidFill>
                <a:schemeClr val="accent2"/>
              </a:solidFill>
              <a:ln w="19050">
                <a:solidFill>
                  <a:schemeClr val="lt1"/>
                </a:solidFill>
              </a:ln>
              <a:effectLst>
                <a:outerShdw blurRad="50800" dist="38100" dir="2700000" algn="tl" rotWithShape="0">
                  <a:prstClr val="black">
                    <a:alpha val="40000"/>
                  </a:prstClr>
                </a:outerShdw>
              </a:effectLst>
            </c:spPr>
          </c:dPt>
          <c:dPt>
            <c:idx val="2"/>
            <c:bubble3D val="0"/>
            <c:spPr>
              <a:solidFill>
                <a:schemeClr val="accent3"/>
              </a:solidFill>
              <a:ln w="19050">
                <a:solidFill>
                  <a:schemeClr val="lt1"/>
                </a:solidFill>
              </a:ln>
              <a:effectLst>
                <a:outerShdw blurRad="50800" dist="38100" dir="2700000" algn="tl" rotWithShape="0">
                  <a:prstClr val="black">
                    <a:alpha val="40000"/>
                  </a:prstClr>
                </a:outerShdw>
              </a:effectLst>
            </c:spPr>
          </c:dPt>
          <c:dPt>
            <c:idx val="3"/>
            <c:bubble3D val="0"/>
            <c:spPr>
              <a:solidFill>
                <a:schemeClr val="accent4"/>
              </a:solidFill>
              <a:ln w="19050">
                <a:solidFill>
                  <a:schemeClr val="lt1"/>
                </a:solidFill>
              </a:ln>
              <a:effectLst>
                <a:outerShdw blurRad="50800" dist="38100" dir="2700000" algn="tl" rotWithShape="0">
                  <a:prstClr val="black">
                    <a:alpha val="40000"/>
                  </a:prstClr>
                </a:outerShdw>
              </a:effectLst>
            </c:spPr>
          </c:dPt>
          <c:dPt>
            <c:idx val="4"/>
            <c:bubble3D val="0"/>
            <c:spPr>
              <a:solidFill>
                <a:schemeClr val="accent5"/>
              </a:solidFill>
              <a:ln w="19050">
                <a:solidFill>
                  <a:schemeClr val="lt1"/>
                </a:solidFill>
              </a:ln>
              <a:effectLst>
                <a:outerShdw blurRad="50800" dist="38100" dir="2700000" algn="tl" rotWithShape="0">
                  <a:prstClr val="black">
                    <a:alpha val="40000"/>
                  </a:prstClr>
                </a:outerShdw>
              </a:effectLst>
            </c:spPr>
          </c:dPt>
          <c:dPt>
            <c:idx val="5"/>
            <c:bubble3D val="0"/>
            <c:spPr>
              <a:solidFill>
                <a:schemeClr val="accent6"/>
              </a:solidFill>
              <a:ln w="19050">
                <a:solidFill>
                  <a:schemeClr val="lt1"/>
                </a:solidFill>
              </a:ln>
              <a:effectLst>
                <a:outerShdw blurRad="50800" dist="38100" dir="2700000" algn="tl" rotWithShape="0">
                  <a:prstClr val="black">
                    <a:alpha val="40000"/>
                  </a:prstClr>
                </a:outerShdw>
              </a:effectLst>
            </c:spPr>
          </c:dPt>
          <c:dPt>
            <c:idx val="6"/>
            <c:bubble3D val="0"/>
            <c:spPr>
              <a:solidFill>
                <a:schemeClr val="accent1">
                  <a:lumMod val="60000"/>
                </a:schemeClr>
              </a:solidFill>
              <a:ln w="19050">
                <a:solidFill>
                  <a:schemeClr val="lt1"/>
                </a:solidFill>
              </a:ln>
              <a:effectLst>
                <a:outerShdw blurRad="50800" dist="38100" dir="2700000" algn="tl" rotWithShape="0">
                  <a:prstClr val="black">
                    <a:alpha val="40000"/>
                  </a:prstClr>
                </a:outerShdw>
              </a:effectLst>
            </c:spPr>
          </c:dPt>
          <c:dPt>
            <c:idx val="7"/>
            <c:bubble3D val="0"/>
            <c:spPr>
              <a:solidFill>
                <a:schemeClr val="accent2">
                  <a:lumMod val="60000"/>
                </a:schemeClr>
              </a:solidFill>
              <a:ln w="19050">
                <a:solidFill>
                  <a:schemeClr val="lt1"/>
                </a:solidFill>
              </a:ln>
              <a:effectLst>
                <a:outerShdw blurRad="50800" dist="38100" dir="2700000" algn="tl" rotWithShape="0">
                  <a:prstClr val="black">
                    <a:alpha val="40000"/>
                  </a:prstClr>
                </a:outerShdw>
              </a:effectLst>
            </c:spPr>
          </c:dPt>
          <c:dPt>
            <c:idx val="8"/>
            <c:bubble3D val="0"/>
            <c:spPr>
              <a:solidFill>
                <a:schemeClr val="accent3">
                  <a:lumMod val="60000"/>
                </a:schemeClr>
              </a:solidFill>
              <a:ln w="19050">
                <a:solidFill>
                  <a:schemeClr val="lt1"/>
                </a:solidFill>
              </a:ln>
              <a:effectLst>
                <a:outerShdw blurRad="50800" dist="38100" dir="2700000" algn="tl" rotWithShape="0">
                  <a:prstClr val="black">
                    <a:alpha val="40000"/>
                  </a:prstClr>
                </a:outerShdw>
              </a:effectLst>
            </c:spPr>
          </c:dPt>
          <c:dLbls>
            <c:dLbl>
              <c:idx val="0"/>
              <c:layout>
                <c:manualLayout>
                  <c:x val="0.213372115585414"/>
                  <c:y val="-0.00390949943495615"/>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1"/>
              <c:delete val="1"/>
            </c:dLbl>
            <c:dLbl>
              <c:idx val="2"/>
              <c:delete val="1"/>
            </c:dLbl>
            <c:dLbl>
              <c:idx val="3"/>
              <c:layout>
                <c:manualLayout>
                  <c:x val="0.112576745309642"/>
                  <c:y val="0.083201571740506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54027777777778"/>
                      <c:h val="0.142073170731707"/>
                    </c:manualLayout>
                  </c15:layout>
                </c:ext>
              </c:extLst>
            </c:dLbl>
            <c:dLbl>
              <c:idx val="4"/>
              <c:layout>
                <c:manualLayout>
                  <c:x val="-0.0295401973847483"/>
                  <c:y val="0.070742056409674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2275"/>
                      <c:h val="0.129471544715447"/>
                    </c:manualLayout>
                  </c15:layout>
                </c:ext>
              </c:extLst>
            </c:dLbl>
            <c:dLbl>
              <c:idx val="5"/>
              <c:layout>
                <c:manualLayout>
                  <c:x val="-0.0319363640328555"/>
                  <c:y val="-0.179878048780488"/>
                </c:manualLayout>
              </c:layout>
              <c:tx>
                <c:rich>
                  <a:bodyPr rot="0" spcFirstLastPara="0" vertOverflow="ellipsis" vert="horz" wrap="square" lIns="38100" tIns="19050" rIns="38100" bIns="19050" anchor="ctr" anchorCtr="1"/>
                  <a:lstStyle/>
                  <a:p>
                    <a:pPr defTabSz="914400">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a:solidFill>
                          <a:sysClr val="windowText" lastClr="000000"/>
                        </a:solidFill>
                      </a:rPr>
                      <a:t>农业种植44.77%</a:t>
                    </a:r>
                    <a:endParaRPr>
                      <a:solidFill>
                        <a:sysClr val="windowText" lastClr="000000"/>
                      </a:solidFill>
                    </a:endParaRP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6"/>
              <c:layout>
                <c:manualLayout>
                  <c:x val="-0.0496410968931536"/>
                  <c:y val="0.0230589693694862"/>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7"/>
              <c:layout>
                <c:manualLayout>
                  <c:x val="-0.0589699681319351"/>
                  <c:y val="-0.053934584734508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8"/>
              <c:layout>
                <c:manualLayout>
                  <c:x val="-0.107630636539706"/>
                  <c:y val="-0.01955591559057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forceAA="0">
                <a:spAutoFit/>
              </a:bodyPr>
              <a:lstStyle/>
              <a:p>
                <a:pPr>
                  <a:defRPr lang="zh-CN" sz="1100" b="0" i="0" u="none" strike="noStrike" kern="1200" baseline="0">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p>
            </c:txPr>
            <c:dLblPos val="ctr"/>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'[溶溪河计算（点源面源）.xlsx]计算'!$AG$269:$AG$277</c:f>
              <c:strCache>
                <c:ptCount val="9"/>
                <c:pt idx="0" c:formatCode="0.00_ ">
                  <c:v>城镇生活污水</c:v>
                </c:pt>
                <c:pt idx="1" c:formatCode="0.00_ ">
                  <c:v>城镇生活垃圾</c:v>
                </c:pt>
                <c:pt idx="2" c:formatCode="0.00_ ">
                  <c:v>工业污染</c:v>
                </c:pt>
                <c:pt idx="3" c:formatCode="0.00_ ">
                  <c:v>城镇地表径流</c:v>
                </c:pt>
                <c:pt idx="4" c:formatCode="0.00_ ">
                  <c:v>农村生活污水</c:v>
                </c:pt>
                <c:pt idx="5" c:formatCode="0.00_ ">
                  <c:v>农业面源</c:v>
                </c:pt>
                <c:pt idx="6" c:formatCode="0.00_ ">
                  <c:v>畜禽养殖</c:v>
                </c:pt>
                <c:pt idx="7" c:formatCode="0.00_ ">
                  <c:v>水产养殖</c:v>
                </c:pt>
                <c:pt idx="8" c:formatCode="0.00_ ">
                  <c:v>水土流失</c:v>
                </c:pt>
              </c:strCache>
            </c:strRef>
          </c:cat>
          <c:val>
            <c:numRef>
              <c:f>'[溶溪河计算（点源面源）.xlsx]计算'!$AH$269:$AH$277</c:f>
              <c:numCache>
                <c:formatCode>General</c:formatCode>
                <c:ptCount val="9"/>
                <c:pt idx="0">
                  <c:v>0.23</c:v>
                </c:pt>
                <c:pt idx="1" c:formatCode="0.00_ ">
                  <c:v>0</c:v>
                </c:pt>
                <c:pt idx="2" c:formatCode="0.00_ ">
                  <c:v>0</c:v>
                </c:pt>
                <c:pt idx="3">
                  <c:v>0.08</c:v>
                </c:pt>
                <c:pt idx="4">
                  <c:v>0.36</c:v>
                </c:pt>
                <c:pt idx="5">
                  <c:v>1.24</c:v>
                </c:pt>
                <c:pt idx="6">
                  <c:v>0.31</c:v>
                </c:pt>
                <c:pt idx="7">
                  <c:v>0.07</c:v>
                </c:pt>
                <c:pt idx="8">
                  <c:v>0.48</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fc1dfe25-11a2-4fa5-80a5-be44a3f95f7d}"/>
      </c:ext>
    </c:extLst>
  </c:chart>
  <c:spPr>
    <a:noFill/>
    <a:ln w="9525" cap="flat" cmpd="sng" algn="ctr">
      <a:solidFill>
        <a:schemeClr val="tx1">
          <a:lumMod val="15000"/>
          <a:lumOff val="85000"/>
        </a:schemeClr>
      </a:solidFill>
      <a:round/>
    </a:ln>
    <a:effectLst/>
  </c:spPr>
  <c:txPr>
    <a:bodyPr/>
    <a:lstStyle/>
    <a:p>
      <a:pPr>
        <a:defRPr lang="zh-CN">
          <a:solidFill>
            <a:sysClr val="windowText" lastClr="000000"/>
          </a:solidFill>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76</Pages>
  <Words>5998</Words>
  <Characters>6615</Characters>
  <Lines>168</Lines>
  <Paragraphs>47</Paragraphs>
  <TotalTime>41</TotalTime>
  <ScaleCrop>false</ScaleCrop>
  <LinksUpToDate>false</LinksUpToDate>
  <CharactersWithSpaces>6842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2017-11-10T02:53:00Z</dcterms:created>
  <dc:creator>叶勇</dc:creator>
  <cp:lastModifiedBy>~~稔语草熙</cp:lastModifiedBy>
  <cp:lastPrinted>2018-12-25T07:57:00Z</cp:lastPrinted>
  <dcterms:modified xsi:type="dcterms:W3CDTF">2025-12-15T06:25:49Z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ACB1670C4C0846E88DA94962B7F4904A</vt:lpwstr>
  </property>
  <property fmtid="{D5CDD505-2E9C-101B-9397-08002B2CF9AE}" pid="4" name="KSOSaveFontToCloudKey">
    <vt:lpwstr>356807677_cloud</vt:lpwstr>
  </property>
  <property fmtid="{D5CDD505-2E9C-101B-9397-08002B2CF9AE}" pid="5" name="KSOTemplateDocerSaveRecord">
    <vt:lpwstr>eyJoZGlkIjoiZTNiMmJjMGUyMDNhMGI0MjllZTc4OTE3ODRjOTBjMWQiLCJ1c2VySWQiOiIyOTYxNzA4NjQifQ==</vt:lpwstr>
  </property>
</Properties>
</file>