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Times New Roman" w:eastAsia="方正小标宋_GBK"/>
          <w:spacing w:val="-20"/>
          <w:sz w:val="44"/>
          <w:szCs w:val="44"/>
        </w:rPr>
      </w:pPr>
      <w:r>
        <w:rPr>
          <w:rFonts w:hint="eastAsia" w:ascii="方正小标宋_GBK" w:hAnsi="Times New Roman" w:eastAsia="方正小标宋_GBK"/>
          <w:spacing w:val="-20"/>
          <w:sz w:val="44"/>
          <w:szCs w:val="44"/>
          <w:lang w:val="en-US" w:eastAsia="zh-CN"/>
        </w:rPr>
        <w:t>重庆市秀山土家族苗族自治县</w:t>
      </w:r>
      <w:r>
        <w:rPr>
          <w:rFonts w:hint="eastAsia" w:ascii="方正小标宋_GBK" w:hAnsi="Times New Roman" w:eastAsia="方正小标宋_GBK"/>
          <w:spacing w:val="-20"/>
          <w:sz w:val="44"/>
          <w:szCs w:val="44"/>
          <w:lang w:eastAsia="zh-CN"/>
        </w:rPr>
        <w:t>宋农</w:t>
      </w:r>
      <w:r>
        <w:rPr>
          <w:rFonts w:hint="eastAsia" w:ascii="方正小标宋_GBK" w:hAnsi="Times New Roman" w:eastAsia="方正小标宋_GBK"/>
          <w:spacing w:val="-20"/>
          <w:sz w:val="44"/>
          <w:szCs w:val="44"/>
        </w:rPr>
        <w:t>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Times New Roman" w:eastAsia="方正小标宋_GBK"/>
          <w:sz w:val="44"/>
          <w:szCs w:val="44"/>
        </w:rPr>
      </w:pPr>
      <w:r>
        <w:rPr>
          <w:rFonts w:hint="eastAsia" w:ascii="方正小标宋_GBK" w:hAnsi="Times New Roman" w:eastAsia="方正小标宋_GBK"/>
          <w:sz w:val="44"/>
          <w:szCs w:val="44"/>
        </w:rPr>
        <w:t>202</w:t>
      </w:r>
      <w:r>
        <w:rPr>
          <w:rFonts w:hint="eastAsia" w:ascii="方正小标宋_GBK" w:hAnsi="Times New Roman" w:eastAsia="方正小标宋_GBK"/>
          <w:sz w:val="44"/>
          <w:szCs w:val="44"/>
          <w:lang w:val="en-US" w:eastAsia="zh-CN"/>
        </w:rPr>
        <w:t>1</w:t>
      </w:r>
      <w:r>
        <w:rPr>
          <w:rFonts w:hint="eastAsia" w:ascii="方正小标宋_GBK" w:hAnsi="Times New Roman" w:eastAsia="方正小标宋_GBK"/>
          <w:sz w:val="44"/>
          <w:szCs w:val="44"/>
        </w:rPr>
        <w:t>年度部门决算公开说明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Times New Roman" w:eastAsia="方正小标宋_GBK"/>
          <w:sz w:val="36"/>
          <w:szCs w:val="36"/>
        </w:rPr>
      </w:pPr>
    </w:p>
    <w:p>
      <w:pPr>
        <w:pStyle w:val="8"/>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napToGrid/>
        <w:spacing w:afterAutospacing="0" w:line="600" w:lineRule="exact"/>
        <w:ind w:firstLine="640"/>
        <w:textAlignment w:val="auto"/>
        <w:outlineLvl w:val="9"/>
        <w:rPr>
          <w:rFonts w:hint="eastAsia" w:ascii="Times New Roman" w:hAnsi="Times New Roman" w:eastAsia="方正黑体_GBK"/>
          <w:sz w:val="32"/>
          <w:szCs w:val="32"/>
        </w:rPr>
      </w:pPr>
      <w:r>
        <w:rPr>
          <w:rFonts w:hint="eastAsia" w:ascii="Times New Roman" w:hAnsi="Times New Roman" w:eastAsia="方正黑体_GBK"/>
          <w:sz w:val="32"/>
          <w:szCs w:val="32"/>
        </w:rPr>
        <w:t>单位基本情况</w:t>
      </w:r>
    </w:p>
    <w:p>
      <w:pPr>
        <w:pStyle w:val="8"/>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afterAutospacing="0" w:line="600" w:lineRule="exact"/>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仿宋_GBK" w:cs="Times New Roman"/>
          <w:kern w:val="2"/>
          <w:sz w:val="32"/>
          <w:szCs w:val="32"/>
          <w:lang w:val="zh-CN" w:eastAsia="zh-CN" w:bidi="ar-SA"/>
        </w:rPr>
        <w:t>负责组织和管理乡镇财政收入和支出，编制执行乡镇年度财政预算，监督乡镇单位预算执行，编制财政预决算； 负责对乡镇国有资产的购置、登记、处置进行管理；贯彻执行上级的各项方针政策，抓好基层党建及乡村振兴工作，稳定和完善政府各项决策部署；抓好本乡镇领域农业、第三产业的发展、安全生产、经济可持续发展、信访维稳等工作，落实计划生育基本国策，推动优生优育，加强计划生育奖扶政策的落实；做好民政行政工作的管理，发展社会福利事业，做好社会保障工作，及时发放、兑现义务兵优待金及其他优抚对象等补贴，进一步做好征兵工作，激励广大士兵安心服役、献身国防；保障村（社区）组织的正常运转，维护社会稳定，落实党的政策和法律法规，促进村（社区）各项事业的发展，提高群众幸福指数；保障辖区内道路正常通行，提高群众交通便捷性，按时发放背街小巷清运人员的工资，维护辖区内环境卫生；认真完成上级主管部门交办的其他事项。</w:t>
      </w:r>
    </w:p>
    <w:p>
      <w:pPr>
        <w:pStyle w:val="8"/>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afterAutospacing="0" w:line="600" w:lineRule="exact"/>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 xml:space="preserve">机构设置 </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党政办公室。</w:t>
      </w:r>
      <w:r>
        <w:rPr>
          <w:rFonts w:hint="eastAsia" w:ascii="方正仿宋_GBK" w:hAnsi="方正仿宋_GBK" w:eastAsia="方正仿宋_GBK" w:cs="方正仿宋_GBK"/>
          <w:i w:val="0"/>
          <w:caps w:val="0"/>
          <w:color w:val="333333"/>
          <w:spacing w:val="0"/>
          <w:sz w:val="31"/>
          <w:szCs w:val="31"/>
          <w:shd w:val="clear" w:color="auto" w:fill="FFFFFF"/>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宋农镇</w:t>
      </w:r>
      <w:r>
        <w:rPr>
          <w:rFonts w:hint="eastAsia" w:ascii="Times New Roman" w:hAnsi="Times New Roman" w:eastAsia="方正仿宋_GBK" w:cs="Times New Roman"/>
          <w:kern w:val="2"/>
          <w:sz w:val="32"/>
          <w:szCs w:val="32"/>
          <w:lang w:val="zh-CN" w:eastAsia="zh-CN" w:bidi="ar-SA"/>
        </w:rPr>
        <w:t>财政</w:t>
      </w:r>
      <w:r>
        <w:rPr>
          <w:rFonts w:hint="eastAsia" w:ascii="Times New Roman" w:hAnsi="Times New Roman" w:eastAsia="方正仿宋_GBK" w:cs="Times New Roman"/>
          <w:kern w:val="2"/>
          <w:sz w:val="32"/>
          <w:szCs w:val="32"/>
          <w:lang w:val="en-US" w:eastAsia="zh-CN" w:bidi="ar-SA"/>
        </w:rPr>
        <w:t>办。</w:t>
      </w:r>
      <w:r>
        <w:rPr>
          <w:rFonts w:hint="eastAsia" w:ascii="方正仿宋_GBK" w:hAnsi="方正仿宋_GBK" w:eastAsia="方正仿宋_GBK" w:cs="方正仿宋_GBK"/>
          <w:i w:val="0"/>
          <w:caps w:val="0"/>
          <w:color w:val="333333"/>
          <w:spacing w:val="0"/>
          <w:sz w:val="31"/>
          <w:szCs w:val="31"/>
          <w:shd w:val="clear" w:color="auto" w:fill="FFFFFF"/>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w:t>
      </w:r>
      <w:r>
        <w:rPr>
          <w:rFonts w:hint="eastAsia" w:ascii="方正仿宋_GBK" w:hAnsi="方正仿宋_GBK" w:eastAsia="方正仿宋_GBK" w:cs="方正仿宋_GBK"/>
          <w:i w:val="0"/>
          <w:caps w:val="0"/>
          <w:color w:val="333333"/>
          <w:spacing w:val="0"/>
          <w:sz w:val="31"/>
          <w:szCs w:val="31"/>
          <w:shd w:val="clear" w:color="auto" w:fill="FFFFFF"/>
          <w:lang w:eastAsia="zh-CN"/>
        </w:rPr>
        <w:t>单位</w:t>
      </w:r>
      <w:r>
        <w:rPr>
          <w:rFonts w:hint="eastAsia" w:ascii="方正仿宋_GBK" w:hAnsi="方正仿宋_GBK" w:eastAsia="方正仿宋_GBK" w:cs="方正仿宋_GBK"/>
          <w:i w:val="0"/>
          <w:caps w:val="0"/>
          <w:color w:val="333333"/>
          <w:spacing w:val="0"/>
          <w:sz w:val="31"/>
          <w:szCs w:val="31"/>
          <w:shd w:val="clear" w:color="auto" w:fill="FFFFFF"/>
        </w:rPr>
        <w:t>组织财政收入；承担其他财政财务管理职责。</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宋农镇</w:t>
      </w:r>
      <w:r>
        <w:rPr>
          <w:rFonts w:hint="eastAsia" w:ascii="Times New Roman" w:hAnsi="Times New Roman" w:eastAsia="方正仿宋_GBK" w:cs="Times New Roman"/>
          <w:kern w:val="2"/>
          <w:sz w:val="32"/>
          <w:szCs w:val="32"/>
          <w:lang w:val="zh-CN" w:eastAsia="zh-CN" w:bidi="ar-SA"/>
        </w:rPr>
        <w:t>农业服务中心（</w:t>
      </w:r>
      <w:r>
        <w:rPr>
          <w:rFonts w:hint="eastAsia" w:ascii="Times New Roman" w:hAnsi="Times New Roman" w:eastAsia="方正仿宋_GBK" w:cs="Times New Roman"/>
          <w:kern w:val="2"/>
          <w:sz w:val="32"/>
          <w:szCs w:val="32"/>
          <w:lang w:val="en-US" w:eastAsia="zh-CN" w:bidi="ar-SA"/>
        </w:rPr>
        <w:t>特产业中心</w:t>
      </w:r>
      <w:r>
        <w:rPr>
          <w:rFonts w:hint="eastAsia" w:ascii="Times New Roman" w:hAnsi="Times New Roman" w:eastAsia="方正仿宋_GBK" w:cs="Times New Roman"/>
          <w:kern w:val="2"/>
          <w:sz w:val="32"/>
          <w:szCs w:val="32"/>
          <w:lang w:val="zh-CN" w:eastAsia="zh-CN" w:bidi="ar-SA"/>
        </w:rPr>
        <w:t>）。</w:t>
      </w:r>
      <w:r>
        <w:rPr>
          <w:rFonts w:hint="eastAsia" w:ascii="方正仿宋_GBK" w:hAnsi="方正仿宋_GBK" w:eastAsia="方正仿宋_GBK" w:cs="方正仿宋_GBK"/>
          <w:i w:val="0"/>
          <w:caps w:val="0"/>
          <w:color w:val="333333"/>
          <w:spacing w:val="0"/>
          <w:sz w:val="31"/>
          <w:szCs w:val="31"/>
          <w:shd w:val="clear" w:color="auto" w:fill="FFFFFF"/>
        </w:rPr>
        <w:t>主要职责：承担本乡镇特色产业项目的发展规划拟订并组织实施等服务职能。</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宋农镇</w:t>
      </w:r>
      <w:r>
        <w:rPr>
          <w:rFonts w:hint="eastAsia" w:ascii="Times New Roman" w:hAnsi="Times New Roman" w:eastAsia="方正仿宋_GBK" w:cs="Times New Roman"/>
          <w:kern w:val="2"/>
          <w:sz w:val="32"/>
          <w:szCs w:val="32"/>
          <w:lang w:val="zh-CN" w:eastAsia="zh-CN" w:bidi="ar-SA"/>
        </w:rPr>
        <w:t>文化服务中心。</w:t>
      </w:r>
      <w:r>
        <w:rPr>
          <w:rFonts w:hint="eastAsia" w:ascii="方正仿宋_GBK" w:hAnsi="方正仿宋_GBK" w:eastAsia="方正仿宋_GBK" w:cs="方正仿宋_GBK"/>
          <w:i w:val="0"/>
          <w:caps w:val="0"/>
          <w:color w:val="333333"/>
          <w:spacing w:val="0"/>
          <w:sz w:val="31"/>
          <w:szCs w:val="31"/>
          <w:shd w:val="clear" w:color="auto" w:fill="FFFFFF"/>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宋农镇</w:t>
      </w:r>
      <w:r>
        <w:rPr>
          <w:rFonts w:hint="eastAsia" w:ascii="Times New Roman" w:hAnsi="Times New Roman" w:eastAsia="方正仿宋_GBK" w:cs="Times New Roman"/>
          <w:kern w:val="2"/>
          <w:sz w:val="32"/>
          <w:szCs w:val="32"/>
          <w:lang w:val="zh-CN" w:eastAsia="zh-CN" w:bidi="ar-SA"/>
        </w:rPr>
        <w:t>社保所。</w:t>
      </w:r>
      <w:r>
        <w:rPr>
          <w:rFonts w:hint="eastAsia" w:ascii="方正仿宋_GBK" w:hAnsi="方正仿宋_GBK" w:eastAsia="方正仿宋_GBK" w:cs="方正仿宋_GBK"/>
          <w:i w:val="0"/>
          <w:caps w:val="0"/>
          <w:color w:val="333333"/>
          <w:spacing w:val="0"/>
          <w:sz w:val="31"/>
          <w:szCs w:val="31"/>
          <w:shd w:val="clear" w:color="auto" w:fill="FFFFFF"/>
        </w:rPr>
        <w:t>主要职责：承担就业、再就业、农村富余劳动力转移，劳动和社会保障、城镇居民最低生活保障、社保救济、医疗保障服务等社会保障相关具体工作。</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宋农镇退役军人服务站。</w:t>
      </w:r>
      <w:r>
        <w:rPr>
          <w:rFonts w:hint="eastAsia" w:ascii="方正仿宋_GBK" w:hAnsi="方正仿宋_GBK" w:eastAsia="方正仿宋_GBK" w:cs="方正仿宋_GBK"/>
          <w:i w:val="0"/>
          <w:caps w:val="0"/>
          <w:color w:val="333333"/>
          <w:spacing w:val="0"/>
          <w:sz w:val="31"/>
          <w:szCs w:val="31"/>
          <w:shd w:val="clear" w:color="auto" w:fill="FFFFFF"/>
        </w:rPr>
        <w:t>主要职责：负责做好面对面、个性化、一对一服务退役军人工作，做好关系转接、联络接待、困难帮扶、信息采集、情况反映、立功喜报、悬挂光荣牌和</w:t>
      </w:r>
      <w:r>
        <w:rPr>
          <w:rFonts w:hint="default" w:ascii="Times New Roman" w:hAnsi="Times New Roman" w:eastAsia="微软雅黑" w:cs="Times New Roman"/>
          <w:i w:val="0"/>
          <w:caps w:val="0"/>
          <w:color w:val="333333"/>
          <w:spacing w:val="0"/>
          <w:sz w:val="31"/>
          <w:szCs w:val="31"/>
          <w:shd w:val="clear" w:color="auto" w:fill="FFFFFF"/>
        </w:rPr>
        <w:t>“</w:t>
      </w:r>
      <w:r>
        <w:rPr>
          <w:rFonts w:hint="eastAsia" w:ascii="方正仿宋_GBK" w:hAnsi="方正仿宋_GBK" w:eastAsia="方正仿宋_GBK" w:cs="方正仿宋_GBK"/>
          <w:i w:val="0"/>
          <w:caps w:val="0"/>
          <w:color w:val="333333"/>
          <w:spacing w:val="0"/>
          <w:sz w:val="31"/>
          <w:szCs w:val="31"/>
          <w:shd w:val="clear" w:color="auto" w:fill="FFFFFF"/>
        </w:rPr>
        <w:t>八一</w:t>
      </w:r>
      <w:r>
        <w:rPr>
          <w:rFonts w:hint="default" w:ascii="Times New Roman" w:hAnsi="Times New Roman" w:eastAsia="微软雅黑" w:cs="Times New Roman"/>
          <w:i w:val="0"/>
          <w:caps w:val="0"/>
          <w:color w:val="333333"/>
          <w:spacing w:val="0"/>
          <w:sz w:val="31"/>
          <w:szCs w:val="31"/>
          <w:shd w:val="clear" w:color="auto" w:fill="FFFFFF"/>
        </w:rPr>
        <w:t>”</w:t>
      </w:r>
      <w:r>
        <w:rPr>
          <w:rFonts w:hint="eastAsia" w:ascii="方正仿宋_GBK" w:hAnsi="方正仿宋_GBK" w:eastAsia="方正仿宋_GBK" w:cs="方正仿宋_GBK"/>
          <w:i w:val="0"/>
          <w:caps w:val="0"/>
          <w:color w:val="333333"/>
          <w:spacing w:val="0"/>
          <w:sz w:val="31"/>
          <w:szCs w:val="31"/>
          <w:shd w:val="clear" w:color="auto" w:fill="FFFFFF"/>
        </w:rPr>
        <w:t>、春节等节日以及重大变故走访慰问等具体事务，搭建政策咨询、帮扶援助、沟通联系、学习交流等活动场所，把党和政府的关怀温暖送到每一个退役军人身边；完成上级交办的其他任务。</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宋农镇综合执法大队</w:t>
      </w:r>
      <w:r>
        <w:rPr>
          <w:rFonts w:hint="eastAsia" w:ascii="Times New Roman" w:hAnsi="Times New Roman" w:eastAsia="方正仿宋_GBK" w:cs="Times New Roman"/>
          <w:kern w:val="2"/>
          <w:sz w:val="32"/>
          <w:szCs w:val="32"/>
          <w:lang w:val="zh-CN" w:eastAsia="zh-CN" w:bidi="ar-SA"/>
        </w:rPr>
        <w:t>。</w:t>
      </w:r>
      <w:r>
        <w:rPr>
          <w:rFonts w:hint="eastAsia" w:ascii="方正仿宋_GBK" w:hAnsi="方正仿宋_GBK" w:eastAsia="方正仿宋_GBK" w:cs="方正仿宋_GBK"/>
          <w:i w:val="0"/>
          <w:caps w:val="0"/>
          <w:color w:val="333333"/>
          <w:spacing w:val="0"/>
          <w:sz w:val="31"/>
          <w:szCs w:val="31"/>
          <w:shd w:val="clear" w:color="auto" w:fill="FFFFFF"/>
        </w:rPr>
        <w:t>集中行使依法授权或委托乡镇政府承担的各项行政执法权；协调、配合县级有关</w:t>
      </w:r>
      <w:r>
        <w:rPr>
          <w:rFonts w:hint="eastAsia" w:ascii="方正仿宋_GBK" w:hAnsi="方正仿宋_GBK" w:eastAsia="方正仿宋_GBK" w:cs="方正仿宋_GBK"/>
          <w:i w:val="0"/>
          <w:caps w:val="0"/>
          <w:color w:val="333333"/>
          <w:spacing w:val="0"/>
          <w:sz w:val="31"/>
          <w:szCs w:val="31"/>
          <w:shd w:val="clear" w:color="auto" w:fill="FFFFFF"/>
          <w:lang w:eastAsia="zh-CN"/>
        </w:rPr>
        <w:t>单位</w:t>
      </w:r>
      <w:r>
        <w:rPr>
          <w:rFonts w:hint="eastAsia" w:ascii="方正仿宋_GBK" w:hAnsi="方正仿宋_GBK" w:eastAsia="方正仿宋_GBK" w:cs="方正仿宋_GBK"/>
          <w:i w:val="0"/>
          <w:caps w:val="0"/>
          <w:color w:val="333333"/>
          <w:spacing w:val="0"/>
          <w:sz w:val="31"/>
          <w:szCs w:val="31"/>
          <w:shd w:val="clear" w:color="auto" w:fill="FFFFFF"/>
        </w:rPr>
        <w:t>及派驻机构开展其他领域的联合执法。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（三）单位构成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宋体"/>
          <w:kern w:val="0"/>
          <w:sz w:val="32"/>
          <w:szCs w:val="32"/>
        </w:rPr>
        <w:t>从预算单位构成看，</w:t>
      </w:r>
      <w:r>
        <w:rPr>
          <w:rFonts w:hint="eastAsia" w:ascii="Times New Roman" w:hAnsi="Times New Roman" w:eastAsia="方正仿宋_GBK" w:cs="宋体"/>
          <w:kern w:val="0"/>
          <w:sz w:val="32"/>
          <w:szCs w:val="32"/>
          <w:lang w:eastAsia="zh-CN"/>
        </w:rPr>
        <w:t>宋农镇人民政府</w:t>
      </w:r>
      <w:r>
        <w:rPr>
          <w:rFonts w:hint="eastAsia" w:ascii="Times New Roman" w:hAnsi="Times New Roman" w:eastAsia="方正仿宋_GBK" w:cs="宋体"/>
          <w:kern w:val="0"/>
          <w:sz w:val="32"/>
          <w:szCs w:val="32"/>
        </w:rPr>
        <w:t>无二级财务独立核算机构。</w:t>
      </w:r>
    </w:p>
    <w:p>
      <w:pPr>
        <w:pStyle w:val="8"/>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napToGrid/>
        <w:spacing w:afterAutospacing="0" w:line="600" w:lineRule="exact"/>
        <w:ind w:firstLine="640"/>
        <w:textAlignment w:val="auto"/>
        <w:outlineLvl w:val="9"/>
        <w:rPr>
          <w:rFonts w:hint="eastAsia" w:ascii="Times New Roman" w:hAnsi="Times New Roman" w:eastAsia="方正黑体_GBK"/>
          <w:sz w:val="32"/>
          <w:szCs w:val="32"/>
        </w:rPr>
      </w:pPr>
      <w:r>
        <w:rPr>
          <w:rFonts w:hint="eastAsia" w:ascii="Times New Roman" w:hAnsi="Times New Roman" w:eastAsia="方正黑体_GBK"/>
          <w:sz w:val="32"/>
          <w:szCs w:val="32"/>
        </w:rPr>
        <w:t>部门决算情况说明</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Chars="200"/>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收入支出决算总体情况说明</w:t>
      </w:r>
    </w:p>
    <w:p>
      <w:pPr>
        <w:keepNext w:val="0"/>
        <w:keepLines w:val="0"/>
        <w:pageBreakBefore w:val="0"/>
        <w:widowControl w:val="0"/>
        <w:numPr>
          <w:numId w:val="0"/>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1.总体情况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2021年度收入总计</w:t>
      </w:r>
      <w:r>
        <w:rPr>
          <w:rFonts w:hint="eastAsia" w:ascii="Times New Roman" w:hAnsi="Times New Roman" w:eastAsia="方正仿宋_GBK" w:cs="Times New Roman"/>
          <w:kern w:val="2"/>
          <w:sz w:val="32"/>
          <w:szCs w:val="32"/>
          <w:highlight w:val="none"/>
          <w:lang w:val="en-US" w:eastAsia="zh-CN" w:bidi="ar-SA"/>
        </w:rPr>
        <w:t>3203.88</w:t>
      </w:r>
      <w:r>
        <w:rPr>
          <w:rFonts w:hint="eastAsia" w:ascii="Times New Roman" w:hAnsi="Times New Roman" w:eastAsia="方正仿宋_GBK" w:cs="Times New Roman"/>
          <w:kern w:val="2"/>
          <w:sz w:val="32"/>
          <w:szCs w:val="32"/>
          <w:lang w:val="en-US" w:eastAsia="zh-CN" w:bidi="ar-SA"/>
        </w:rPr>
        <w:t>万元，支出总计3203.88万元。</w:t>
      </w:r>
      <w:r>
        <w:rPr>
          <w:rFonts w:hint="eastAsia" w:ascii="方正仿宋_GBK" w:hAnsi="方正仿宋_GBK" w:eastAsia="方正仿宋_GBK" w:cs="方正仿宋_GBK"/>
          <w:i w:val="0"/>
          <w:caps w:val="0"/>
          <w:color w:val="333333"/>
          <w:spacing w:val="0"/>
          <w:sz w:val="31"/>
          <w:szCs w:val="31"/>
          <w:shd w:val="clear" w:color="auto" w:fill="FFFFFF"/>
        </w:rPr>
        <w:t>主要用于保障在职人员工资福利及社会保险缴费、离退休人员健康休养费、民政优抚对象及低保对象补贴开支等。</w:t>
      </w:r>
      <w:r>
        <w:rPr>
          <w:rFonts w:hint="eastAsia" w:ascii="Times New Roman" w:hAnsi="Times New Roman" w:eastAsia="方正仿宋_GBK" w:cs="Times New Roman"/>
          <w:kern w:val="2"/>
          <w:sz w:val="32"/>
          <w:szCs w:val="32"/>
          <w:lang w:val="en-US" w:eastAsia="zh-CN" w:bidi="ar-SA"/>
        </w:rPr>
        <w:t>收支较上年决算数减少537.12万元、下降14.4%，主要原因是农林水支出减少、交通运输支出减少、住房保障支出减少。</w:t>
      </w:r>
    </w:p>
    <w:p>
      <w:pPr>
        <w:keepNext w:val="0"/>
        <w:keepLines w:val="0"/>
        <w:pageBreakBefore w:val="0"/>
        <w:widowControl w:val="0"/>
        <w:numPr>
          <w:numId w:val="0"/>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2.收入情况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2021年度收入合计2880.75万元，较上年决算数减少153.27万元，下降5.1%，主要原因是交通运输支出减少、卫生健康支出减少、科学技术支出、节能环保支出减少、农林水支出减少</w:t>
      </w:r>
      <w:r>
        <w:rPr>
          <w:rFonts w:hint="eastAsia" w:ascii="Times New Roman" w:hAnsi="Times New Roman" w:eastAsia="方正仿宋_GBK" w:cs="Times New Roman"/>
          <w:kern w:val="2"/>
          <w:sz w:val="32"/>
          <w:szCs w:val="32"/>
          <w:highlight w:val="none"/>
          <w:lang w:val="en-US" w:eastAsia="zh-CN" w:bidi="ar-SA"/>
        </w:rPr>
        <w:t>。主要用于</w:t>
      </w:r>
      <w:r>
        <w:rPr>
          <w:rFonts w:hint="eastAsia" w:ascii="方正仿宋_GBK" w:hAnsi="方正仿宋_GBK" w:eastAsia="方正仿宋_GBK" w:cs="方正仿宋_GBK"/>
          <w:i w:val="0"/>
          <w:caps w:val="0"/>
          <w:color w:val="333333"/>
          <w:spacing w:val="0"/>
          <w:sz w:val="31"/>
          <w:szCs w:val="31"/>
          <w:shd w:val="clear" w:color="auto" w:fill="FFFFFF"/>
          <w:lang w:val="en-US" w:eastAsia="zh-CN"/>
        </w:rPr>
        <w:t>保障在职人员工资福利及社会保险缴费、离退休人员健康休养费、民政优抚对象及低保对象补贴、清运人员工资等。</w:t>
      </w:r>
      <w:r>
        <w:rPr>
          <w:rFonts w:hint="eastAsia" w:ascii="Times New Roman" w:hAnsi="Times New Roman" w:eastAsia="方正仿宋_GBK" w:cs="Times New Roman"/>
          <w:kern w:val="2"/>
          <w:sz w:val="32"/>
          <w:szCs w:val="32"/>
          <w:lang w:val="en-US" w:eastAsia="zh-CN" w:bidi="ar-SA"/>
        </w:rPr>
        <w:t>其中：财政拨款收入</w:t>
      </w:r>
      <w:r>
        <w:rPr>
          <w:rFonts w:hint="eastAsia" w:ascii="Times New Roman" w:hAnsi="Times New Roman" w:eastAsia="方正仿宋_GBK" w:cs="Times New Roman"/>
          <w:kern w:val="2"/>
          <w:sz w:val="32"/>
          <w:szCs w:val="32"/>
          <w:highlight w:val="none"/>
          <w:lang w:val="en-US" w:eastAsia="zh-CN" w:bidi="ar-SA"/>
        </w:rPr>
        <w:t>2095.2</w:t>
      </w:r>
      <w:r>
        <w:rPr>
          <w:rFonts w:hint="eastAsia" w:ascii="Times New Roman" w:hAnsi="Times New Roman" w:eastAsia="方正仿宋_GBK" w:cs="Times New Roman"/>
          <w:kern w:val="2"/>
          <w:sz w:val="32"/>
          <w:szCs w:val="32"/>
          <w:lang w:val="en-US" w:eastAsia="zh-CN" w:bidi="ar-SA"/>
        </w:rPr>
        <w:t>万元，占72.7%；事业收入</w:t>
      </w:r>
      <w:r>
        <w:rPr>
          <w:rFonts w:hint="eastAsia" w:ascii="Times New Roman" w:hAnsi="Times New Roman" w:eastAsia="方正仿宋_GBK" w:cs="Times New Roman"/>
          <w:kern w:val="2"/>
          <w:sz w:val="32"/>
          <w:szCs w:val="32"/>
          <w:highlight w:val="none"/>
          <w:lang w:val="en-US" w:eastAsia="zh-CN" w:bidi="ar-SA"/>
        </w:rPr>
        <w:t>0</w:t>
      </w:r>
      <w:r>
        <w:rPr>
          <w:rFonts w:hint="eastAsia" w:ascii="Times New Roman" w:hAnsi="Times New Roman" w:eastAsia="方正仿宋_GBK" w:cs="Times New Roman"/>
          <w:kern w:val="2"/>
          <w:sz w:val="32"/>
          <w:szCs w:val="32"/>
          <w:lang w:val="en-US" w:eastAsia="zh-CN" w:bidi="ar-SA"/>
        </w:rPr>
        <w:t>万元，占0%；经营收入0万元，占0%；其他收入785.55万元，占27.3%。此外，使用非财政拨款结余0万元，年初结转和结余323.13万元。</w:t>
      </w:r>
    </w:p>
    <w:p>
      <w:pPr>
        <w:keepNext w:val="0"/>
        <w:keepLines w:val="0"/>
        <w:pageBreakBefore w:val="0"/>
        <w:widowControl w:val="0"/>
        <w:numPr>
          <w:numId w:val="0"/>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3.支出情况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2021年度支出合计2972.77万元，较上年决算数减少305.75万元，下降9.3%，主要原因是农林水支出减少、交通运输支出减少、住房保障支出减少。</w:t>
      </w:r>
      <w:r>
        <w:rPr>
          <w:rFonts w:hint="eastAsia" w:ascii="方正仿宋_GBK" w:hAnsi="方正仿宋_GBK" w:eastAsia="方正仿宋_GBK" w:cs="方正仿宋_GBK"/>
          <w:i w:val="0"/>
          <w:caps w:val="0"/>
          <w:color w:val="333333"/>
          <w:spacing w:val="0"/>
          <w:sz w:val="31"/>
          <w:szCs w:val="31"/>
          <w:shd w:val="clear" w:color="auto" w:fill="FFFFFF"/>
          <w:lang w:val="en-US" w:eastAsia="zh-CN"/>
        </w:rPr>
        <w:t>主要用于保障在职人员工资福利及社会保险缴费、离退休人员健康休养费、民政优抚对象及低保对象补贴、拆迁经费开支、其他项目开支等。</w:t>
      </w:r>
      <w:r>
        <w:rPr>
          <w:rFonts w:hint="eastAsia" w:ascii="Times New Roman" w:hAnsi="Times New Roman" w:eastAsia="方正仿宋_GBK" w:cs="Times New Roman"/>
          <w:kern w:val="2"/>
          <w:sz w:val="32"/>
          <w:szCs w:val="32"/>
          <w:lang w:val="en-US" w:eastAsia="zh-CN" w:bidi="ar-SA"/>
        </w:rPr>
        <w:t>其中：基本支出902.85万元，占30.4%；项目支出2069.92万元，占69.6%；经营支出0万元，占0%。此外，结余分配0万元。</w:t>
      </w:r>
    </w:p>
    <w:p>
      <w:pPr>
        <w:keepNext w:val="0"/>
        <w:keepLines w:val="0"/>
        <w:pageBreakBefore w:val="0"/>
        <w:widowControl w:val="0"/>
        <w:numPr>
          <w:numId w:val="0"/>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4.结转结余情况</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仿宋_GBK" w:cs="Times New Roman"/>
          <w:kern w:val="2"/>
          <w:sz w:val="32"/>
          <w:szCs w:val="32"/>
          <w:lang w:val="en-US" w:eastAsia="zh-CN" w:bidi="ar-SA"/>
        </w:rPr>
        <w:t>2021年度年末结转和结余231.11万元，较上年决算数减少231.37万元，下降50%，主要原因是</w:t>
      </w:r>
      <w:r>
        <w:rPr>
          <w:rFonts w:hint="default" w:ascii="Times New Roman" w:hAnsi="Times New Roman" w:eastAsia="方正仿宋_GBK" w:cs="Times New Roman"/>
          <w:b w:val="0"/>
          <w:bCs/>
          <w:kern w:val="0"/>
          <w:sz w:val="32"/>
          <w:szCs w:val="32"/>
          <w:shd w:val="clear" w:fill="FFFFFF"/>
        </w:rPr>
        <w:t>2020年形成的结转结余资金在2021年实现了支出，</w:t>
      </w:r>
      <w:r>
        <w:rPr>
          <w:rFonts w:hint="eastAsia" w:ascii="Times New Roman" w:hAnsi="Times New Roman" w:eastAsia="方正仿宋_GBK" w:cs="宋体"/>
          <w:kern w:val="0"/>
          <w:sz w:val="32"/>
          <w:szCs w:val="32"/>
        </w:rPr>
        <w:t>且于2021年底，财政局收回我单位账面结余两年以上资金</w:t>
      </w:r>
      <w:r>
        <w:rPr>
          <w:rFonts w:hint="default" w:ascii="Times New Roman" w:hAnsi="Times New Roman" w:eastAsia="方正仿宋_GBK" w:cs="Times New Roman"/>
          <w:b w:val="0"/>
          <w:bCs/>
          <w:kern w:val="0"/>
          <w:sz w:val="32"/>
          <w:szCs w:val="32"/>
          <w:shd w:val="clear" w:fill="FFFFFF"/>
        </w:rPr>
        <w:t>。</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Chars="200"/>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财政拨款收入支出决算总体情况说明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仿宋_GBK" w:cs="Times New Roman"/>
          <w:kern w:val="2"/>
          <w:sz w:val="32"/>
          <w:szCs w:val="32"/>
          <w:lang w:val="en-US" w:eastAsia="zh-CN" w:bidi="ar-SA"/>
        </w:rPr>
        <w:t>2021年度财政拨款收、支总计2247.59万元。与2020年相比，财政拨款收、支总计各减少668.75万元，下降22.9%。主要原因是</w:t>
      </w:r>
      <w:r>
        <w:rPr>
          <w:rFonts w:hint="default" w:ascii="Times New Roman" w:hAnsi="Times New Roman" w:eastAsia="方正仿宋_GBK" w:cs="Times New Roman"/>
          <w:b w:val="0"/>
          <w:bCs/>
          <w:kern w:val="0"/>
          <w:sz w:val="32"/>
          <w:szCs w:val="32"/>
          <w:highlight w:val="none"/>
          <w:shd w:val="clear" w:fill="FFFFFF"/>
        </w:rPr>
        <w:t>财政安排的项目资金</w:t>
      </w:r>
      <w:r>
        <w:rPr>
          <w:rFonts w:hint="eastAsia" w:ascii="Times New Roman" w:hAnsi="Times New Roman" w:eastAsia="方正仿宋_GBK" w:cs="Times New Roman"/>
          <w:b w:val="0"/>
          <w:bCs/>
          <w:kern w:val="0"/>
          <w:sz w:val="32"/>
          <w:szCs w:val="32"/>
          <w:highlight w:val="none"/>
          <w:shd w:val="clear" w:fill="FFFFFF"/>
          <w:lang w:eastAsia="zh-CN"/>
        </w:rPr>
        <w:t>减少</w:t>
      </w:r>
      <w:r>
        <w:rPr>
          <w:rFonts w:hint="default" w:ascii="Times New Roman" w:hAnsi="Times New Roman" w:eastAsia="方正仿宋_GBK" w:cs="Times New Roman"/>
          <w:b w:val="0"/>
          <w:bCs/>
          <w:kern w:val="0"/>
          <w:sz w:val="32"/>
          <w:szCs w:val="32"/>
          <w:highlight w:val="none"/>
          <w:shd w:val="clear" w:fill="FFFFFF"/>
        </w:rPr>
        <w:t>和</w:t>
      </w:r>
      <w:r>
        <w:rPr>
          <w:rFonts w:hint="default" w:ascii="Times New Roman" w:hAnsi="Times New Roman" w:eastAsia="方正仿宋_GBK" w:cs="Times New Roman"/>
          <w:b w:val="0"/>
          <w:bCs/>
          <w:kern w:val="0"/>
          <w:sz w:val="32"/>
          <w:szCs w:val="32"/>
          <w:shd w:val="clear" w:fill="FFFFFF"/>
        </w:rPr>
        <w:t>一般性支出</w:t>
      </w:r>
      <w:r>
        <w:rPr>
          <w:rFonts w:hint="eastAsia" w:ascii="Times New Roman" w:hAnsi="Times New Roman" w:eastAsia="方正仿宋_GBK" w:cs="Times New Roman"/>
          <w:b w:val="0"/>
          <w:bCs/>
          <w:kern w:val="0"/>
          <w:sz w:val="32"/>
          <w:szCs w:val="32"/>
          <w:shd w:val="clear" w:fill="FFFFFF"/>
          <w:lang w:eastAsia="zh-CN"/>
        </w:rPr>
        <w:t>减少</w:t>
      </w:r>
      <w:r>
        <w:rPr>
          <w:rFonts w:hint="default" w:ascii="Times New Roman" w:hAnsi="Times New Roman" w:eastAsia="方正仿宋_GBK" w:cs="Times New Roman"/>
          <w:b w:val="0"/>
          <w:bCs/>
          <w:kern w:val="0"/>
          <w:sz w:val="32"/>
          <w:szCs w:val="32"/>
          <w:shd w:val="clear" w:fill="FFFFFF"/>
        </w:rPr>
        <w:t>。</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Chars="200"/>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一般公共预算财政拨款收入支出决算情况说明</w:t>
      </w:r>
    </w:p>
    <w:p>
      <w:pPr>
        <w:keepNext w:val="0"/>
        <w:keepLines w:val="0"/>
        <w:pageBreakBefore w:val="0"/>
        <w:widowControl w:val="0"/>
        <w:numPr>
          <w:numId w:val="0"/>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1.收入情况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2021年度一般公共预算财政拨款收入1961.23万元，较上年决算数减少508.58万元，下降20.6%。主要原因是</w:t>
      </w:r>
      <w:r>
        <w:rPr>
          <w:rFonts w:hint="default" w:ascii="Times New Roman" w:hAnsi="Times New Roman" w:eastAsia="方正仿宋_GBK" w:cs="Times New Roman"/>
          <w:b w:val="0"/>
          <w:bCs/>
          <w:kern w:val="0"/>
          <w:sz w:val="32"/>
          <w:szCs w:val="32"/>
          <w:shd w:val="clear" w:fill="FFFFFF"/>
        </w:rPr>
        <w:t>财政安排的项目资金</w:t>
      </w:r>
      <w:r>
        <w:rPr>
          <w:rFonts w:hint="eastAsia" w:ascii="Times New Roman" w:hAnsi="Times New Roman" w:eastAsia="方正仿宋_GBK" w:cs="Times New Roman"/>
          <w:b w:val="0"/>
          <w:bCs/>
          <w:kern w:val="0"/>
          <w:sz w:val="32"/>
          <w:szCs w:val="32"/>
          <w:shd w:val="clear" w:fill="FFFFFF"/>
          <w:lang w:eastAsia="zh-CN"/>
        </w:rPr>
        <w:t>减少</w:t>
      </w:r>
      <w:r>
        <w:rPr>
          <w:rFonts w:hint="default" w:ascii="Times New Roman" w:hAnsi="Times New Roman" w:eastAsia="方正仿宋_GBK" w:cs="Times New Roman"/>
          <w:b w:val="0"/>
          <w:bCs/>
          <w:kern w:val="0"/>
          <w:sz w:val="32"/>
          <w:szCs w:val="32"/>
          <w:shd w:val="clear" w:fill="FFFFFF"/>
        </w:rPr>
        <w:t>，财政拨款收入</w:t>
      </w:r>
      <w:r>
        <w:rPr>
          <w:rFonts w:hint="eastAsia" w:ascii="Times New Roman" w:hAnsi="Times New Roman" w:eastAsia="方正仿宋_GBK" w:cs="Times New Roman"/>
          <w:b w:val="0"/>
          <w:bCs/>
          <w:kern w:val="0"/>
          <w:sz w:val="32"/>
          <w:szCs w:val="32"/>
          <w:shd w:val="clear" w:fill="FFFFFF"/>
          <w:lang w:eastAsia="zh-CN"/>
        </w:rPr>
        <w:t>减少</w:t>
      </w:r>
      <w:r>
        <w:rPr>
          <w:rFonts w:hint="eastAsia" w:ascii="Times New Roman" w:hAnsi="Times New Roman" w:eastAsia="方正仿宋_GBK" w:cs="Times New Roman"/>
          <w:kern w:val="2"/>
          <w:sz w:val="32"/>
          <w:szCs w:val="32"/>
          <w:lang w:val="en-US" w:eastAsia="zh-CN" w:bidi="ar-SA"/>
        </w:rPr>
        <w:t>。较年初预算数增加423.06万元，增长27.5%。主要原因是</w:t>
      </w:r>
      <w:r>
        <w:rPr>
          <w:rFonts w:hint="default" w:ascii="Times New Roman" w:hAnsi="Times New Roman" w:eastAsia="方正仿宋_GBK" w:cs="Times New Roman"/>
          <w:b w:val="0"/>
          <w:bCs/>
          <w:kern w:val="0"/>
          <w:sz w:val="32"/>
          <w:szCs w:val="32"/>
          <w:shd w:val="clear" w:fill="FFFFFF"/>
        </w:rPr>
        <w:t>人员政策性增资、优抚对象补贴增加、2021年村（社区）干部补贴待遇调标等，主要用于保障在职人员工资福利及社会保险缴费、离退休人员健康休养费、民政优抚对象及低保对象补贴、</w:t>
      </w:r>
      <w:r>
        <w:rPr>
          <w:rFonts w:hint="eastAsia" w:ascii="Times New Roman" w:hAnsi="Times New Roman" w:eastAsia="方正仿宋_GBK" w:cs="Times New Roman"/>
          <w:b w:val="0"/>
          <w:bCs/>
          <w:kern w:val="0"/>
          <w:sz w:val="32"/>
          <w:szCs w:val="32"/>
          <w:shd w:val="clear" w:fill="FFFFFF"/>
          <w:lang w:eastAsia="zh-CN"/>
        </w:rPr>
        <w:t>环卫</w:t>
      </w:r>
      <w:r>
        <w:rPr>
          <w:rFonts w:hint="default" w:ascii="Times New Roman" w:hAnsi="Times New Roman" w:eastAsia="方正仿宋_GBK" w:cs="Times New Roman"/>
          <w:b w:val="0"/>
          <w:bCs/>
          <w:kern w:val="0"/>
          <w:sz w:val="32"/>
          <w:szCs w:val="32"/>
          <w:shd w:val="clear" w:fill="FFFFFF"/>
        </w:rPr>
        <w:t>人员工资</w:t>
      </w:r>
      <w:r>
        <w:rPr>
          <w:rFonts w:hint="eastAsia" w:ascii="Times New Roman" w:hAnsi="Times New Roman" w:eastAsia="方正仿宋_GBK" w:cs="Times New Roman"/>
          <w:kern w:val="2"/>
          <w:sz w:val="32"/>
          <w:szCs w:val="32"/>
          <w:lang w:val="en-US" w:eastAsia="zh-CN" w:bidi="ar-SA"/>
        </w:rPr>
        <w:t xml:space="preserve"> 。此外，年初财政拨款结转和结余139.04万元。</w:t>
      </w:r>
    </w:p>
    <w:p>
      <w:pPr>
        <w:keepNext w:val="0"/>
        <w:keepLines w:val="0"/>
        <w:pageBreakBefore w:val="0"/>
        <w:widowControl w:val="0"/>
        <w:numPr>
          <w:numId w:val="0"/>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2.支出情况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2021年度一般公共预算财政拨款支出2028.75万元，</w:t>
      </w:r>
      <w:r>
        <w:rPr>
          <w:rFonts w:hint="eastAsia" w:ascii="方正仿宋_GBK" w:hAnsi="方正仿宋_GBK" w:eastAsia="方正仿宋_GBK" w:cs="方正仿宋_GBK"/>
          <w:i w:val="0"/>
          <w:caps w:val="0"/>
          <w:color w:val="333333"/>
          <w:spacing w:val="0"/>
          <w:sz w:val="31"/>
          <w:szCs w:val="31"/>
          <w:shd w:val="clear" w:color="auto" w:fill="FFFFFF"/>
        </w:rPr>
        <w:t>主要用于保障在职人员工资福利及社会保险缴费、离退休人员健康休养费、民政优抚对象及低保对象补贴</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hint="eastAsia" w:ascii="Times New Roman" w:hAnsi="Times New Roman" w:eastAsia="方正仿宋_GBK" w:cs="Times New Roman"/>
          <w:kern w:val="2"/>
          <w:sz w:val="32"/>
          <w:szCs w:val="32"/>
          <w:lang w:val="en-US" w:eastAsia="zh-CN" w:bidi="ar-SA"/>
        </w:rPr>
        <w:t>较上年决算数减少708.06万元，下降25.9%，主要原因是</w:t>
      </w:r>
      <w:r>
        <w:rPr>
          <w:rFonts w:hint="default" w:ascii="Times New Roman" w:hAnsi="Times New Roman" w:eastAsia="方正仿宋_GBK" w:cs="Times New Roman"/>
          <w:b w:val="0"/>
          <w:bCs/>
          <w:kern w:val="0"/>
          <w:sz w:val="32"/>
          <w:szCs w:val="32"/>
          <w:shd w:val="clear" w:fill="FFFFFF"/>
        </w:rPr>
        <w:t>财政安排的项目资金</w:t>
      </w:r>
      <w:r>
        <w:rPr>
          <w:rFonts w:hint="eastAsia" w:ascii="Times New Roman" w:hAnsi="Times New Roman" w:eastAsia="方正仿宋_GBK" w:cs="Times New Roman"/>
          <w:b w:val="0"/>
          <w:bCs/>
          <w:kern w:val="0"/>
          <w:sz w:val="32"/>
          <w:szCs w:val="32"/>
          <w:shd w:val="clear" w:fill="FFFFFF"/>
          <w:lang w:eastAsia="zh-CN"/>
        </w:rPr>
        <w:t>减少</w:t>
      </w:r>
      <w:r>
        <w:rPr>
          <w:rFonts w:hint="default" w:ascii="Times New Roman" w:hAnsi="Times New Roman" w:eastAsia="方正仿宋_GBK" w:cs="Times New Roman"/>
          <w:b w:val="0"/>
          <w:bCs/>
          <w:kern w:val="0"/>
          <w:sz w:val="32"/>
          <w:szCs w:val="32"/>
          <w:shd w:val="clear" w:fill="FFFFFF"/>
        </w:rPr>
        <w:t>，支出相应</w:t>
      </w:r>
      <w:r>
        <w:rPr>
          <w:rFonts w:hint="eastAsia" w:ascii="Times New Roman" w:hAnsi="Times New Roman" w:eastAsia="方正仿宋_GBK" w:cs="Times New Roman"/>
          <w:b w:val="0"/>
          <w:bCs/>
          <w:kern w:val="0"/>
          <w:sz w:val="32"/>
          <w:szCs w:val="32"/>
          <w:shd w:val="clear" w:fill="FFFFFF"/>
          <w:lang w:eastAsia="zh-CN"/>
        </w:rPr>
        <w:t>减少</w:t>
      </w:r>
      <w:r>
        <w:rPr>
          <w:rFonts w:hint="eastAsia" w:ascii="Times New Roman" w:hAnsi="Times New Roman" w:eastAsia="方正仿宋_GBK" w:cs="Times New Roman"/>
          <w:kern w:val="2"/>
          <w:sz w:val="32"/>
          <w:szCs w:val="32"/>
          <w:lang w:val="en-US" w:eastAsia="zh-CN" w:bidi="ar-SA"/>
        </w:rPr>
        <w:t>。较年初预算数增加351.54万元，增长21%。主要原因是</w:t>
      </w:r>
      <w:r>
        <w:rPr>
          <w:rFonts w:hint="default" w:ascii="Times New Roman" w:hAnsi="Times New Roman" w:eastAsia="方正仿宋_GBK" w:cs="Times New Roman"/>
          <w:b w:val="0"/>
          <w:bCs/>
          <w:kern w:val="0"/>
          <w:sz w:val="32"/>
          <w:szCs w:val="32"/>
          <w:shd w:val="clear" w:fill="FFFFFF"/>
        </w:rPr>
        <w:t>人员政策性增资、优抚对象补贴增加、2021年村（社区）干部补贴待遇调标等</w:t>
      </w:r>
      <w:r>
        <w:rPr>
          <w:rFonts w:hint="eastAsia" w:ascii="Times New Roman" w:hAnsi="Times New Roman" w:eastAsia="方正仿宋_GBK" w:cs="Times New Roman"/>
          <w:b w:val="0"/>
          <w:bCs/>
          <w:kern w:val="0"/>
          <w:sz w:val="32"/>
          <w:szCs w:val="32"/>
          <w:shd w:val="clear" w:fill="FFFFFF"/>
          <w:lang w:eastAsia="zh-CN"/>
        </w:rPr>
        <w:t>。</w:t>
      </w:r>
    </w:p>
    <w:p>
      <w:pPr>
        <w:keepNext w:val="0"/>
        <w:keepLines w:val="0"/>
        <w:pageBreakBefore w:val="0"/>
        <w:widowControl w:val="0"/>
        <w:numPr>
          <w:numId w:val="0"/>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3.结转结余情况</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2021年度年末一般公共预算财政拨款结转和结余71.52万元，较上年决算数减少94.65万元，下降57%，主要原因是2020</w:t>
      </w:r>
      <w:r>
        <w:rPr>
          <w:rFonts w:hint="default" w:ascii="Times New Roman" w:hAnsi="Times New Roman" w:eastAsia="方正仿宋_GBK" w:cs="Times New Roman"/>
          <w:b w:val="0"/>
          <w:bCs/>
          <w:kern w:val="0"/>
          <w:sz w:val="32"/>
          <w:szCs w:val="32"/>
          <w:shd w:val="clear" w:fill="FFFFFF"/>
        </w:rPr>
        <w:t>年形成的结转结余资金在2021年实现了支出，且于2021年底，财政局收回我单位账面结余两年以上资金。</w:t>
      </w:r>
    </w:p>
    <w:p>
      <w:pPr>
        <w:keepNext w:val="0"/>
        <w:keepLines w:val="0"/>
        <w:pageBreakBefore w:val="0"/>
        <w:widowControl w:val="0"/>
        <w:numPr>
          <w:numId w:val="0"/>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4.比较情况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本部门2021年度一般公共预算财政拨款支出主要用于以下几个方面：</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（1）一般公共服务支出488.36万元，占24.1%，较年初预算数减少51.30万元，下降9.5%，主要原因一是</w:t>
      </w:r>
      <w:r>
        <w:rPr>
          <w:rFonts w:hint="eastAsia" w:ascii="Times New Roman" w:hAnsi="Times New Roman" w:eastAsia="方正仿宋_GBK" w:cs="Times New Roman"/>
          <w:b w:val="0"/>
          <w:bCs/>
          <w:kern w:val="0"/>
          <w:sz w:val="32"/>
          <w:szCs w:val="32"/>
          <w:shd w:val="clear" w:fill="FFFFFF"/>
          <w:lang w:eastAsia="zh-CN"/>
        </w:rPr>
        <w:t>已用其他经费进行开支，导致一般公共服务经费减少、二是压紧开支。</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（2）公共安全支出15.84万元，占0.8%，较年初预算数增加10.92万元，增长222%，主要原因是</w:t>
      </w:r>
      <w:r>
        <w:rPr>
          <w:rFonts w:hint="eastAsia" w:ascii="方正仿宋_GBK" w:hAnsi="方正仿宋_GBK" w:eastAsia="方正仿宋_GBK"/>
          <w:snapToGrid/>
          <w:sz w:val="32"/>
          <w:shd w:val="clear" w:color="auto" w:fill="FFFFFF"/>
          <w:lang w:eastAsia="zh-CN"/>
        </w:rPr>
        <w:t>年中增加预算，用于平安建设经费。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（3）科学技术支出3.26万元，占0.2%，较年初预算数增加0万元，增长0%，</w:t>
      </w:r>
      <w:r>
        <w:rPr>
          <w:rFonts w:hint="default" w:ascii="Times New Roman" w:hAnsi="Times New Roman" w:eastAsia="方正仿宋_GBK" w:cs="Times New Roman"/>
          <w:b w:val="0"/>
          <w:bCs/>
          <w:kern w:val="0"/>
          <w:sz w:val="32"/>
          <w:szCs w:val="32"/>
          <w:shd w:val="clear" w:fill="FFFFFF"/>
        </w:rPr>
        <w:t>与年初预算持平</w:t>
      </w:r>
      <w:r>
        <w:rPr>
          <w:rFonts w:hint="eastAsia" w:ascii="Times New Roman" w:hAnsi="Times New Roman" w:eastAsia="方正仿宋_GBK" w:cs="Times New Roman"/>
          <w:kern w:val="2"/>
          <w:sz w:val="32"/>
          <w:szCs w:val="32"/>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（4）文化旅游体育与传媒支出49.02万元，占2.4%，较年初预算数增加31.33万元，增长177.1%，主要原因是群众文化人员经费增加、群众文化活动经费增加。</w:t>
      </w:r>
    </w:p>
    <w:p>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（5）社会保障与就业支出739.79万元，占36.5%，较年初预算数增加156.33万元，增长26.8%，主要原因是</w:t>
      </w:r>
      <w:r>
        <w:rPr>
          <w:rFonts w:hint="eastAsia" w:ascii="方正仿宋_GBK" w:hAnsi="方正仿宋_GBK" w:eastAsia="方正仿宋_GBK"/>
          <w:snapToGrid/>
          <w:sz w:val="32"/>
          <w:shd w:val="clear" w:color="auto" w:fill="FFFFFF"/>
          <w:lang w:eastAsia="zh-CN"/>
        </w:rPr>
        <w:t>社会救济增加、民政供养人员增加。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（6）卫生健康支出35.76万元，占1.8%，较年初预算数减少0.4万元，下降1.1%，主要原因是预算项目比较全面，升降幅度较小 。</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（7）节能环保支出53.4万元，占2.6%，较年初预算数减少0.67万元，下降1.2%，主要原因是预算项目比较全面，升降幅度较小。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（8）农林水支出576.62万元，占28.4%，较年初预算数增加174.96万元，增长43.55%，主要原因是</w:t>
      </w:r>
      <w:r>
        <w:rPr>
          <w:rFonts w:hint="default" w:ascii="Times New Roman" w:hAnsi="Times New Roman" w:eastAsia="方正仿宋_GBK" w:cs="Times New Roman"/>
          <w:b w:val="0"/>
          <w:bCs/>
          <w:kern w:val="0"/>
          <w:sz w:val="32"/>
          <w:szCs w:val="32"/>
          <w:shd w:val="clear" w:fill="FFFFFF"/>
        </w:rPr>
        <w:t>部分农村基础设施建设、生产发展、其他扶贫支出未纳入预算开支</w:t>
      </w:r>
      <w:r>
        <w:rPr>
          <w:rFonts w:hint="eastAsia" w:ascii="Times New Roman" w:hAnsi="Times New Roman" w:eastAsia="方正仿宋_GBK" w:cs="Times New Roman"/>
          <w:b w:val="0"/>
          <w:bCs/>
          <w:kern w:val="0"/>
          <w:sz w:val="32"/>
          <w:szCs w:val="32"/>
          <w:shd w:val="clear" w:fill="FFFFFF"/>
          <w:lang w:eastAsia="zh-CN"/>
        </w:rPr>
        <w:t>。</w:t>
      </w:r>
      <w:r>
        <w:rPr>
          <w:rFonts w:hint="eastAsia" w:ascii="Times New Roman" w:hAnsi="Times New Roman" w:eastAsia="方正仿宋_GBK" w:cs="Times New Roman"/>
          <w:kern w:val="2"/>
          <w:sz w:val="32"/>
          <w:szCs w:val="32"/>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（9）交通运输支出28万元，占1.4%，较年初预算数增加28万元，增长100%，主要原因是凤凰寨村塘口至涂家公路硬化28万元</w:t>
      </w:r>
      <w:r>
        <w:rPr>
          <w:rFonts w:hint="eastAsia" w:ascii="Times New Roman" w:hAnsi="Times New Roman" w:eastAsia="方正仿宋_GBK" w:cs="Times New Roman"/>
          <w:b w:val="0"/>
          <w:bCs/>
          <w:kern w:val="0"/>
          <w:sz w:val="32"/>
          <w:szCs w:val="32"/>
          <w:shd w:val="clear" w:fill="FFFFFF"/>
          <w:lang w:val="en-US" w:eastAsia="zh-CN"/>
        </w:rPr>
        <w:t>的</w:t>
      </w:r>
      <w:r>
        <w:rPr>
          <w:rFonts w:hint="eastAsia" w:ascii="Times New Roman" w:hAnsi="Times New Roman" w:eastAsia="方正仿宋_GBK" w:cs="Times New Roman"/>
          <w:b w:val="0"/>
          <w:bCs/>
          <w:kern w:val="0"/>
          <w:sz w:val="32"/>
          <w:szCs w:val="32"/>
          <w:shd w:val="clear" w:fill="FFFFFF"/>
          <w:lang w:eastAsia="zh-CN"/>
        </w:rPr>
        <w:t>基础设施项目资金。</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（10）住房保障支出33.97万元，占1.7%，较年初预算数减少1.82万元，下降5.1%，主要原因是住房公积金减少。 </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（11）灾害防治及应急管理支出4.72万元，占0.2%，较年初预算数增加4.18万元，增长774.1%，主要原因是</w:t>
      </w:r>
      <w:r>
        <w:rPr>
          <w:rFonts w:hint="eastAsia" w:ascii="方正仿宋_GBK" w:hAnsi="方正仿宋_GBK" w:eastAsia="方正仿宋_GBK"/>
          <w:snapToGrid/>
          <w:sz w:val="32"/>
          <w:shd w:val="clear" w:color="auto" w:fill="FFFFFF"/>
          <w:lang w:eastAsia="zh-CN"/>
        </w:rPr>
        <w:t>202</w:t>
      </w:r>
      <w:r>
        <w:rPr>
          <w:rFonts w:hint="eastAsia" w:ascii="方正仿宋_GBK" w:hAnsi="方正仿宋_GBK" w:eastAsia="方正仿宋_GBK"/>
          <w:snapToGrid/>
          <w:sz w:val="32"/>
          <w:shd w:val="clear" w:color="auto" w:fill="FFFFFF"/>
          <w:lang w:val="en-US" w:eastAsia="zh-CN"/>
        </w:rPr>
        <w:t>1</w:t>
      </w:r>
      <w:r>
        <w:rPr>
          <w:rFonts w:hint="eastAsia" w:ascii="方正仿宋_GBK" w:hAnsi="方正仿宋_GBK" w:eastAsia="方正仿宋_GBK"/>
          <w:snapToGrid/>
          <w:sz w:val="32"/>
          <w:shd w:val="clear" w:color="auto" w:fill="FFFFFF"/>
          <w:lang w:eastAsia="zh-CN"/>
        </w:rPr>
        <w:t>年新增灾害防治及应急管理支出。</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Chars="200"/>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一般公共预算财政拨款基本支出决算情况说明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仿宋_GBK" w:cs="Times New Roman"/>
          <w:kern w:val="2"/>
          <w:sz w:val="32"/>
          <w:szCs w:val="32"/>
          <w:lang w:val="en-US" w:eastAsia="zh-CN" w:bidi="ar-SA"/>
        </w:rPr>
        <w:t>2021年度一般公共财政拨款基本支出902.85万元。其中：人员经费784.6万元，较上年决算数增加56.37万元，增长7.7%，主要原因是人员增加、</w:t>
      </w:r>
      <w:r>
        <w:rPr>
          <w:rFonts w:hint="default" w:ascii="Times New Roman" w:hAnsi="Times New Roman" w:eastAsia="方正仿宋_GBK" w:cs="Times New Roman"/>
          <w:b w:val="0"/>
          <w:bCs/>
          <w:kern w:val="0"/>
          <w:sz w:val="32"/>
          <w:szCs w:val="32"/>
          <w:shd w:val="clear" w:fill="FFFFFF"/>
        </w:rPr>
        <w:t>人员调资支出</w:t>
      </w:r>
      <w:r>
        <w:rPr>
          <w:rFonts w:hint="eastAsia" w:ascii="Times New Roman" w:hAnsi="Times New Roman" w:eastAsia="方正仿宋_GBK" w:cs="Times New Roman"/>
          <w:kern w:val="2"/>
          <w:sz w:val="32"/>
          <w:szCs w:val="32"/>
          <w:lang w:val="en-US" w:eastAsia="zh-CN" w:bidi="ar-SA"/>
        </w:rPr>
        <w:t>。人员经费用途主要包括</w:t>
      </w:r>
      <w:r>
        <w:rPr>
          <w:rFonts w:hint="default" w:ascii="Times New Roman" w:hAnsi="Times New Roman" w:eastAsia="方正仿宋_GBK" w:cs="Times New Roman"/>
          <w:b w:val="0"/>
          <w:bCs/>
          <w:kern w:val="0"/>
          <w:sz w:val="32"/>
          <w:szCs w:val="32"/>
          <w:shd w:val="clear" w:fill="FFFFFF"/>
        </w:rPr>
        <w:t>基本工资、津贴补贴、奖金、社会保障缴费</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highlight w:val="none"/>
          <w:lang w:val="en-US" w:eastAsia="zh-CN" w:bidi="ar-SA"/>
        </w:rPr>
        <w:t>公用经费118.24万元，较上年决算数减少42.2万元，下降26.3%，主要原因是三公经费减少。公用经费用途主要</w:t>
      </w:r>
      <w:r>
        <w:rPr>
          <w:rFonts w:hint="eastAsia" w:ascii="Times New Roman" w:hAnsi="Times New Roman" w:eastAsia="方正仿宋_GBK" w:cs="Times New Roman"/>
          <w:kern w:val="2"/>
          <w:sz w:val="32"/>
          <w:szCs w:val="32"/>
          <w:lang w:val="en-US" w:eastAsia="zh-CN" w:bidi="ar-SA"/>
        </w:rPr>
        <w:t>包括办公费、水电费、邮电费、差旅费、会议费、培训费、劳务费、其他商品和服务等。</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Chars="200"/>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政府性基金预算收支决算情况说明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仿宋_GBK" w:cs="Times New Roman"/>
          <w:kern w:val="2"/>
          <w:sz w:val="32"/>
          <w:szCs w:val="32"/>
          <w:lang w:val="en-US" w:eastAsia="zh-CN" w:bidi="ar-SA"/>
        </w:rPr>
        <w:t>2021年度政府性基金预算财政拨款年初结转结余13.35万元，年末结转结余0万元。本年收入133.97万元，较上年决算数增加120.62万元，增长903.5%，主要原因是大土村大土至黄花柳公路错车道、宋农大土至柏乡路硬化、宋农凤凰寨塘口至涂家路硬化、宋农田坝至骑骡坪路硬化、中山陈家坡至兴龙坡硬化建设。本年支出147.33万元，较上年决算数增加147.33万元，增长100%，主要原因是大土村大土至黄花柳公路错车道、宋农大土至柏乡路硬化、宋农凤凰寨塘口至涂家路硬化、宋农田坝至骑骡坪路硬化、中山陈家坡至兴龙坡硬化建设。</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Chars="200"/>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国有资本经营预算财政拨款支出决算情况说明</w:t>
      </w: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方正仿宋_GBK" w:hAnsi="方正仿宋_GBK" w:eastAsia="方正仿宋_GBK"/>
          <w:snapToGrid/>
          <w:sz w:val="32"/>
          <w:shd w:val="clear" w:color="auto" w:fill="FFFFFF"/>
        </w:rPr>
      </w:pPr>
      <w:r>
        <w:rPr>
          <w:rFonts w:hint="eastAsia" w:ascii="方正仿宋_GBK" w:hAnsi="方正仿宋_GBK" w:eastAsia="方正仿宋_GBK"/>
          <w:snapToGrid/>
          <w:sz w:val="32"/>
          <w:shd w:val="clear" w:color="auto" w:fill="FFFFFF"/>
          <w:lang w:eastAsia="zh-CN"/>
        </w:rPr>
        <w:t>本部门202</w:t>
      </w:r>
      <w:r>
        <w:rPr>
          <w:rFonts w:hint="eastAsia" w:ascii="方正仿宋_GBK" w:hAnsi="方正仿宋_GBK" w:eastAsia="方正仿宋_GBK"/>
          <w:snapToGrid/>
          <w:sz w:val="32"/>
          <w:shd w:val="clear" w:color="auto" w:fill="FFFFFF"/>
          <w:lang w:val="en-US" w:eastAsia="zh-CN"/>
        </w:rPr>
        <w:t>1</w:t>
      </w:r>
      <w:r>
        <w:rPr>
          <w:rFonts w:hint="eastAsia" w:ascii="方正仿宋_GBK" w:hAnsi="方正仿宋_GBK" w:eastAsia="方正仿宋_GBK"/>
          <w:snapToGrid/>
          <w:sz w:val="32"/>
          <w:shd w:val="clear" w:color="auto" w:fill="FFFFFF"/>
          <w:lang w:eastAsia="zh-CN"/>
        </w:rPr>
        <w:t>年度无国有资本经营预算财政拨款支出。</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600" w:lineRule="exact"/>
        <w:ind w:left="0" w:leftChars="0" w:firstLine="640" w:firstLineChars="200"/>
        <w:textAlignment w:val="auto"/>
        <w:outlineLvl w:val="9"/>
        <w:rPr>
          <w:rFonts w:hint="eastAsia" w:ascii="Times New Roman" w:hAnsi="Times New Roman" w:eastAsia="方正黑体_GBK"/>
          <w:sz w:val="32"/>
          <w:szCs w:val="32"/>
        </w:rPr>
      </w:pPr>
      <w:r>
        <w:rPr>
          <w:rFonts w:hint="eastAsia" w:ascii="Times New Roman" w:hAnsi="Times New Roman" w:eastAsia="方正黑体_GBK"/>
          <w:sz w:val="32"/>
          <w:szCs w:val="32"/>
        </w:rPr>
        <w:t xml:space="preserve">“三公”经费情况说明 </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“三公”经费支出总体情况说明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仿宋_GBK" w:cs="Times New Roman"/>
          <w:kern w:val="2"/>
          <w:sz w:val="32"/>
          <w:szCs w:val="32"/>
          <w:lang w:val="en-US" w:eastAsia="zh-CN" w:bidi="ar-SA"/>
        </w:rPr>
        <w:t>2021年度“三公”经费支出共计3.35万元，较年初预算数减少10.05万元，下降75%，主要原因是公务接待费和公务用车运行费预算减少。较上年支出数减少1.52万元，下降31.2%，主要原因是公务用车运行费支出减少。</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“三公”经费分项支出情况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2021年度本部门因公出国（境）费用0万元。费用支出较年初预算数增加0万元，增长0%。较上年支出数增加0万元，增长0%。</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公务车购置费0万元。费用支出较年初预算数增加0万元，增长0%。较上年支出数增加0万元，增长0%。</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公务车运行维护费3.35万元，主要用于公务车油卡充值、公务车维修。费用支出较年初预算数减少6.25万元，下降65.1%，主要原因是</w:t>
      </w:r>
      <w:r>
        <w:rPr>
          <w:rFonts w:hint="eastAsia" w:ascii="方正仿宋_GBK" w:hAnsi="方正仿宋_GBK" w:eastAsia="方正仿宋_GBK"/>
          <w:snapToGrid/>
          <w:sz w:val="32"/>
          <w:shd w:val="clear" w:color="auto" w:fill="FFFFFF"/>
          <w:lang w:eastAsia="zh-CN"/>
        </w:rPr>
        <w:t>响应过紧日子的号召，压缩支出</w:t>
      </w:r>
      <w:r>
        <w:rPr>
          <w:rFonts w:hint="eastAsia" w:ascii="Times New Roman" w:hAnsi="Times New Roman" w:eastAsia="方正仿宋_GBK" w:cs="Times New Roman"/>
          <w:kern w:val="2"/>
          <w:sz w:val="32"/>
          <w:szCs w:val="32"/>
          <w:lang w:val="en-US" w:eastAsia="zh-CN" w:bidi="ar-SA"/>
        </w:rPr>
        <w:t>。较上年支出数减少1.52万元，下降31.2%，主要原因是</w:t>
      </w:r>
      <w:r>
        <w:rPr>
          <w:rFonts w:hint="eastAsia" w:ascii="方正仿宋_GBK" w:hAnsi="方正仿宋_GBK" w:eastAsia="方正仿宋_GBK"/>
          <w:snapToGrid/>
          <w:sz w:val="32"/>
          <w:shd w:val="clear" w:color="auto" w:fill="FFFFFF"/>
          <w:lang w:eastAsia="zh-CN"/>
        </w:rPr>
        <w:t>响应过紧日子的号召，压缩支出</w:t>
      </w:r>
      <w:r>
        <w:rPr>
          <w:rFonts w:hint="eastAsia" w:ascii="Times New Roman" w:hAnsi="Times New Roman" w:eastAsia="方正仿宋_GBK" w:cs="Times New Roman"/>
          <w:kern w:val="2"/>
          <w:sz w:val="32"/>
          <w:szCs w:val="32"/>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仿宋_GBK" w:cs="Times New Roman"/>
          <w:kern w:val="2"/>
          <w:sz w:val="32"/>
          <w:szCs w:val="32"/>
          <w:lang w:val="en-US" w:eastAsia="zh-CN" w:bidi="ar-SA"/>
        </w:rPr>
        <w:t>公务接待费0万元。费用支出较年初预算数减少3.8万元，下降100%，主要原因是</w:t>
      </w:r>
      <w:r>
        <w:rPr>
          <w:rFonts w:hint="default" w:ascii="Times New Roman" w:hAnsi="Times New Roman" w:eastAsia="方正仿宋_GBK" w:cs="Times New Roman"/>
          <w:b w:val="0"/>
          <w:bCs/>
          <w:kern w:val="0"/>
          <w:sz w:val="32"/>
          <w:szCs w:val="32"/>
          <w:shd w:val="clear" w:fill="FFFFFF"/>
        </w:rPr>
        <w:t>严格遵守公务接待开支范围和开支标准，严格控制陪餐人数，对应由接待对象承担的费用一律由接待对象自行支付。</w:t>
      </w:r>
      <w:r>
        <w:rPr>
          <w:rFonts w:hint="eastAsia" w:ascii="Times New Roman" w:hAnsi="Times New Roman" w:eastAsia="方正仿宋_GBK" w:cs="Times New Roman"/>
          <w:kern w:val="2"/>
          <w:sz w:val="32"/>
          <w:szCs w:val="32"/>
          <w:lang w:val="en-US" w:eastAsia="zh-CN" w:bidi="ar-SA"/>
        </w:rPr>
        <w:t>较上年支出数增加0万元，增长0%。</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“三公”经费实物量情况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仿宋_GBK" w:cs="Times New Roman"/>
          <w:kern w:val="2"/>
          <w:sz w:val="32"/>
          <w:szCs w:val="32"/>
          <w:lang w:val="en-US" w:eastAsia="zh-CN" w:bidi="ar-SA"/>
        </w:rPr>
        <w:t>2021年度本部门因公出国（境）共计0个团组，0人；公务用车购置0辆，公务车保有量为2辆；国内公务接待0批次0人，其中：国内外事接待0批次，0人；国（境）外公务接待0批次，0人。2021年本部门人均接待费0元，车均购置费0万元，车均维护费1.68万元。</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ind w:firstLine="640"/>
        <w:textAlignment w:val="auto"/>
        <w:outlineLvl w:val="9"/>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（一）一般公共预算财政拨款会议费和培训费情况说明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仿宋_GBK" w:cs="Times New Roman"/>
          <w:kern w:val="2"/>
          <w:sz w:val="32"/>
          <w:szCs w:val="32"/>
          <w:lang w:val="en-US" w:eastAsia="zh-CN" w:bidi="ar-SA"/>
        </w:rPr>
        <w:t>本年度会议费支出8.86万元，主要用于人代会、新冠疫情紧急调度和安排会议、乡镇人大换届选举会等会议。较上年决算数增加5.62万元，增长173.5%，主要原因是人代会、新冠疫情紧急调度和安排会议、乡镇人大换届选举会等会议增加。本年度培训费支出0.11万元，较上年决算数减少0.69万元，下降86.3%，主要原因</w:t>
      </w:r>
      <w:r>
        <w:rPr>
          <w:rFonts w:hint="default" w:ascii="Times New Roman" w:hAnsi="Times New Roman" w:eastAsia="方正仿宋_GBK" w:cs="Times New Roman"/>
          <w:b w:val="0"/>
          <w:bCs/>
          <w:kern w:val="0"/>
          <w:sz w:val="32"/>
          <w:szCs w:val="32"/>
          <w:shd w:val="clear" w:fill="FFFFFF"/>
        </w:rPr>
        <w:t>是由于新冠疫情，减少培训次数</w:t>
      </w:r>
      <w:r>
        <w:rPr>
          <w:rFonts w:hint="eastAsia" w:ascii="Times New Roman" w:hAnsi="Times New Roman" w:eastAsia="方正仿宋_GBK" w:cs="Times New Roman"/>
          <w:kern w:val="2"/>
          <w:sz w:val="32"/>
          <w:szCs w:val="32"/>
          <w:lang w:val="en-US" w:eastAsia="zh-CN" w:bidi="ar-SA"/>
        </w:rPr>
        <w:t>。</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（二）机关运行经费情况说明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黑体_GBK"/>
          <w:sz w:val="32"/>
          <w:szCs w:val="32"/>
          <w:highlight w:val="yellow"/>
          <w:lang w:val="en-US" w:eastAsia="zh-CN"/>
        </w:rPr>
      </w:pPr>
      <w:r>
        <w:rPr>
          <w:rFonts w:hint="eastAsia" w:ascii="Times New Roman" w:hAnsi="Times New Roman" w:eastAsia="方正仿宋_GBK" w:cs="Times New Roman"/>
          <w:kern w:val="2"/>
          <w:sz w:val="32"/>
          <w:szCs w:val="32"/>
          <w:lang w:val="en-US" w:eastAsia="zh-CN" w:bidi="ar-SA"/>
        </w:rPr>
        <w:t>2021年度本部门机关运行经费支出117.57万元，机关运行经费主要用于开支</w:t>
      </w:r>
      <w:r>
        <w:rPr>
          <w:rFonts w:hint="eastAsia" w:ascii="方正仿宋_GBK" w:hAnsi="方正仿宋_GBK" w:eastAsia="方正仿宋_GBK"/>
          <w:snapToGrid/>
          <w:sz w:val="32"/>
          <w:shd w:val="clear" w:color="auto" w:fill="FFFFFF"/>
          <w:lang w:eastAsia="zh-CN"/>
        </w:rPr>
        <w:t>购置办公用品、消防器材、电脑及打印机等</w:t>
      </w:r>
      <w:r>
        <w:rPr>
          <w:rFonts w:hint="eastAsia" w:ascii="Times New Roman" w:hAnsi="Times New Roman" w:eastAsia="方正仿宋_GBK" w:cs="Times New Roman"/>
          <w:kern w:val="2"/>
          <w:sz w:val="32"/>
          <w:szCs w:val="32"/>
          <w:lang w:val="en-US" w:eastAsia="zh-CN" w:bidi="ar-SA"/>
        </w:rPr>
        <w:t>。机关运行经费较上年决算数减少42.43万元，下降26.5%，主要原因是落实过紧日子政策，削减开支。较年初预算数减少27万元，减少5</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 xml:space="preserve">，主要原因一是公务接待费减少、公务车运行费减少。二是实过紧日子政策，削减开支。 </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（三）国有资产占用情况说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仿宋_GBK" w:cs="Times New Roman"/>
          <w:kern w:val="2"/>
          <w:sz w:val="32"/>
          <w:szCs w:val="32"/>
          <w:lang w:val="en-US" w:eastAsia="zh-CN" w:bidi="ar-SA"/>
        </w:rPr>
        <w:t>截至2021年12月31日，本部门共有车辆2辆，其中，副部（省）级及以上领导用车0辆、主要领导干部用车0辆、机要通信用车0辆、应急保障用车2辆、执法执勤用车0辆，特种专业技术用车0辆，离退休干部用车0辆，其他用车0辆。单价50万元（含）以上通用设备0台（套），单价100万元（含）以上专用设备0台（套）。</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textAlignment w:val="auto"/>
        <w:outlineLvl w:val="9"/>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（四）政府采购支出情况说明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度本部门政府采购支出总额129.27万元，其中：政府采购货物支出129.27万元、政府采购工程支出0万元、政府采购服务支出0万元。授予中小企业合同金额129.27万元，占政府采购支出总额的100%，其中：授予小微企业合同金额3.88万元，占政府采购支出总额的3%。主要用于采购</w:t>
      </w:r>
      <w:r>
        <w:rPr>
          <w:rFonts w:hint="default" w:ascii="Times New Roman" w:hAnsi="Times New Roman" w:eastAsia="方正仿宋_GBK" w:cs="Times New Roman"/>
          <w:b w:val="0"/>
          <w:bCs/>
          <w:kern w:val="0"/>
          <w:sz w:val="32"/>
          <w:szCs w:val="32"/>
          <w:shd w:val="clear" w:fill="FFFFFF"/>
        </w:rPr>
        <w:t>办公设备</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楷体_GBK" w:cs="宋体"/>
          <w:kern w:val="0"/>
          <w:sz w:val="32"/>
          <w:szCs w:val="32"/>
          <w:lang w:val="en-US" w:eastAsia="zh-CN"/>
        </w:rPr>
      </w:pPr>
      <w:r>
        <w:rPr>
          <w:rFonts w:hint="eastAsia" w:ascii="Times New Roman" w:hAnsi="Times New Roman" w:eastAsia="方正楷体_GBK" w:cs="宋体"/>
          <w:kern w:val="0"/>
          <w:sz w:val="32"/>
          <w:szCs w:val="32"/>
          <w:lang w:val="en-US" w:eastAsia="zh-CN"/>
        </w:rPr>
        <w:t>（一）预算绩效管理工作开展情况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cs="宋体"/>
          <w:kern w:val="0"/>
          <w:sz w:val="32"/>
          <w:szCs w:val="32"/>
          <w:lang w:val="en-US" w:eastAsia="zh-CN"/>
        </w:rPr>
      </w:pPr>
      <w:r>
        <w:rPr>
          <w:rFonts w:hint="eastAsia" w:ascii="Times New Roman" w:hAnsi="Times New Roman" w:eastAsia="方正仿宋_GBK" w:cs="Times New Roman"/>
          <w:kern w:val="2"/>
          <w:sz w:val="32"/>
          <w:szCs w:val="32"/>
          <w:lang w:val="en-US" w:eastAsia="zh-CN" w:bidi="ar-SA"/>
        </w:rPr>
        <w:t>根据预算绩效管理要求，我局（部、委、办）对部门整体和2个项目开展了绩效自评，其中，以填报自评表形式开展自评2项，涉及资金11.1万元；</w:t>
      </w:r>
      <w:r>
        <w:rPr>
          <w:rFonts w:hint="eastAsia" w:ascii="方正仿宋_GBK" w:hAnsi="方正仿宋_GBK" w:eastAsia="方正仿宋_GBK" w:cs="方正仿宋_GBK"/>
          <w:i w:val="0"/>
          <w:caps w:val="0"/>
          <w:color w:val="333333"/>
          <w:spacing w:val="0"/>
          <w:sz w:val="31"/>
          <w:szCs w:val="31"/>
          <w:shd w:val="clear" w:color="auto" w:fill="FFFFFF"/>
        </w:rPr>
        <w:t>以委托第三方形式开展绩效自评</w:t>
      </w:r>
      <w:r>
        <w:rPr>
          <w:rFonts w:hint="default" w:ascii="Times New Roman" w:hAnsi="Times New Roman" w:eastAsia="微软雅黑" w:cs="Times New Roman"/>
          <w:i w:val="0"/>
          <w:caps w:val="0"/>
          <w:color w:val="333333"/>
          <w:spacing w:val="0"/>
          <w:sz w:val="31"/>
          <w:szCs w:val="31"/>
          <w:shd w:val="clear" w:color="auto" w:fill="FFFFFF"/>
        </w:rPr>
        <w:t>0</w:t>
      </w:r>
      <w:r>
        <w:rPr>
          <w:rFonts w:hint="eastAsia" w:ascii="方正仿宋_GBK" w:hAnsi="方正仿宋_GBK" w:eastAsia="方正仿宋_GBK" w:cs="方正仿宋_GBK"/>
          <w:i w:val="0"/>
          <w:caps w:val="0"/>
          <w:color w:val="333333"/>
          <w:spacing w:val="0"/>
          <w:sz w:val="31"/>
          <w:szCs w:val="31"/>
          <w:shd w:val="clear" w:color="auto" w:fill="FFFFFF"/>
        </w:rPr>
        <w:t>项，涉及资金</w:t>
      </w:r>
      <w:r>
        <w:rPr>
          <w:rFonts w:hint="default" w:ascii="Times New Roman" w:hAnsi="Times New Roman" w:eastAsia="微软雅黑" w:cs="Times New Roman"/>
          <w:i w:val="0"/>
          <w:caps w:val="0"/>
          <w:color w:val="333333"/>
          <w:spacing w:val="0"/>
          <w:sz w:val="31"/>
          <w:szCs w:val="31"/>
          <w:shd w:val="clear" w:color="auto" w:fill="FFFFFF"/>
        </w:rPr>
        <w:t>0</w:t>
      </w:r>
      <w:r>
        <w:rPr>
          <w:rFonts w:hint="eastAsia" w:ascii="方正仿宋_GBK" w:hAnsi="方正仿宋_GBK" w:eastAsia="方正仿宋_GBK" w:cs="方正仿宋_GBK"/>
          <w:i w:val="0"/>
          <w:caps w:val="0"/>
          <w:color w:val="333333"/>
          <w:spacing w:val="0"/>
          <w:sz w:val="31"/>
          <w:szCs w:val="31"/>
          <w:shd w:val="clear" w:color="auto" w:fill="FFFFFF"/>
        </w:rPr>
        <w:t>万元，从评价情况来看，我乡镇绩效管理工作开展有序，并且通过务工发放管护费等方式带动了一部分贫困老百姓收入增加。</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outlineLvl w:val="9"/>
        <w:rPr>
          <w:rFonts w:hint="eastAsia" w:ascii="Times New Roman" w:hAnsi="Times New Roman" w:eastAsia="方正楷体_GBK" w:cs="宋体"/>
          <w:kern w:val="0"/>
          <w:sz w:val="32"/>
          <w:szCs w:val="32"/>
          <w:lang w:val="en-US" w:eastAsia="zh-CN"/>
        </w:rPr>
      </w:pPr>
      <w:r>
        <w:rPr>
          <w:rFonts w:hint="eastAsia" w:ascii="Times New Roman" w:hAnsi="Times New Roman" w:eastAsia="方正楷体_GBK" w:cs="宋体"/>
          <w:kern w:val="0"/>
          <w:sz w:val="32"/>
          <w:szCs w:val="32"/>
          <w:lang w:val="en-US" w:eastAsia="zh-CN"/>
        </w:rPr>
        <w:t>（二）绩效自评结果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1.绩效自评表</w:t>
      </w:r>
    </w:p>
    <w:p>
      <w:pPr>
        <w:pStyle w:val="8"/>
        <w:keepNext w:val="0"/>
        <w:keepLines w:val="0"/>
        <w:pageBreakBefore w:val="0"/>
        <w:widowControl/>
        <w:tabs>
          <w:tab w:val="center" w:pos="4153"/>
          <w:tab w:val="left" w:pos="7275"/>
        </w:tabs>
        <w:kinsoku/>
        <w:wordWrap/>
        <w:overflowPunct/>
        <w:topLinePunct w:val="0"/>
        <w:autoSpaceDE/>
        <w:autoSpaceDN/>
        <w:bidi w:val="0"/>
        <w:adjustRightInd/>
        <w:snapToGrid/>
        <w:spacing w:after="400" w:afterAutospacing="0" w:line="60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lang w:val="en-US" w:eastAsia="zh-CN" w:bidi="ar-SA"/>
        </w:rPr>
      </w:pPr>
      <w:r>
        <w:rPr>
          <w:rStyle w:val="10"/>
          <w:rFonts w:hint="eastAsia" w:ascii="方正仿宋_GBK" w:hAnsi="方正仿宋_GBK" w:eastAsia="方正仿宋_GBK" w:cs="方正仿宋_GBK"/>
          <w:b w:val="0"/>
          <w:bCs/>
          <w:kern w:val="0"/>
          <w:sz w:val="32"/>
          <w:szCs w:val="32"/>
          <w:shd w:val="clear" w:fill="FFFFFF"/>
          <w:lang w:val="en-US" w:eastAsia="zh-CN" w:bidi="ar"/>
        </w:rPr>
        <w:t>部门整体绩效自评表</w:t>
      </w:r>
    </w:p>
    <w:tbl>
      <w:tblPr>
        <w:tblStyle w:val="7"/>
        <w:tblW w:w="8299" w:type="dxa"/>
        <w:tblInd w:w="122" w:type="dxa"/>
        <w:tblLayout w:type="fixed"/>
        <w:tblCellMar>
          <w:top w:w="0" w:type="dxa"/>
          <w:left w:w="108" w:type="dxa"/>
          <w:bottom w:w="0" w:type="dxa"/>
          <w:right w:w="108" w:type="dxa"/>
        </w:tblCellMar>
      </w:tblPr>
      <w:tblGrid>
        <w:gridCol w:w="723"/>
        <w:gridCol w:w="869"/>
        <w:gridCol w:w="324"/>
        <w:gridCol w:w="559"/>
        <w:gridCol w:w="257"/>
        <w:gridCol w:w="378"/>
        <w:gridCol w:w="151"/>
        <w:gridCol w:w="199"/>
        <w:gridCol w:w="394"/>
        <w:gridCol w:w="723"/>
        <w:gridCol w:w="722"/>
        <w:gridCol w:w="279"/>
        <w:gridCol w:w="112"/>
        <w:gridCol w:w="398"/>
        <w:gridCol w:w="273"/>
        <w:gridCol w:w="330"/>
        <w:gridCol w:w="163"/>
        <w:gridCol w:w="449"/>
        <w:gridCol w:w="296"/>
        <w:gridCol w:w="700"/>
      </w:tblGrid>
      <w:tr>
        <w:tblPrEx>
          <w:tblLayout w:type="fixed"/>
          <w:tblCellMar>
            <w:top w:w="0" w:type="dxa"/>
            <w:left w:w="108" w:type="dxa"/>
            <w:bottom w:w="0" w:type="dxa"/>
            <w:right w:w="108" w:type="dxa"/>
          </w:tblCellMar>
        </w:tblPrEx>
        <w:trPr>
          <w:trHeight w:val="463" w:hRule="atLeast"/>
        </w:trPr>
        <w:tc>
          <w:tcPr>
            <w:tcW w:w="723"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主管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部门</w:t>
            </w:r>
          </w:p>
        </w:tc>
        <w:tc>
          <w:tcPr>
            <w:tcW w:w="869" w:type="dxa"/>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县财政局</w:t>
            </w:r>
          </w:p>
        </w:tc>
        <w:tc>
          <w:tcPr>
            <w:tcW w:w="1140" w:type="dxa"/>
            <w:gridSpan w:val="3"/>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财政处室</w:t>
            </w:r>
          </w:p>
        </w:tc>
        <w:tc>
          <w:tcPr>
            <w:tcW w:w="728" w:type="dxa"/>
            <w:gridSpan w:val="3"/>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宋农镇财政办</w:t>
            </w:r>
          </w:p>
        </w:tc>
        <w:tc>
          <w:tcPr>
            <w:tcW w:w="11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自评总分（分）</w:t>
            </w:r>
          </w:p>
        </w:tc>
        <w:tc>
          <w:tcPr>
            <w:tcW w:w="3722" w:type="dxa"/>
            <w:gridSpan w:val="10"/>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99.5</w:t>
            </w:r>
          </w:p>
        </w:tc>
      </w:tr>
      <w:tr>
        <w:tblPrEx>
          <w:tblLayout w:type="fixed"/>
          <w:tblCellMar>
            <w:top w:w="0" w:type="dxa"/>
            <w:left w:w="108" w:type="dxa"/>
            <w:bottom w:w="0" w:type="dxa"/>
            <w:right w:w="108" w:type="dxa"/>
          </w:tblCellMar>
        </w:tblPrEx>
        <w:trPr>
          <w:trHeight w:val="307" w:hRule="atLeast"/>
        </w:trPr>
        <w:tc>
          <w:tcPr>
            <w:tcW w:w="72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p>
        </w:tc>
        <w:tc>
          <w:tcPr>
            <w:tcW w:w="869"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p>
        </w:tc>
        <w:tc>
          <w:tcPr>
            <w:tcW w:w="1140" w:type="dxa"/>
            <w:gridSpan w:val="3"/>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p>
        </w:tc>
        <w:tc>
          <w:tcPr>
            <w:tcW w:w="728"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p>
        </w:tc>
        <w:tc>
          <w:tcPr>
            <w:tcW w:w="111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联系人</w:t>
            </w:r>
          </w:p>
        </w:tc>
        <w:tc>
          <w:tcPr>
            <w:tcW w:w="1113" w:type="dxa"/>
            <w:gridSpan w:val="3"/>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刘亭沅</w:t>
            </w:r>
          </w:p>
        </w:tc>
        <w:tc>
          <w:tcPr>
            <w:tcW w:w="671"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联系电话</w:t>
            </w:r>
          </w:p>
        </w:tc>
        <w:tc>
          <w:tcPr>
            <w:tcW w:w="1938"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023-766823822</w:t>
            </w:r>
          </w:p>
        </w:tc>
      </w:tr>
      <w:tr>
        <w:tblPrEx>
          <w:tblLayout w:type="fixed"/>
          <w:tblCellMar>
            <w:top w:w="0" w:type="dxa"/>
            <w:left w:w="108" w:type="dxa"/>
            <w:bottom w:w="0" w:type="dxa"/>
            <w:right w:w="108" w:type="dxa"/>
          </w:tblCellMar>
        </w:tblPrEx>
        <w:trPr>
          <w:trHeight w:val="776" w:hRule="atLeast"/>
        </w:trPr>
        <w:tc>
          <w:tcPr>
            <w:tcW w:w="7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部门预算执行情况</w:t>
            </w:r>
          </w:p>
        </w:tc>
        <w:tc>
          <w:tcPr>
            <w:tcW w:w="869" w:type="dxa"/>
            <w:vMerge w:val="restart"/>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（万元）</w:t>
            </w:r>
          </w:p>
        </w:tc>
        <w:tc>
          <w:tcPr>
            <w:tcW w:w="114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年初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预算数</w:t>
            </w:r>
          </w:p>
        </w:tc>
        <w:tc>
          <w:tcPr>
            <w:tcW w:w="184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全年（调整）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预算数</w:t>
            </w:r>
          </w:p>
        </w:tc>
        <w:tc>
          <w:tcPr>
            <w:tcW w:w="10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全年执行数</w:t>
            </w:r>
          </w:p>
        </w:tc>
        <w:tc>
          <w:tcPr>
            <w:tcW w:w="1113" w:type="dxa"/>
            <w:gridSpan w:val="4"/>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w:t>
            </w:r>
          </w:p>
        </w:tc>
        <w:tc>
          <w:tcPr>
            <w:tcW w:w="612"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权重</w:t>
            </w:r>
          </w:p>
        </w:tc>
        <w:tc>
          <w:tcPr>
            <w:tcW w:w="996"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（分）</w:t>
            </w:r>
          </w:p>
        </w:tc>
      </w:tr>
      <w:tr>
        <w:tblPrEx>
          <w:tblLayout w:type="fixed"/>
          <w:tblCellMar>
            <w:top w:w="0" w:type="dxa"/>
            <w:left w:w="108" w:type="dxa"/>
            <w:bottom w:w="0" w:type="dxa"/>
            <w:right w:w="108" w:type="dxa"/>
          </w:tblCellMar>
        </w:tblPrEx>
        <w:trPr>
          <w:trHeight w:val="647"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869" w:type="dxa"/>
            <w:vMerge w:val="continue"/>
            <w:tcBorders>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p>
        </w:tc>
        <w:tc>
          <w:tcPr>
            <w:tcW w:w="114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3278.52</w:t>
            </w:r>
          </w:p>
        </w:tc>
        <w:tc>
          <w:tcPr>
            <w:tcW w:w="184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2,972.77</w:t>
            </w:r>
          </w:p>
        </w:tc>
        <w:tc>
          <w:tcPr>
            <w:tcW w:w="10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2,972.77</w:t>
            </w:r>
          </w:p>
        </w:tc>
        <w:tc>
          <w:tcPr>
            <w:tcW w:w="1113" w:type="dxa"/>
            <w:gridSpan w:val="4"/>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612"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996"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r>
      <w:tr>
        <w:tblPrEx>
          <w:tblLayout w:type="fixed"/>
          <w:tblCellMar>
            <w:top w:w="0" w:type="dxa"/>
            <w:left w:w="108" w:type="dxa"/>
            <w:bottom w:w="0" w:type="dxa"/>
            <w:right w:w="108" w:type="dxa"/>
          </w:tblCellMar>
        </w:tblPrEx>
        <w:trPr>
          <w:trHeight w:val="499" w:hRule="atLeast"/>
        </w:trPr>
        <w:tc>
          <w:tcPr>
            <w:tcW w:w="7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当年绩效目标</w:t>
            </w:r>
          </w:p>
        </w:tc>
        <w:tc>
          <w:tcPr>
            <w:tcW w:w="2538"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年初绩效目标</w:t>
            </w:r>
          </w:p>
        </w:tc>
        <w:tc>
          <w:tcPr>
            <w:tcW w:w="2429"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全年（调整）绩效目标</w:t>
            </w:r>
          </w:p>
        </w:tc>
        <w:tc>
          <w:tcPr>
            <w:tcW w:w="2609"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全年目标实际完成情况</w:t>
            </w:r>
          </w:p>
        </w:tc>
      </w:tr>
      <w:tr>
        <w:tblPrEx>
          <w:tblLayout w:type="fixed"/>
          <w:tblCellMar>
            <w:top w:w="0" w:type="dxa"/>
            <w:left w:w="108" w:type="dxa"/>
            <w:bottom w:w="0" w:type="dxa"/>
            <w:right w:w="108" w:type="dxa"/>
          </w:tblCellMar>
        </w:tblPrEx>
        <w:trPr>
          <w:trHeight w:val="712"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2538"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加强政府职能建设。提高政府履职水平和能力，加强预决算公开力度，严控三公经费，合理高效利用资金，使资金广泛用于射虎经济发展，完事村社配套设施、村级基础设施建设，完成集镇卫生清理，保持集镇人居环境整体美观整洁，加快民生改善步伐，促进教育、卫生、社会保障等各方面社会事业全面快速发展。</w:t>
            </w:r>
          </w:p>
        </w:tc>
        <w:tc>
          <w:tcPr>
            <w:tcW w:w="2429"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加强政府职能建设。提高政府履职水平和能力，加强预决算公开力度，严控三公经费，合理高效利用资金，使资金广泛用于射虎经济发展，完事村社配套设施、村级基础设施建设，完成集镇卫生清理，保持集镇人居环境整体美观整洁，加快民生改善步伐，促进教育、卫生、社会保障等各方面社会事业全面快速发展。</w:t>
            </w:r>
          </w:p>
        </w:tc>
        <w:tc>
          <w:tcPr>
            <w:tcW w:w="2609"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加强政府职能建设。提高政府履职水平和能力，加强预决算公开力度，严控三公经费，合理高效利用资金，使资金广泛用于射虎经济发展，完事村社配套设施、村级基础设施建设，完成集镇卫生清理，保持集镇人居环境整体美观整洁，加快民生改善步伐，促进教育、卫生、社会保障等各方面社会事业全面快速发展。</w:t>
            </w:r>
          </w:p>
        </w:tc>
      </w:tr>
      <w:tr>
        <w:tblPrEx>
          <w:tblLayout w:type="fixed"/>
          <w:tblCellMar>
            <w:top w:w="0" w:type="dxa"/>
            <w:left w:w="108" w:type="dxa"/>
            <w:bottom w:w="0" w:type="dxa"/>
            <w:right w:w="108" w:type="dxa"/>
          </w:tblCellMar>
        </w:tblPrEx>
        <w:trPr>
          <w:trHeight w:val="575" w:hRule="atLeast"/>
        </w:trPr>
        <w:tc>
          <w:tcPr>
            <w:tcW w:w="723"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绩效指标</w:t>
            </w:r>
          </w:p>
        </w:tc>
        <w:tc>
          <w:tcPr>
            <w:tcW w:w="1193"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名称</w:t>
            </w:r>
          </w:p>
        </w:tc>
        <w:tc>
          <w:tcPr>
            <w:tcW w:w="559"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计量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单位</w:t>
            </w:r>
          </w:p>
        </w:tc>
        <w:tc>
          <w:tcPr>
            <w:tcW w:w="6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性质</w:t>
            </w:r>
          </w:p>
        </w:tc>
        <w:tc>
          <w:tcPr>
            <w:tcW w:w="744" w:type="dxa"/>
            <w:gridSpan w:val="3"/>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年初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值</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值</w:t>
            </w:r>
          </w:p>
        </w:tc>
        <w:tc>
          <w:tcPr>
            <w:tcW w:w="72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值</w:t>
            </w:r>
          </w:p>
        </w:tc>
        <w:tc>
          <w:tcPr>
            <w:tcW w:w="789" w:type="dxa"/>
            <w:gridSpan w:val="3"/>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系数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w:t>
            </w:r>
          </w:p>
        </w:tc>
        <w:tc>
          <w:tcPr>
            <w:tcW w:w="766" w:type="dxa"/>
            <w:gridSpan w:val="3"/>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指标权重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（分）</w:t>
            </w:r>
          </w:p>
        </w:tc>
        <w:tc>
          <w:tcPr>
            <w:tcW w:w="7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（分）</w:t>
            </w:r>
          </w:p>
        </w:tc>
        <w:tc>
          <w:tcPr>
            <w:tcW w:w="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是否核心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指标</w:t>
            </w:r>
          </w:p>
        </w:tc>
      </w:tr>
      <w:tr>
        <w:tblPrEx>
          <w:tblLayout w:type="fixed"/>
          <w:tblCellMar>
            <w:top w:w="0" w:type="dxa"/>
            <w:left w:w="108" w:type="dxa"/>
            <w:bottom w:w="0" w:type="dxa"/>
            <w:right w:w="108" w:type="dxa"/>
          </w:tblCellMar>
        </w:tblPrEx>
        <w:trPr>
          <w:trHeight w:val="500"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1193"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村社配套设施、村级基础设施建设完善率</w:t>
            </w:r>
          </w:p>
        </w:tc>
        <w:tc>
          <w:tcPr>
            <w:tcW w:w="55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635"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44"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3"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2"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89"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66" w:type="dxa"/>
            <w:gridSpan w:val="3"/>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15</w:t>
            </w:r>
          </w:p>
        </w:tc>
        <w:tc>
          <w:tcPr>
            <w:tcW w:w="745"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15</w:t>
            </w:r>
          </w:p>
        </w:tc>
        <w:tc>
          <w:tcPr>
            <w:tcW w:w="70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500"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1193"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民生资金按时发放率</w:t>
            </w:r>
          </w:p>
        </w:tc>
        <w:tc>
          <w:tcPr>
            <w:tcW w:w="55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635"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44"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3"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2"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89"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66" w:type="dxa"/>
            <w:gridSpan w:val="3"/>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45"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0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500"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1193"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项目建设合格率</w:t>
            </w:r>
          </w:p>
        </w:tc>
        <w:tc>
          <w:tcPr>
            <w:tcW w:w="55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635"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44"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3"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2"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89"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66" w:type="dxa"/>
            <w:gridSpan w:val="3"/>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15</w:t>
            </w:r>
          </w:p>
        </w:tc>
        <w:tc>
          <w:tcPr>
            <w:tcW w:w="745"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15</w:t>
            </w:r>
          </w:p>
        </w:tc>
        <w:tc>
          <w:tcPr>
            <w:tcW w:w="70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500"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1193"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预决算及时编制率</w:t>
            </w:r>
          </w:p>
        </w:tc>
        <w:tc>
          <w:tcPr>
            <w:tcW w:w="55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635"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lang w:val="en-US" w:eastAsia="zh-CN"/>
              </w:rPr>
              <w:t>≥</w:t>
            </w:r>
          </w:p>
        </w:tc>
        <w:tc>
          <w:tcPr>
            <w:tcW w:w="744"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3"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2"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89"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66" w:type="dxa"/>
            <w:gridSpan w:val="3"/>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45"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0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500"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1193"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部门预决算按时公开率</w:t>
            </w:r>
          </w:p>
        </w:tc>
        <w:tc>
          <w:tcPr>
            <w:tcW w:w="55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635"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lang w:val="en-US" w:eastAsia="zh-CN"/>
              </w:rPr>
              <w:t>≥</w:t>
            </w:r>
          </w:p>
        </w:tc>
        <w:tc>
          <w:tcPr>
            <w:tcW w:w="744"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3"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2"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89"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66" w:type="dxa"/>
            <w:gridSpan w:val="3"/>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45"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0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370"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1193"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国库集中支付资金拨付完成率</w:t>
            </w:r>
          </w:p>
        </w:tc>
        <w:tc>
          <w:tcPr>
            <w:tcW w:w="55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635"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lang w:val="en-US" w:eastAsia="zh-CN"/>
              </w:rPr>
              <w:t>≥</w:t>
            </w:r>
          </w:p>
        </w:tc>
        <w:tc>
          <w:tcPr>
            <w:tcW w:w="744"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3"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2"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89"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66" w:type="dxa"/>
            <w:gridSpan w:val="3"/>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45"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0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500"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1193"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全年预算支出执行率</w:t>
            </w:r>
          </w:p>
        </w:tc>
        <w:tc>
          <w:tcPr>
            <w:tcW w:w="55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635"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lang w:val="en-US" w:eastAsia="zh-CN"/>
              </w:rPr>
              <w:t>≥</w:t>
            </w:r>
          </w:p>
        </w:tc>
        <w:tc>
          <w:tcPr>
            <w:tcW w:w="744"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3"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22"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89"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66" w:type="dxa"/>
            <w:gridSpan w:val="3"/>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45"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0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500" w:hRule="atLeast"/>
        </w:trPr>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rPr>
            </w:pPr>
          </w:p>
        </w:tc>
        <w:tc>
          <w:tcPr>
            <w:tcW w:w="1193"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职工满意度</w:t>
            </w:r>
          </w:p>
        </w:tc>
        <w:tc>
          <w:tcPr>
            <w:tcW w:w="55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635"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lang w:val="en-US" w:eastAsia="zh-CN"/>
              </w:rPr>
              <w:t>≥</w:t>
            </w:r>
          </w:p>
        </w:tc>
        <w:tc>
          <w:tcPr>
            <w:tcW w:w="744"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lang w:val="en-US" w:eastAsia="zh-CN"/>
              </w:rPr>
              <w:t>100</w:t>
            </w:r>
          </w:p>
        </w:tc>
        <w:tc>
          <w:tcPr>
            <w:tcW w:w="723"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lang w:val="en-US" w:eastAsia="zh-CN"/>
              </w:rPr>
              <w:t>100</w:t>
            </w:r>
          </w:p>
        </w:tc>
        <w:tc>
          <w:tcPr>
            <w:tcW w:w="722"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lang w:val="en-US" w:eastAsia="zh-CN"/>
              </w:rPr>
              <w:t>100</w:t>
            </w:r>
          </w:p>
        </w:tc>
        <w:tc>
          <w:tcPr>
            <w:tcW w:w="789" w:type="dxa"/>
            <w:gridSpan w:val="3"/>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766" w:type="dxa"/>
            <w:gridSpan w:val="3"/>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45" w:type="dxa"/>
            <w:gridSpan w:val="2"/>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方正仿宋_GBK" w:cs="宋体"/>
                <w:b w:val="0"/>
                <w:bCs/>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70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15" w:hRule="atLeast"/>
        </w:trPr>
        <w:tc>
          <w:tcPr>
            <w:tcW w:w="723"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宋体"/>
                <w:b w:val="0"/>
                <w:bCs/>
                <w:color w:val="000000"/>
                <w:kern w:val="0"/>
                <w:sz w:val="21"/>
                <w:szCs w:val="21"/>
              </w:rPr>
            </w:pPr>
            <w:r>
              <w:rPr>
                <w:rFonts w:hint="eastAsia" w:ascii="Times New Roman" w:hAnsi="Times New Roman" w:eastAsia="方正仿宋_GBK" w:cs="宋体"/>
                <w:b w:val="0"/>
                <w:bCs/>
                <w:color w:val="000000"/>
                <w:kern w:val="0"/>
                <w:sz w:val="21"/>
                <w:szCs w:val="21"/>
              </w:rPr>
              <w:t>说明</w:t>
            </w:r>
          </w:p>
        </w:tc>
        <w:tc>
          <w:tcPr>
            <w:tcW w:w="7576" w:type="dxa"/>
            <w:gridSpan w:val="19"/>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rPr>
            </w:pPr>
          </w:p>
        </w:tc>
      </w:tr>
    </w:tbl>
    <w:p>
      <w:pPr>
        <w:pStyle w:val="8"/>
        <w:keepNext w:val="0"/>
        <w:keepLines w:val="0"/>
        <w:pageBreakBefore w:val="0"/>
        <w:widowControl/>
        <w:tabs>
          <w:tab w:val="center" w:pos="4153"/>
          <w:tab w:val="left" w:pos="7275"/>
        </w:tabs>
        <w:kinsoku/>
        <w:wordWrap/>
        <w:overflowPunct/>
        <w:topLinePunct w:val="0"/>
        <w:autoSpaceDE/>
        <w:autoSpaceDN/>
        <w:bidi w:val="0"/>
        <w:adjustRightInd/>
        <w:snapToGrid/>
        <w:spacing w:after="400" w:afterAutospacing="0" w:line="600" w:lineRule="exact"/>
        <w:ind w:left="0" w:leftChars="0" w:right="0" w:rightChars="0" w:firstLine="0" w:firstLineChars="0"/>
        <w:jc w:val="both"/>
        <w:textAlignment w:val="auto"/>
        <w:outlineLvl w:val="9"/>
        <w:rPr>
          <w:rStyle w:val="10"/>
          <w:rFonts w:hint="eastAsia" w:ascii="方正仿宋_GBK" w:hAnsi="方正仿宋_GBK" w:eastAsia="方正仿宋_GBK" w:cs="方正仿宋_GBK"/>
          <w:b w:val="0"/>
          <w:bCs/>
          <w:kern w:val="0"/>
          <w:sz w:val="32"/>
          <w:szCs w:val="32"/>
          <w:shd w:val="clear" w:fill="FFFFFF"/>
          <w:lang w:val="en-US" w:eastAsia="zh-CN" w:bidi="ar"/>
        </w:rPr>
      </w:pPr>
    </w:p>
    <w:p>
      <w:pPr>
        <w:pStyle w:val="8"/>
        <w:keepNext w:val="0"/>
        <w:keepLines w:val="0"/>
        <w:pageBreakBefore w:val="0"/>
        <w:widowControl/>
        <w:tabs>
          <w:tab w:val="center" w:pos="4153"/>
          <w:tab w:val="left" w:pos="7275"/>
        </w:tabs>
        <w:kinsoku/>
        <w:wordWrap/>
        <w:overflowPunct/>
        <w:topLinePunct w:val="0"/>
        <w:autoSpaceDE/>
        <w:autoSpaceDN/>
        <w:bidi w:val="0"/>
        <w:adjustRightInd/>
        <w:snapToGrid/>
        <w:spacing w:after="400" w:afterAutospacing="0" w:line="600" w:lineRule="exact"/>
        <w:ind w:left="0" w:leftChars="0" w:right="0" w:rightChars="0" w:firstLine="0" w:firstLineChars="0"/>
        <w:jc w:val="center"/>
        <w:textAlignment w:val="auto"/>
        <w:outlineLvl w:val="9"/>
        <w:rPr>
          <w:rStyle w:val="10"/>
          <w:rFonts w:hint="eastAsia" w:ascii="方正仿宋_GBK" w:hAnsi="方正仿宋_GBK" w:eastAsia="方正仿宋_GBK" w:cs="方正仿宋_GBK"/>
          <w:b w:val="0"/>
          <w:bCs/>
          <w:kern w:val="0"/>
          <w:sz w:val="32"/>
          <w:szCs w:val="32"/>
          <w:shd w:val="clear" w:fill="FFFFFF"/>
          <w:lang w:val="en-US" w:eastAsia="zh-CN" w:bidi="ar"/>
        </w:rPr>
      </w:pPr>
    </w:p>
    <w:tbl>
      <w:tblPr>
        <w:tblStyle w:val="7"/>
        <w:tblpPr w:leftFromText="180" w:rightFromText="180" w:vertAnchor="text" w:horzAnchor="page" w:tblpX="787" w:tblpY="999"/>
        <w:tblOverlap w:val="never"/>
        <w:tblW w:w="10496" w:type="dxa"/>
        <w:tblInd w:w="0" w:type="dxa"/>
        <w:tblLayout w:type="fixed"/>
        <w:tblCellMar>
          <w:top w:w="0" w:type="dxa"/>
          <w:left w:w="108" w:type="dxa"/>
          <w:bottom w:w="0" w:type="dxa"/>
          <w:right w:w="108" w:type="dxa"/>
        </w:tblCellMar>
      </w:tblPr>
      <w:tblGrid>
        <w:gridCol w:w="847"/>
        <w:gridCol w:w="756"/>
        <w:gridCol w:w="541"/>
        <w:gridCol w:w="167"/>
        <w:gridCol w:w="251"/>
        <w:gridCol w:w="458"/>
        <w:gridCol w:w="142"/>
        <w:gridCol w:w="224"/>
        <w:gridCol w:w="342"/>
        <w:gridCol w:w="704"/>
        <w:gridCol w:w="1011"/>
        <w:gridCol w:w="1099"/>
        <w:gridCol w:w="942"/>
        <w:gridCol w:w="417"/>
        <w:gridCol w:w="993"/>
        <w:gridCol w:w="1602"/>
      </w:tblGrid>
      <w:tr>
        <w:tblPrEx>
          <w:tblLayout w:type="fixed"/>
          <w:tblCellMar>
            <w:top w:w="0" w:type="dxa"/>
            <w:left w:w="108" w:type="dxa"/>
            <w:bottom w:w="0" w:type="dxa"/>
            <w:right w:w="108" w:type="dxa"/>
          </w:tblCellMar>
        </w:tblPrEx>
        <w:trPr>
          <w:trHeight w:val="469" w:hRule="atLeast"/>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名称</w:t>
            </w:r>
          </w:p>
        </w:tc>
        <w:tc>
          <w:tcPr>
            <w:tcW w:w="1715" w:type="dxa"/>
            <w:gridSpan w:val="4"/>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秀山县2020年化肥减量增效项目（秀山县皮皮乐园农业开发有限公司）</w:t>
            </w:r>
          </w:p>
        </w:tc>
        <w:tc>
          <w:tcPr>
            <w:tcW w:w="8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编码</w:t>
            </w:r>
          </w:p>
        </w:tc>
        <w:tc>
          <w:tcPr>
            <w:tcW w:w="104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w:t>
            </w:r>
          </w:p>
        </w:tc>
        <w:tc>
          <w:tcPr>
            <w:tcW w:w="101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总分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（分）</w:t>
            </w:r>
          </w:p>
        </w:tc>
        <w:tc>
          <w:tcPr>
            <w:tcW w:w="5053"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r>
      <w:tr>
        <w:tblPrEx>
          <w:tblLayout w:type="fixed"/>
          <w:tblCellMar>
            <w:top w:w="0" w:type="dxa"/>
            <w:left w:w="108" w:type="dxa"/>
            <w:bottom w:w="0" w:type="dxa"/>
            <w:right w:w="108" w:type="dxa"/>
          </w:tblCellMar>
        </w:tblPrEx>
        <w:trPr>
          <w:trHeight w:val="469" w:hRule="atLeast"/>
        </w:trPr>
        <w:tc>
          <w:tcPr>
            <w:tcW w:w="84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主管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部门</w:t>
            </w:r>
          </w:p>
        </w:tc>
        <w:tc>
          <w:tcPr>
            <w:tcW w:w="1715" w:type="dxa"/>
            <w:gridSpan w:val="4"/>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县农业农村委</w:t>
            </w:r>
          </w:p>
        </w:tc>
        <w:tc>
          <w:tcPr>
            <w:tcW w:w="824" w:type="dxa"/>
            <w:gridSpan w:val="3"/>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财政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处室</w:t>
            </w:r>
          </w:p>
        </w:tc>
        <w:tc>
          <w:tcPr>
            <w:tcW w:w="1046" w:type="dxa"/>
            <w:gridSpan w:val="2"/>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宋农镇财政办</w:t>
            </w:r>
          </w:p>
        </w:tc>
        <w:tc>
          <w:tcPr>
            <w:tcW w:w="101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联系人</w:t>
            </w:r>
          </w:p>
        </w:tc>
        <w:tc>
          <w:tcPr>
            <w:tcW w:w="109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向琨</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联系电话</w:t>
            </w:r>
          </w:p>
        </w:tc>
        <w:tc>
          <w:tcPr>
            <w:tcW w:w="2595" w:type="dxa"/>
            <w:gridSpan w:val="2"/>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18983561681</w:t>
            </w:r>
          </w:p>
        </w:tc>
      </w:tr>
      <w:tr>
        <w:tblPrEx>
          <w:tblLayout w:type="fixed"/>
          <w:tblCellMar>
            <w:top w:w="0" w:type="dxa"/>
            <w:left w:w="108" w:type="dxa"/>
            <w:bottom w:w="0" w:type="dxa"/>
            <w:right w:w="108" w:type="dxa"/>
          </w:tblCellMar>
        </w:tblPrEx>
        <w:trPr>
          <w:trHeight w:val="469" w:hRule="atLeast"/>
        </w:trPr>
        <w:tc>
          <w:tcPr>
            <w:tcW w:w="847"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项目资金（万元）</w:t>
            </w:r>
          </w:p>
        </w:tc>
        <w:tc>
          <w:tcPr>
            <w:tcW w:w="1297" w:type="dxa"/>
            <w:gridSpan w:val="2"/>
            <w:vMerge w:val="restart"/>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总金额</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预算数</w:t>
            </w: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（调整）预算数</w:t>
            </w: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全年执行数</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9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权重</w:t>
            </w: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（分）</w:t>
            </w:r>
          </w:p>
        </w:tc>
      </w:tr>
      <w:tr>
        <w:tblPrEx>
          <w:tblLayout w:type="fixed"/>
          <w:tblCellMar>
            <w:top w:w="0" w:type="dxa"/>
            <w:left w:w="108" w:type="dxa"/>
            <w:bottom w:w="0" w:type="dxa"/>
            <w:right w:w="108" w:type="dxa"/>
          </w:tblCellMar>
        </w:tblPrEx>
        <w:trPr>
          <w:trHeight w:val="469"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1297" w:type="dxa"/>
            <w:gridSpan w:val="2"/>
            <w:vMerge w:val="continue"/>
            <w:tcBorders>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1.1</w:t>
            </w: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1.1</w:t>
            </w: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1.1</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r>
      <w:tr>
        <w:tblPrEx>
          <w:tblLayout w:type="fixed"/>
          <w:tblCellMar>
            <w:top w:w="0" w:type="dxa"/>
            <w:left w:w="108" w:type="dxa"/>
            <w:bottom w:w="0" w:type="dxa"/>
            <w:right w:w="108" w:type="dxa"/>
          </w:tblCellMar>
        </w:tblPrEx>
        <w:trPr>
          <w:trHeight w:val="469"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1297"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市级支出</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r>
      <w:tr>
        <w:tblPrEx>
          <w:tblLayout w:type="fixed"/>
          <w:tblCellMar>
            <w:top w:w="0" w:type="dxa"/>
            <w:left w:w="108" w:type="dxa"/>
            <w:bottom w:w="0" w:type="dxa"/>
            <w:right w:w="108" w:type="dxa"/>
          </w:tblCellMar>
        </w:tblPrEx>
        <w:trPr>
          <w:trHeight w:val="469"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1297"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补助区县</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r>
      <w:tr>
        <w:tblPrEx>
          <w:tblLayout w:type="fixed"/>
          <w:tblCellMar>
            <w:top w:w="0" w:type="dxa"/>
            <w:left w:w="108" w:type="dxa"/>
            <w:bottom w:w="0" w:type="dxa"/>
            <w:right w:w="108" w:type="dxa"/>
          </w:tblCellMar>
        </w:tblPrEx>
        <w:trPr>
          <w:trHeight w:val="469" w:hRule="atLeast"/>
        </w:trPr>
        <w:tc>
          <w:tcPr>
            <w:tcW w:w="84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当年绩效目标</w:t>
            </w:r>
          </w:p>
        </w:tc>
        <w:tc>
          <w:tcPr>
            <w:tcW w:w="2539"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年初绩效目标</w:t>
            </w:r>
          </w:p>
        </w:tc>
        <w:tc>
          <w:tcPr>
            <w:tcW w:w="315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全年（调整）绩效目标</w:t>
            </w:r>
          </w:p>
        </w:tc>
        <w:tc>
          <w:tcPr>
            <w:tcW w:w="395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全年目标实际完成情况</w:t>
            </w:r>
          </w:p>
        </w:tc>
      </w:tr>
      <w:tr>
        <w:tblPrEx>
          <w:tblLayout w:type="fixed"/>
          <w:tblCellMar>
            <w:top w:w="0" w:type="dxa"/>
            <w:left w:w="108" w:type="dxa"/>
            <w:bottom w:w="0" w:type="dxa"/>
            <w:right w:w="108" w:type="dxa"/>
          </w:tblCellMar>
        </w:tblPrEx>
        <w:trPr>
          <w:trHeight w:val="1055"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2539" w:type="dxa"/>
            <w:gridSpan w:val="7"/>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过化肥减量增效试点项目，持续推进化肥减量增效，减少不合理化肥投入，稳步提高化肥利用率，推动我县化肥用量实现负增长。</w:t>
            </w:r>
          </w:p>
        </w:tc>
        <w:tc>
          <w:tcPr>
            <w:tcW w:w="315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过化肥减量增效试点项目，持续推进化肥减量增效，减少不合理化肥投入，稳步提高化肥利用率，推动我县化肥用量实现负增长。</w:t>
            </w:r>
          </w:p>
        </w:tc>
        <w:tc>
          <w:tcPr>
            <w:tcW w:w="3954" w:type="dxa"/>
            <w:gridSpan w:val="4"/>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过化肥减量增效试点项目，持续推进化肥减量增效，减少不合理化肥投入，稳步提高化肥利用率，推动我县化肥用量实现负增长。。</w:t>
            </w:r>
          </w:p>
        </w:tc>
      </w:tr>
      <w:tr>
        <w:tblPrEx>
          <w:tblLayout w:type="fixed"/>
          <w:tblCellMar>
            <w:top w:w="0" w:type="dxa"/>
            <w:left w:w="108" w:type="dxa"/>
            <w:bottom w:w="0" w:type="dxa"/>
            <w:right w:w="108" w:type="dxa"/>
          </w:tblCellMar>
        </w:tblPrEx>
        <w:trPr>
          <w:trHeight w:val="885" w:hRule="atLeast"/>
        </w:trPr>
        <w:tc>
          <w:tcPr>
            <w:tcW w:w="847"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绩效指标</w:t>
            </w:r>
          </w:p>
        </w:tc>
        <w:tc>
          <w:tcPr>
            <w:tcW w:w="756"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名称</w:t>
            </w:r>
          </w:p>
        </w:tc>
        <w:tc>
          <w:tcPr>
            <w:tcW w:w="708"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计量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单位</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性质</w:t>
            </w:r>
          </w:p>
        </w:tc>
        <w:tc>
          <w:tcPr>
            <w:tcW w:w="708" w:type="dxa"/>
            <w:gridSpan w:val="3"/>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值</w:t>
            </w:r>
          </w:p>
        </w:tc>
        <w:tc>
          <w:tcPr>
            <w:tcW w:w="704"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值</w:t>
            </w:r>
          </w:p>
        </w:tc>
        <w:tc>
          <w:tcPr>
            <w:tcW w:w="101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完成值</w:t>
            </w:r>
          </w:p>
        </w:tc>
        <w:tc>
          <w:tcPr>
            <w:tcW w:w="109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系数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94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权重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（分）</w:t>
            </w:r>
          </w:p>
        </w:tc>
        <w:tc>
          <w:tcPr>
            <w:tcW w:w="1410"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（分）</w:t>
            </w: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是否核心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tc>
      </w:tr>
      <w:tr>
        <w:tblPrEx>
          <w:tblLayout w:type="fixed"/>
          <w:tblCellMar>
            <w:top w:w="0" w:type="dxa"/>
            <w:left w:w="108" w:type="dxa"/>
            <w:bottom w:w="0" w:type="dxa"/>
            <w:right w:w="108" w:type="dxa"/>
          </w:tblCellMar>
        </w:tblPrEx>
        <w:trPr>
          <w:trHeight w:val="408"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数量指标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个</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1.购买100亩有机肥（有机质60%以上，总养分8%以上）</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2.开沟，施肥，整地</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3.用开沟施肥一体机进行施肥等。</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1.购买100亩有机肥（有机质60%以上，总养分8%以上）</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2.开沟，施肥，整地</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3.用开沟施肥一体机进行施肥等。</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1.购买100亩有机肥（有机质60%以上，总养分8%以上）</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2.开沟，施肥，整地</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3.用开沟施肥一体机进行施肥等。</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15</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15</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质量指标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验收合格率</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验收合格率</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95%</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15</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15</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378"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时效指标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项目（工程）完成及时率</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项目（工程）完成及时率</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成本指标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万</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财政补助资金1.1万元</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财政补助资金1.1万元</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财政补助资金1.1万元</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经济效益</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指标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万</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带动群众增收1100元/人</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带动群众增收1100元/人</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带动群众增收1100元/人</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社会效益</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指标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人</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受益建档立卡贫困人口数3人</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受益建档立卡贫困人口数3人</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受益建档立卡贫困人口数3人</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生态效益</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指标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亩</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开展化肥减量增效试点，示范片化肥用量减少3%以上。</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开展化肥减量增效试点，示范片化肥用量减少3%以上。</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开展化肥减量增效试点，示范片化肥用量减少3%以上。</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5</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可持续影响</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指标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工程设计使用年限≥1年</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工程设计使用年限≥1年</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工程设计使用年限≥1年</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5</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服务对象</w:t>
            </w:r>
            <w:r>
              <w:rPr>
                <w:rFonts w:hint="eastAsia" w:ascii="Times New Roman" w:hAnsi="Times New Roman" w:eastAsia="方正仿宋_GBK" w:cs="宋体"/>
                <w:b w:val="0"/>
                <w:bCs/>
                <w:color w:val="000000"/>
                <w:kern w:val="0"/>
                <w:sz w:val="21"/>
                <w:szCs w:val="21"/>
                <w:lang w:val="en-US" w:eastAsia="zh-CN"/>
              </w:rPr>
              <w:br w:type="textWrapping"/>
            </w:r>
            <w:r>
              <w:rPr>
                <w:rFonts w:hint="eastAsia" w:ascii="Times New Roman" w:hAnsi="Times New Roman" w:eastAsia="方正仿宋_GBK" w:cs="宋体"/>
                <w:b w:val="0"/>
                <w:bCs/>
                <w:color w:val="000000"/>
                <w:kern w:val="0"/>
                <w:sz w:val="21"/>
                <w:szCs w:val="21"/>
                <w:lang w:val="en-US" w:eastAsia="zh-CN"/>
              </w:rPr>
              <w:t>满意度指标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受益建档立卡贫困人口满意度</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受益建档立卡贫困人口满意度</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98%</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589" w:hRule="atLeast"/>
        </w:trPr>
        <w:tc>
          <w:tcPr>
            <w:tcW w:w="84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说明</w:t>
            </w:r>
          </w:p>
        </w:tc>
        <w:tc>
          <w:tcPr>
            <w:tcW w:w="9649" w:type="dxa"/>
            <w:gridSpan w:val="15"/>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r>
    </w:tbl>
    <w:p>
      <w:pPr>
        <w:pStyle w:val="8"/>
        <w:keepNext w:val="0"/>
        <w:keepLines w:val="0"/>
        <w:pageBreakBefore w:val="0"/>
        <w:widowControl/>
        <w:tabs>
          <w:tab w:val="center" w:pos="4153"/>
          <w:tab w:val="left" w:pos="7275"/>
        </w:tabs>
        <w:kinsoku/>
        <w:wordWrap/>
        <w:overflowPunct/>
        <w:topLinePunct w:val="0"/>
        <w:autoSpaceDE/>
        <w:autoSpaceDN/>
        <w:bidi w:val="0"/>
        <w:adjustRightInd/>
        <w:snapToGrid/>
        <w:spacing w:afterAutospacing="0" w:line="160" w:lineRule="atLeast"/>
        <w:ind w:firstLine="0" w:firstLineChars="0"/>
        <w:jc w:val="both"/>
        <w:textAlignment w:val="auto"/>
        <w:outlineLvl w:val="9"/>
        <w:rPr>
          <w:rStyle w:val="10"/>
          <w:rFonts w:hint="eastAsia" w:ascii="方正仿宋_GBK" w:hAnsi="方正仿宋_GBK" w:eastAsia="方正仿宋_GBK" w:cs="方正仿宋_GBK"/>
          <w:b w:val="0"/>
          <w:bCs/>
          <w:kern w:val="0"/>
          <w:sz w:val="32"/>
          <w:szCs w:val="32"/>
          <w:shd w:val="clear" w:fill="FFFFFF"/>
          <w:lang w:val="en-US" w:eastAsia="zh-CN" w:bidi="ar"/>
        </w:rPr>
      </w:pPr>
    </w:p>
    <w:p>
      <w:pPr>
        <w:pStyle w:val="8"/>
        <w:keepNext w:val="0"/>
        <w:keepLines w:val="0"/>
        <w:pageBreakBefore w:val="0"/>
        <w:widowControl/>
        <w:tabs>
          <w:tab w:val="center" w:pos="4153"/>
          <w:tab w:val="left" w:pos="7275"/>
        </w:tabs>
        <w:kinsoku/>
        <w:wordWrap/>
        <w:overflowPunct/>
        <w:topLinePunct w:val="0"/>
        <w:autoSpaceDE/>
        <w:autoSpaceDN/>
        <w:bidi w:val="0"/>
        <w:adjustRightInd/>
        <w:snapToGrid/>
        <w:spacing w:afterAutospacing="0" w:line="160" w:lineRule="atLeast"/>
        <w:ind w:left="0" w:leftChars="0" w:right="0" w:rightChars="0" w:firstLine="0" w:firstLineChars="0"/>
        <w:jc w:val="center"/>
        <w:textAlignment w:val="auto"/>
        <w:outlineLvl w:val="9"/>
        <w:rPr>
          <w:rStyle w:val="10"/>
          <w:rFonts w:hint="eastAsia" w:ascii="方正仿宋_GBK" w:hAnsi="方正仿宋_GBK" w:eastAsia="方正仿宋_GBK" w:cs="方正仿宋_GBK"/>
          <w:b w:val="0"/>
          <w:bCs/>
          <w:kern w:val="0"/>
          <w:sz w:val="32"/>
          <w:szCs w:val="32"/>
          <w:shd w:val="clear" w:fill="FFFFFF"/>
          <w:lang w:val="en-US" w:eastAsia="zh-CN" w:bidi="ar"/>
        </w:rPr>
      </w:pPr>
      <w:r>
        <w:rPr>
          <w:rStyle w:val="10"/>
          <w:rFonts w:hint="eastAsia" w:ascii="方正仿宋_GBK" w:hAnsi="方正仿宋_GBK" w:eastAsia="方正仿宋_GBK" w:cs="方正仿宋_GBK"/>
          <w:b w:val="0"/>
          <w:bCs/>
          <w:kern w:val="0"/>
          <w:sz w:val="32"/>
          <w:szCs w:val="32"/>
          <w:shd w:val="clear" w:fill="FFFFFF"/>
          <w:lang w:val="en-US" w:eastAsia="zh-CN" w:bidi="ar"/>
        </w:rPr>
        <w:t>一级项目绩效自评表</w:t>
      </w:r>
    </w:p>
    <w:tbl>
      <w:tblPr>
        <w:tblStyle w:val="7"/>
        <w:tblW w:w="10496" w:type="dxa"/>
        <w:jc w:val="center"/>
        <w:tblInd w:w="0" w:type="dxa"/>
        <w:tblLayout w:type="fixed"/>
        <w:tblCellMar>
          <w:top w:w="0" w:type="dxa"/>
          <w:left w:w="108" w:type="dxa"/>
          <w:bottom w:w="0" w:type="dxa"/>
          <w:right w:w="108" w:type="dxa"/>
        </w:tblCellMar>
      </w:tblPr>
      <w:tblGrid>
        <w:gridCol w:w="847"/>
        <w:gridCol w:w="756"/>
        <w:gridCol w:w="541"/>
        <w:gridCol w:w="167"/>
        <w:gridCol w:w="251"/>
        <w:gridCol w:w="458"/>
        <w:gridCol w:w="142"/>
        <w:gridCol w:w="224"/>
        <w:gridCol w:w="342"/>
        <w:gridCol w:w="704"/>
        <w:gridCol w:w="1011"/>
        <w:gridCol w:w="1099"/>
        <w:gridCol w:w="942"/>
        <w:gridCol w:w="417"/>
        <w:gridCol w:w="993"/>
        <w:gridCol w:w="1602"/>
      </w:tblGrid>
      <w:tr>
        <w:tblPrEx>
          <w:tblLayout w:type="fixed"/>
          <w:tblCellMar>
            <w:top w:w="0" w:type="dxa"/>
            <w:left w:w="108" w:type="dxa"/>
            <w:bottom w:w="0" w:type="dxa"/>
            <w:right w:w="108" w:type="dxa"/>
          </w:tblCellMar>
        </w:tblPrEx>
        <w:trPr>
          <w:trHeight w:val="46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名称</w:t>
            </w:r>
          </w:p>
        </w:tc>
        <w:tc>
          <w:tcPr>
            <w:tcW w:w="1715" w:type="dxa"/>
            <w:gridSpan w:val="4"/>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秀山县2021年宋农镇中山村场坪组人饮工程</w:t>
            </w:r>
          </w:p>
        </w:tc>
        <w:tc>
          <w:tcPr>
            <w:tcW w:w="8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编码</w:t>
            </w:r>
          </w:p>
        </w:tc>
        <w:tc>
          <w:tcPr>
            <w:tcW w:w="104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2</w:t>
            </w:r>
          </w:p>
        </w:tc>
        <w:tc>
          <w:tcPr>
            <w:tcW w:w="101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总分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（分）</w:t>
            </w:r>
          </w:p>
        </w:tc>
        <w:tc>
          <w:tcPr>
            <w:tcW w:w="5053"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r>
      <w:tr>
        <w:tblPrEx>
          <w:tblLayout w:type="fixed"/>
          <w:tblCellMar>
            <w:top w:w="0" w:type="dxa"/>
            <w:left w:w="108" w:type="dxa"/>
            <w:bottom w:w="0" w:type="dxa"/>
            <w:right w:w="108" w:type="dxa"/>
          </w:tblCellMar>
        </w:tblPrEx>
        <w:trPr>
          <w:trHeight w:val="469" w:hRule="atLeast"/>
          <w:jc w:val="center"/>
        </w:trPr>
        <w:tc>
          <w:tcPr>
            <w:tcW w:w="84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主管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部门</w:t>
            </w:r>
          </w:p>
        </w:tc>
        <w:tc>
          <w:tcPr>
            <w:tcW w:w="1715" w:type="dxa"/>
            <w:gridSpan w:val="4"/>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县水利局</w:t>
            </w:r>
          </w:p>
        </w:tc>
        <w:tc>
          <w:tcPr>
            <w:tcW w:w="824" w:type="dxa"/>
            <w:gridSpan w:val="3"/>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财政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处室</w:t>
            </w:r>
          </w:p>
        </w:tc>
        <w:tc>
          <w:tcPr>
            <w:tcW w:w="1046" w:type="dxa"/>
            <w:gridSpan w:val="2"/>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宋农镇财政办</w:t>
            </w:r>
          </w:p>
        </w:tc>
        <w:tc>
          <w:tcPr>
            <w:tcW w:w="101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联系人</w:t>
            </w:r>
          </w:p>
        </w:tc>
        <w:tc>
          <w:tcPr>
            <w:tcW w:w="109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白维勇</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联系电话</w:t>
            </w:r>
          </w:p>
        </w:tc>
        <w:tc>
          <w:tcPr>
            <w:tcW w:w="2595" w:type="dxa"/>
            <w:gridSpan w:val="2"/>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13193266937</w:t>
            </w:r>
          </w:p>
        </w:tc>
      </w:tr>
      <w:tr>
        <w:tblPrEx>
          <w:tblLayout w:type="fixed"/>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项目资金（万元）</w:t>
            </w:r>
          </w:p>
        </w:tc>
        <w:tc>
          <w:tcPr>
            <w:tcW w:w="1297" w:type="dxa"/>
            <w:gridSpan w:val="2"/>
            <w:vMerge w:val="restart"/>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总金额</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预算数</w:t>
            </w: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（调整）预算数</w:t>
            </w: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全年执行数</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9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权重</w:t>
            </w: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（分）</w:t>
            </w:r>
          </w:p>
        </w:tc>
      </w:tr>
      <w:tr>
        <w:tblPrEx>
          <w:tblLayout w:type="fixed"/>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1297" w:type="dxa"/>
            <w:gridSpan w:val="2"/>
            <w:vMerge w:val="continue"/>
            <w:tcBorders>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r>
      <w:tr>
        <w:tblPrEx>
          <w:tblLayout w:type="fixed"/>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1297"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市级支出</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r>
      <w:tr>
        <w:tblPrEx>
          <w:tblLayout w:type="fixed"/>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1297" w:type="dxa"/>
            <w:gridSpan w:val="2"/>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补助区县</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r>
      <w:tr>
        <w:tblPrEx>
          <w:tblLayout w:type="fixed"/>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当年绩效目标</w:t>
            </w:r>
          </w:p>
        </w:tc>
        <w:tc>
          <w:tcPr>
            <w:tcW w:w="2539"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年初绩效目标</w:t>
            </w:r>
          </w:p>
        </w:tc>
        <w:tc>
          <w:tcPr>
            <w:tcW w:w="315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全年（调整）绩效目标</w:t>
            </w:r>
          </w:p>
        </w:tc>
        <w:tc>
          <w:tcPr>
            <w:tcW w:w="395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全年目标实际完成情况</w:t>
            </w:r>
          </w:p>
        </w:tc>
      </w:tr>
      <w:tr>
        <w:tblPrEx>
          <w:tblLayout w:type="fixed"/>
          <w:tblCellMar>
            <w:top w:w="0" w:type="dxa"/>
            <w:left w:w="108" w:type="dxa"/>
            <w:bottom w:w="0" w:type="dxa"/>
            <w:right w:w="108" w:type="dxa"/>
          </w:tblCellMar>
        </w:tblPrEx>
        <w:trPr>
          <w:trHeight w:val="1055"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2539" w:type="dxa"/>
            <w:gridSpan w:val="7"/>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新打井一口、新建30m3水池一口、铺设φ23水管1000米、铺设φ20水管1000米等。</w:t>
            </w:r>
          </w:p>
        </w:tc>
        <w:tc>
          <w:tcPr>
            <w:tcW w:w="315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新打井一口、新建30m3水池一口、铺设φ23水管1000米、铺设φ20水管1000米等。</w:t>
            </w:r>
          </w:p>
        </w:tc>
        <w:tc>
          <w:tcPr>
            <w:tcW w:w="3954" w:type="dxa"/>
            <w:gridSpan w:val="4"/>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新打井一口、新建30m3水池一口、铺设φ23水管1000米、铺设φ20水管1000米等。</w:t>
            </w:r>
          </w:p>
        </w:tc>
      </w:tr>
      <w:tr>
        <w:tblPrEx>
          <w:tblLayout w:type="fixed"/>
          <w:tblCellMar>
            <w:top w:w="0" w:type="dxa"/>
            <w:left w:w="108" w:type="dxa"/>
            <w:bottom w:w="0" w:type="dxa"/>
            <w:right w:w="108" w:type="dxa"/>
          </w:tblCellMar>
        </w:tblPrEx>
        <w:trPr>
          <w:trHeight w:val="885" w:hRule="atLeast"/>
          <w:jc w:val="center"/>
        </w:trPr>
        <w:tc>
          <w:tcPr>
            <w:tcW w:w="847"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绩效指标</w:t>
            </w:r>
          </w:p>
        </w:tc>
        <w:tc>
          <w:tcPr>
            <w:tcW w:w="756"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名称</w:t>
            </w:r>
          </w:p>
        </w:tc>
        <w:tc>
          <w:tcPr>
            <w:tcW w:w="708"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计量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单位</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性质</w:t>
            </w:r>
          </w:p>
        </w:tc>
        <w:tc>
          <w:tcPr>
            <w:tcW w:w="708" w:type="dxa"/>
            <w:gridSpan w:val="3"/>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值</w:t>
            </w:r>
          </w:p>
        </w:tc>
        <w:tc>
          <w:tcPr>
            <w:tcW w:w="704"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值</w:t>
            </w:r>
          </w:p>
        </w:tc>
        <w:tc>
          <w:tcPr>
            <w:tcW w:w="101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完成值</w:t>
            </w:r>
          </w:p>
        </w:tc>
        <w:tc>
          <w:tcPr>
            <w:tcW w:w="109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系数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94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权重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（分）</w:t>
            </w:r>
          </w:p>
        </w:tc>
        <w:tc>
          <w:tcPr>
            <w:tcW w:w="1410"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（分）</w:t>
            </w:r>
          </w:p>
        </w:tc>
        <w:tc>
          <w:tcPr>
            <w:tcW w:w="160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是否核心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指标</w:t>
            </w:r>
          </w:p>
        </w:tc>
      </w:tr>
      <w:tr>
        <w:tblPrEx>
          <w:tblLayout w:type="fixed"/>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饮水工程配套设施建设</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个</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饮水工程配套设施建设</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饮水工程配套设施建设</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新建35个立方水池1口，5个立方沉沙池1口，购买铺设32Φ管5000米、25Φ管2000米、20Φ管1000米，购买安装水表等配套材料。</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15</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15</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项目验收合格率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项目验收合格率</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项目验收合格率</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15</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15</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37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项目完工及时率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项目完工及时率</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项目完工及时率</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≥90%</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饮水工程配套设施建设</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万</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饮水工程配套设施建设</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饮水工程配套设施建设</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≥10万元</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产业带动增加贫困户人口收入</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万</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产业带动增加贫困户人口收入</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产业带动增加贫困户人口收入</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≥0.8万元</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受益建档立卡贫困人口</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人</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受益建档立卡贫困人口</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受益建档立卡贫困人口</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≥2人</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改善耕地面积</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亩</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改善耕地面积</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改善耕地面积</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≥100亩</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5</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5</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项目存续期可达</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年</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项目存续期可达</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项目存续期可达</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5年</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5</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5</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default" w:ascii="Times New Roman" w:hAnsi="Times New Roman" w:eastAsia="方正仿宋_GBK" w:cs="宋体"/>
                <w:b w:val="0"/>
                <w:bCs/>
                <w:color w:val="000000"/>
                <w:kern w:val="0"/>
                <w:sz w:val="21"/>
                <w:szCs w:val="21"/>
                <w:lang w:val="en-US" w:eastAsia="zh-CN"/>
              </w:rPr>
            </w:pPr>
          </w:p>
        </w:tc>
        <w:tc>
          <w:tcPr>
            <w:tcW w:w="756" w:type="dxa"/>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受益贫困人口满意度</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w:t>
            </w:r>
          </w:p>
        </w:tc>
        <w:tc>
          <w:tcPr>
            <w:tcW w:w="708" w:type="dxa"/>
            <w:gridSpan w:val="3"/>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受益贫困人口满意度</w:t>
            </w:r>
          </w:p>
        </w:tc>
        <w:tc>
          <w:tcPr>
            <w:tcW w:w="704"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受益贫困人口满意度</w:t>
            </w:r>
          </w:p>
        </w:tc>
        <w:tc>
          <w:tcPr>
            <w:tcW w:w="1011"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≥99%</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100</w:t>
            </w:r>
          </w:p>
        </w:tc>
        <w:tc>
          <w:tcPr>
            <w:tcW w:w="942" w:type="dxa"/>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410" w:type="dxa"/>
            <w:gridSpan w:val="2"/>
            <w:tcBorders>
              <w:top w:val="nil"/>
              <w:left w:val="sing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10</w:t>
            </w:r>
          </w:p>
        </w:tc>
        <w:tc>
          <w:tcPr>
            <w:tcW w:w="1602"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是</w:t>
            </w:r>
          </w:p>
        </w:tc>
      </w:tr>
      <w:tr>
        <w:tblPrEx>
          <w:tblLayout w:type="fixed"/>
          <w:tblCellMar>
            <w:top w:w="0" w:type="dxa"/>
            <w:left w:w="108" w:type="dxa"/>
            <w:bottom w:w="0" w:type="dxa"/>
            <w:right w:w="108" w:type="dxa"/>
          </w:tblCellMar>
        </w:tblPrEx>
        <w:trPr>
          <w:trHeight w:val="589" w:hRule="atLeast"/>
          <w:jc w:val="center"/>
        </w:trPr>
        <w:tc>
          <w:tcPr>
            <w:tcW w:w="84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r>
              <w:rPr>
                <w:rFonts w:hint="eastAsia" w:ascii="Times New Roman" w:hAnsi="Times New Roman" w:eastAsia="方正仿宋_GBK" w:cs="宋体"/>
                <w:b w:val="0"/>
                <w:bCs/>
                <w:color w:val="000000"/>
                <w:kern w:val="0"/>
                <w:sz w:val="21"/>
                <w:szCs w:val="21"/>
                <w:lang w:val="en-US" w:eastAsia="zh-CN"/>
              </w:rPr>
              <w:t>说明</w:t>
            </w:r>
          </w:p>
        </w:tc>
        <w:tc>
          <w:tcPr>
            <w:tcW w:w="9649" w:type="dxa"/>
            <w:gridSpan w:val="15"/>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outlineLvl w:val="9"/>
              <w:rPr>
                <w:rFonts w:hint="eastAsia" w:ascii="Times New Roman" w:hAnsi="Times New Roman" w:eastAsia="方正仿宋_GBK" w:cs="宋体"/>
                <w:b w:val="0"/>
                <w:bCs/>
                <w:color w:val="000000"/>
                <w:kern w:val="0"/>
                <w:sz w:val="21"/>
                <w:szCs w:val="21"/>
                <w:lang w:val="en-US" w:eastAsia="zh-CN"/>
              </w:rPr>
            </w:pPr>
          </w:p>
        </w:tc>
      </w:tr>
    </w:tbl>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160" w:lineRule="atLeast"/>
        <w:ind w:right="0" w:firstLine="0" w:firstLineChars="0"/>
        <w:jc w:val="left"/>
        <w:textAlignment w:val="auto"/>
        <w:outlineLvl w:val="9"/>
        <w:rPr>
          <w:rFonts w:hint="eastAsia" w:ascii="Times New Roman" w:hAnsi="Times New Roman" w:eastAsia="方正仿宋_GBK" w:cs="Times New Roman"/>
          <w:kern w:val="2"/>
          <w:sz w:val="32"/>
          <w:szCs w:val="32"/>
          <w:lang w:val="en-US" w:eastAsia="zh-CN" w:bidi="ar-SA"/>
        </w:rPr>
      </w:pP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绩效自评报告或案例</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right="0" w:rightChars="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bCs/>
          <w:kern w:val="0"/>
          <w:sz w:val="32"/>
          <w:szCs w:val="32"/>
          <w:shd w:val="clear" w:fill="FFFFFF"/>
          <w:lang w:val="en-US" w:eastAsia="zh-CN"/>
        </w:rPr>
        <w:t>我部门未委托第三方开展绩效自评。</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关于绩效自评结果的说明</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0" w:right="0" w:rightChars="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bCs/>
          <w:kern w:val="0"/>
          <w:sz w:val="32"/>
          <w:szCs w:val="32"/>
          <w:shd w:val="clear" w:fill="FFFFFF"/>
          <w:lang w:val="en-US" w:eastAsia="zh-CN"/>
        </w:rPr>
        <w:t>我部门绩效自评均已完成年度绩效目标的。</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outlineLvl w:val="9"/>
        <w:rPr>
          <w:rFonts w:hint="eastAsia" w:ascii="Times New Roman" w:hAnsi="Times New Roman" w:eastAsia="方正楷体_GBK" w:cs="宋体"/>
          <w:kern w:val="0"/>
          <w:sz w:val="32"/>
          <w:szCs w:val="32"/>
          <w:lang w:val="en-US" w:eastAsia="zh-CN"/>
        </w:rPr>
      </w:pPr>
      <w:r>
        <w:rPr>
          <w:rFonts w:hint="eastAsia" w:ascii="Times New Roman" w:hAnsi="Times New Roman" w:eastAsia="方正楷体_GBK" w:cs="宋体"/>
          <w:kern w:val="0"/>
          <w:sz w:val="32"/>
          <w:szCs w:val="32"/>
          <w:lang w:val="en-US" w:eastAsia="zh-CN"/>
        </w:rPr>
        <w:t>（三）重点绩效评价结果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1"/>
          <w:szCs w:val="31"/>
          <w:shd w:val="clear" w:color="auto" w:fill="FFFFFF"/>
        </w:rPr>
      </w:pPr>
      <w:r>
        <w:rPr>
          <w:rFonts w:hint="eastAsia" w:ascii="方正仿宋_GBK" w:hAnsi="方正仿宋_GBK" w:eastAsia="方正仿宋_GBK" w:cs="方正仿宋_GBK"/>
          <w:i w:val="0"/>
          <w:caps w:val="0"/>
          <w:color w:val="333333"/>
          <w:spacing w:val="0"/>
          <w:sz w:val="31"/>
          <w:szCs w:val="31"/>
          <w:shd w:val="clear" w:color="auto" w:fill="FFFFFF"/>
        </w:rPr>
        <w:t>本</w:t>
      </w:r>
      <w:r>
        <w:rPr>
          <w:rFonts w:hint="eastAsia" w:ascii="方正仿宋_GBK" w:hAnsi="方正仿宋_GBK" w:eastAsia="方正仿宋_GBK" w:cs="方正仿宋_GBK"/>
          <w:i w:val="0"/>
          <w:caps w:val="0"/>
          <w:color w:val="333333"/>
          <w:spacing w:val="0"/>
          <w:sz w:val="31"/>
          <w:szCs w:val="31"/>
          <w:shd w:val="clear" w:color="auto" w:fill="FFFFFF"/>
          <w:lang w:eastAsia="zh-CN"/>
        </w:rPr>
        <w:t>单位</w:t>
      </w:r>
      <w:r>
        <w:rPr>
          <w:rFonts w:hint="eastAsia" w:ascii="方正仿宋_GBK" w:hAnsi="方正仿宋_GBK" w:eastAsia="方正仿宋_GBK" w:cs="方正仿宋_GBK"/>
          <w:i w:val="0"/>
          <w:caps w:val="0"/>
          <w:color w:val="333333"/>
          <w:spacing w:val="0"/>
          <w:sz w:val="31"/>
          <w:szCs w:val="31"/>
          <w:shd w:val="clear" w:color="auto" w:fill="FFFFFF"/>
        </w:rPr>
        <w:t>无此情况。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1"/>
          <w:szCs w:val="31"/>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1"/>
          <w:szCs w:val="31"/>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1"/>
          <w:szCs w:val="31"/>
          <w:shd w:val="clear" w:color="auto" w:fill="FFFFFF"/>
        </w:rPr>
      </w:pPr>
    </w:p>
    <w:p>
      <w:pPr>
        <w:pStyle w:val="8"/>
        <w:keepNext w:val="0"/>
        <w:keepLines w:val="0"/>
        <w:pageBreakBefore w:val="0"/>
        <w:numPr>
          <w:ilvl w:val="0"/>
          <w:numId w:val="7"/>
        </w:numPr>
        <w:tabs>
          <w:tab w:val="center" w:pos="4153"/>
          <w:tab w:val="left" w:pos="7275"/>
        </w:tabs>
        <w:kinsoku/>
        <w:wordWrap/>
        <w:overflowPunct/>
        <w:topLinePunct w:val="0"/>
        <w:autoSpaceDE/>
        <w:autoSpaceDN/>
        <w:bidi w:val="0"/>
        <w:adjustRightInd/>
        <w:spacing w:afterAutospacing="0" w:line="600" w:lineRule="exact"/>
        <w:ind w:firstLine="640"/>
        <w:textAlignment w:val="auto"/>
        <w:rPr>
          <w:rFonts w:hint="eastAsia" w:ascii="Times New Roman" w:hAnsi="Times New Roman" w:eastAsia="方正黑体_GBK"/>
          <w:sz w:val="32"/>
          <w:szCs w:val="32"/>
          <w:highlight w:val="none"/>
        </w:rPr>
      </w:pPr>
      <w:r>
        <w:rPr>
          <w:rFonts w:hint="eastAsia" w:ascii="Times New Roman" w:hAnsi="Times New Roman" w:eastAsia="方正黑体_GBK"/>
          <w:sz w:val="32"/>
          <w:szCs w:val="32"/>
          <w:highlight w:val="none"/>
        </w:rPr>
        <w:t>专业名词解释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以下为常见专业名词解释目录，仅供参考，部门应根据实际情况进行解释和增减。比如可将类级功能科目和经济科目细化解释到项级。若有删减注意调整段落序号。</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（一）财政拨款收入：指本年度从本级财政部门取得的财政拨款，包括一般公共预算财政拨款和政府性基金预算财政拨款。</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（二）事业收入：指事业单位开展专业业务活动及其辅助活动取得的现金流入；事业单位收到的财政专户实际核拨的教育收费等资金在此反映。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（三）经营收入：指事业单位在专业业务活动及其辅助活动之外开展非独立核算经营活动取得的现金流入。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（六）年初结转和结余：指单位上年结转本年使用的基本支出结转、项目支出结转和结余、经营结余。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（七）结余分配：指单位按照国家有关规定，缴纳所得税、提取专用基金、转入非财政拨款结余等当年结余的分配情况。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（八）年末结转和结余：指单位结转下年的基本支出结转、项目支出结转和结余、经营结余。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（十）项目支出：指在基本支出之外为完成特定行政任务和事业发展目标所发生的支出。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（十一）经营支出：指事业单位在专业业务活动及其辅助活动之外开展非独立核算经营活动发生的支出。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（十二）</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三公</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（十四）工资福利支出（支出经济分类科目类级）：反映单位开支的在职职工和编制外长期聘用人员的各类劳动报酬，以及为上述人员缴纳的各项社会保险费等。</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（十五）商品和服务支出（支出经济分类科目类级）：反映单位购买商品和服务的支出（不包括用于购置固定资产的支出、战略性和应急储备支出）。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（十六）对个人和家庭的补助（支出经济分类科目类级）：反映用于对个人和家庭的补助支出。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p>
    <w:p>
      <w:pPr>
        <w:pStyle w:val="8"/>
        <w:keepNext w:val="0"/>
        <w:keepLines w:val="0"/>
        <w:pageBreakBefore w:val="0"/>
        <w:numPr>
          <w:ilvl w:val="0"/>
          <w:numId w:val="7"/>
        </w:numPr>
        <w:tabs>
          <w:tab w:val="center" w:pos="4153"/>
          <w:tab w:val="left" w:pos="7275"/>
        </w:tabs>
        <w:kinsoku/>
        <w:wordWrap/>
        <w:overflowPunct/>
        <w:topLinePunct w:val="0"/>
        <w:autoSpaceDE/>
        <w:autoSpaceDN/>
        <w:bidi w:val="0"/>
        <w:adjustRightInd/>
        <w:spacing w:afterAutospacing="0" w:line="600" w:lineRule="exact"/>
        <w:ind w:left="0" w:leftChars="0"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决算公开联系方式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Times New Roman" w:hAnsi="Times New Roman" w:eastAsia="方正黑体_GBK"/>
          <w:sz w:val="32"/>
          <w:szCs w:val="32"/>
        </w:rPr>
      </w:pPr>
      <w:r>
        <w:rPr>
          <w:rFonts w:hint="eastAsia" w:ascii="Times New Roman" w:hAnsi="Times New Roman" w:eastAsia="方正仿宋_GBK" w:cs="Times New Roman"/>
          <w:kern w:val="2"/>
          <w:sz w:val="32"/>
          <w:szCs w:val="32"/>
          <w:lang w:val="en-US" w:eastAsia="zh-CN" w:bidi="ar-SA"/>
        </w:rPr>
        <w:t>本单位决算公开信息反馈和联系方式：023-76623822</w:t>
      </w:r>
    </w:p>
    <w:p>
      <w:pPr>
        <w:rPr>
          <w:highlight w:val="yellow"/>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417F6"/>
    <w:multiLevelType w:val="singleLevel"/>
    <w:tmpl w:val="CCD417F6"/>
    <w:lvl w:ilvl="0" w:tentative="0">
      <w:start w:val="1"/>
      <w:numFmt w:val="chineseCounting"/>
      <w:suff w:val="nothing"/>
      <w:lvlText w:val="（%1）"/>
      <w:lvlJc w:val="left"/>
      <w:rPr>
        <w:rFonts w:hint="eastAsia"/>
      </w:rPr>
    </w:lvl>
  </w:abstractNum>
  <w:abstractNum w:abstractNumId="1">
    <w:nsid w:val="E143768C"/>
    <w:multiLevelType w:val="singleLevel"/>
    <w:tmpl w:val="E143768C"/>
    <w:lvl w:ilvl="0" w:tentative="0">
      <w:start w:val="1"/>
      <w:numFmt w:val="chineseCounting"/>
      <w:suff w:val="nothing"/>
      <w:lvlText w:val="（%1）"/>
      <w:lvlJc w:val="left"/>
      <w:rPr>
        <w:rFonts w:hint="eastAsia"/>
      </w:rPr>
    </w:lvl>
  </w:abstractNum>
  <w:abstractNum w:abstractNumId="2">
    <w:nsid w:val="3887C0C1"/>
    <w:multiLevelType w:val="singleLevel"/>
    <w:tmpl w:val="3887C0C1"/>
    <w:lvl w:ilvl="0" w:tentative="0">
      <w:start w:val="1"/>
      <w:numFmt w:val="chineseCounting"/>
      <w:suff w:val="nothing"/>
      <w:lvlText w:val="%1、"/>
      <w:lvlJc w:val="left"/>
      <w:rPr>
        <w:rFonts w:hint="eastAsia"/>
      </w:rPr>
    </w:lvl>
  </w:abstractNum>
  <w:abstractNum w:abstractNumId="3">
    <w:nsid w:val="5B3F478D"/>
    <w:multiLevelType w:val="singleLevel"/>
    <w:tmpl w:val="5B3F478D"/>
    <w:lvl w:ilvl="0" w:tentative="0">
      <w:start w:val="1"/>
      <w:numFmt w:val="chineseCounting"/>
      <w:suff w:val="nothing"/>
      <w:lvlText w:val="（%1）"/>
      <w:lvlJc w:val="left"/>
      <w:rPr>
        <w:rFonts w:hint="eastAsia"/>
      </w:rPr>
    </w:lvl>
  </w:abstractNum>
  <w:abstractNum w:abstractNumId="4">
    <w:nsid w:val="6336A346"/>
    <w:multiLevelType w:val="singleLevel"/>
    <w:tmpl w:val="6336A346"/>
    <w:lvl w:ilvl="0" w:tentative="0">
      <w:start w:val="2"/>
      <w:numFmt w:val="decimal"/>
      <w:suff w:val="nothing"/>
      <w:lvlText w:val="%1."/>
      <w:lvlJc w:val="left"/>
    </w:lvl>
  </w:abstractNum>
  <w:abstractNum w:abstractNumId="5">
    <w:nsid w:val="633E8A07"/>
    <w:multiLevelType w:val="singleLevel"/>
    <w:tmpl w:val="633E8A07"/>
    <w:lvl w:ilvl="0" w:tentative="0">
      <w:start w:val="1"/>
      <w:numFmt w:val="decimal"/>
      <w:suff w:val="nothing"/>
      <w:lvlText w:val="%1."/>
      <w:lvlJc w:val="left"/>
    </w:lvl>
  </w:abstractNum>
  <w:abstractNum w:abstractNumId="6">
    <w:nsid w:val="7EC62617"/>
    <w:multiLevelType w:val="singleLevel"/>
    <w:tmpl w:val="7EC62617"/>
    <w:lvl w:ilvl="0" w:tentative="0">
      <w:start w:val="6"/>
      <w:numFmt w:val="chineseCounting"/>
      <w:suff w:val="nothing"/>
      <w:lvlText w:val="%1、"/>
      <w:lvlJc w:val="left"/>
      <w:rPr>
        <w:rFonts w:hint="eastAsia"/>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05D83"/>
    <w:rsid w:val="0A274645"/>
    <w:rsid w:val="0EE74F21"/>
    <w:rsid w:val="0F2E1FC4"/>
    <w:rsid w:val="0F872CEF"/>
    <w:rsid w:val="123608C4"/>
    <w:rsid w:val="15DA1E4C"/>
    <w:rsid w:val="1A2979D7"/>
    <w:rsid w:val="21C56C99"/>
    <w:rsid w:val="23A05D83"/>
    <w:rsid w:val="285F60E5"/>
    <w:rsid w:val="29347C57"/>
    <w:rsid w:val="2E9F1ACF"/>
    <w:rsid w:val="2EEE2DD9"/>
    <w:rsid w:val="31AB64CE"/>
    <w:rsid w:val="33540076"/>
    <w:rsid w:val="360E6F40"/>
    <w:rsid w:val="390F2B5D"/>
    <w:rsid w:val="39851AE7"/>
    <w:rsid w:val="3AF642DA"/>
    <w:rsid w:val="3BC672CF"/>
    <w:rsid w:val="3CB86CBD"/>
    <w:rsid w:val="3D86384E"/>
    <w:rsid w:val="41C84AE1"/>
    <w:rsid w:val="446374D5"/>
    <w:rsid w:val="46B922E1"/>
    <w:rsid w:val="489B0067"/>
    <w:rsid w:val="48F27589"/>
    <w:rsid w:val="49CF30E2"/>
    <w:rsid w:val="4B5247D5"/>
    <w:rsid w:val="4B634CDA"/>
    <w:rsid w:val="4D377712"/>
    <w:rsid w:val="4E0B5FD0"/>
    <w:rsid w:val="4F08031E"/>
    <w:rsid w:val="501B3DE4"/>
    <w:rsid w:val="50585E12"/>
    <w:rsid w:val="50AF4374"/>
    <w:rsid w:val="59680F85"/>
    <w:rsid w:val="5E7B078A"/>
    <w:rsid w:val="609173D5"/>
    <w:rsid w:val="61C05A4D"/>
    <w:rsid w:val="63CD0576"/>
    <w:rsid w:val="643100E7"/>
    <w:rsid w:val="669A14E4"/>
    <w:rsid w:val="690645A7"/>
    <w:rsid w:val="6976192D"/>
    <w:rsid w:val="6BC01C56"/>
    <w:rsid w:val="7EF2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Strong"/>
    <w:qFormat/>
    <w:uiPriority w:val="22"/>
    <w:rPr>
      <w:b/>
      <w:bCs/>
    </w:rPr>
  </w:style>
  <w:style w:type="paragraph" w:customStyle="1" w:styleId="8">
    <w:name w:val="List Paragraph"/>
    <w:basedOn w:val="1"/>
    <w:qFormat/>
    <w:uiPriority w:val="34"/>
    <w:pPr>
      <w:ind w:firstLine="420" w:firstLineChars="200"/>
    </w:pPr>
  </w:style>
  <w:style w:type="character" w:customStyle="1" w:styleId="9">
    <w:name w:val="10"/>
    <w:basedOn w:val="5"/>
    <w:qFormat/>
    <w:uiPriority w:val="0"/>
    <w:rPr>
      <w:rFonts w:hint="default" w:ascii="Times New Roman" w:hAnsi="Times New Roman" w:cs="Times New Roman"/>
    </w:rPr>
  </w:style>
  <w:style w:type="character" w:customStyle="1" w:styleId="10">
    <w:name w:val="15"/>
    <w:basedOn w:val="5"/>
    <w:qFormat/>
    <w:uiPriority w:val="0"/>
    <w:rPr>
      <w:rFonts w:hint="default" w:ascii="Times New Roman" w:hAnsi="Times New Roman" w:cs="Times New Roman"/>
      <w:b/>
    </w:rPr>
  </w:style>
  <w:style w:type="paragraph" w:customStyle="1" w:styleId="11">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2022-09-27T08:30:00Z</dcterms:created>
  <dc:creator>Administrator</dc:creator>
  <cp:lastModifiedBy>Administrator</cp:lastModifiedBy>
  <dcterms:modified xsi:type="dcterms:W3CDTF">2022-10-13T03:26:28Z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