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重庆市秀山土家族苗族自治县清溪场街道</w:t>
      </w:r>
    </w:p>
    <w:p>
      <w:pPr>
        <w:pStyle w:val="10"/>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办事处</w:t>
      </w:r>
    </w:p>
    <w:p>
      <w:pPr>
        <w:pStyle w:val="10"/>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一、</w:t>
      </w:r>
      <w:r>
        <w:rPr>
          <w:rStyle w:val="14"/>
          <w:rFonts w:hint="eastAsia" w:ascii="黑体" w:hAnsi="黑体" w:eastAsia="黑体" w:cs="黑体"/>
          <w:sz w:val="32"/>
          <w:szCs w:val="32"/>
          <w:shd w:val="clear" w:color="auto" w:fill="FFFFFF"/>
          <w:lang w:eastAsia="zh-CN"/>
        </w:rPr>
        <w:t>部门</w:t>
      </w:r>
      <w:r>
        <w:rPr>
          <w:rStyle w:val="14"/>
          <w:rFonts w:ascii="黑体" w:hAnsi="黑体" w:eastAsia="黑体" w:cs="黑体"/>
          <w:sz w:val="32"/>
          <w:szCs w:val="32"/>
          <w:shd w:val="clear" w:color="auto" w:fill="FFFFFF"/>
        </w:rPr>
        <w:t>基本情况</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4"/>
          <w:rFonts w:ascii="楷体" w:hAnsi="楷体" w:eastAsia="楷体" w:cs="楷体"/>
          <w:sz w:val="32"/>
          <w:szCs w:val="32"/>
          <w:shd w:val="clear" w:color="auto" w:fill="FFFFFF"/>
        </w:rPr>
        <w:t>（一）职能职责</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清溪场街道办事处是秀山县政府的派出机构，受县政府领导，依据法律、法规，在辖区内行使政府的管理职能。</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1.贯彻执行法律、法规、规章和县人民政府的决策部署、依法管理本辖区内公共事务。</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2.协助依法履行安全生产、消防安全、食品安全、环境保护、劳动保障、流动人口及出租房屋监督管理工作，承担辖区应急、防汛和防灾减灾工作。</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3.负责本辖区的城市管理工作，承担辖区市容环境卫生、绿化美化的管理工作，推进街巷、河长制工作，组织、协调城市管理综合执法和环境秩序综合治理工作，推进城市精细化管理。</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4.协同建设主管部门监督施工单位依法施工、防治施工扬尘、扰民；配合建设、施工单位做好居民工作，维护施工秩序。</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5.协助有关部门对居住小区的物业管理进行指导和监督检查。</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6.抓好社区文化建设，开展文明街道、文明单位，文明小区建设活动，组织居民开展经常性的文化、娱乐、体育活动。  </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7.协助有关部门做好辖区拥军优属、优抚安置、社会救济、殡葬改革、残疾人就业等工作；积极开展便民利民的社区服务和社区教育工作。 </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8.负责街道的人民调解、治安保卫工作，加强对违法青少年的帮助教育。</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9.协助武装部门做好辖区民兵训练和公民服兵役工作。</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10.负责在辖区开展普法教育工作，做好民事调解，信访维稳，开展法律咨询、服务等工作，维护居民的合法权益，搞好辖区内社会综合治理工作。</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11.配合有关部门做好辖区内征地拆迁工作。</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12.承办县委县政府交办的其他事项。</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sz w:val="32"/>
          <w:szCs w:val="32"/>
        </w:rPr>
      </w:pPr>
      <w:r>
        <w:rPr>
          <w:rStyle w:val="14"/>
          <w:rFonts w:ascii="楷体" w:hAnsi="楷体" w:eastAsia="楷体" w:cs="楷体"/>
          <w:sz w:val="32"/>
          <w:szCs w:val="32"/>
          <w:shd w:val="clear" w:color="auto" w:fill="FFFFFF"/>
        </w:rPr>
        <w:t>（二）机构设置</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综合办事机构（8个）：党政办公室、党建工作办公室、经济发展办公室（挂乡村振兴办公室、统计办公室牌子）、民政和社会事务办公室、平安建设办公室、规划建设管理环保办公室、财政办公室、应急管理办公室。</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2.其他办事机构：综合行政执法办公室。</w:t>
      </w:r>
    </w:p>
    <w:p>
      <w:pPr>
        <w:pStyle w:val="10"/>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kern w:val="2"/>
          <w:sz w:val="32"/>
          <w:szCs w:val="32"/>
          <w:lang w:val="en-US" w:eastAsia="zh-CN" w:bidi="ar-SA"/>
        </w:rPr>
        <w:t>3.街道事业站所（6个）:社区事务服务中心、新时代文明实践中心、便民服务中心、退役军人服务站、综合行政执法大队、农业服务中心。</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二、部门决算</w:t>
      </w:r>
      <w:r>
        <w:rPr>
          <w:rStyle w:val="14"/>
          <w:rFonts w:hint="eastAsia" w:ascii="黑体" w:hAnsi="黑体" w:eastAsia="黑体" w:cs="黑体"/>
          <w:sz w:val="32"/>
          <w:szCs w:val="32"/>
          <w:shd w:val="clear" w:color="auto" w:fill="FFFFFF"/>
          <w:lang w:eastAsia="zh-CN"/>
        </w:rPr>
        <w:t>收支</w:t>
      </w:r>
      <w:r>
        <w:rPr>
          <w:rStyle w:val="14"/>
          <w:rFonts w:ascii="黑体" w:hAnsi="黑体" w:eastAsia="黑体" w:cs="黑体"/>
          <w:sz w:val="32"/>
          <w:szCs w:val="32"/>
          <w:shd w:val="clear" w:color="auto" w:fill="FFFFFF"/>
        </w:rPr>
        <w:t>情况说明</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10"/>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6283.39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收、支与2023年度相比，减少765.45万元，下降10.9%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w:t>
      </w:r>
      <w:r>
        <w:rPr>
          <w:rFonts w:hint="eastAsia" w:ascii="方正仿宋_GBK" w:hAnsi="方正仿宋_GBK" w:eastAsia="方正仿宋_GBK" w:cs="方正仿宋_GBK"/>
          <w:sz w:val="32"/>
          <w:szCs w:val="32"/>
          <w:shd w:val="clear" w:color="auto" w:fill="FFFFFF"/>
          <w:lang w:eastAsia="zh-CN"/>
        </w:rPr>
        <w:t>需求减少。</w:t>
      </w:r>
    </w:p>
    <w:p>
      <w:pPr>
        <w:pStyle w:val="10"/>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4"/>
          <w:rFonts w:hint="eastAsia" w:ascii="Times New Roman" w:hAnsi="Times New Roman" w:eastAsia="方正仿宋_GBK"/>
          <w:sz w:val="32"/>
          <w:szCs w:val="32"/>
          <w:shd w:val="clear" w:color="auto" w:fill="FFFFFF"/>
          <w:lang w:val="en-US" w:eastAsia="zh-CN"/>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6194.96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与2023年度相比，减少429.94万元，下降6.5%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基础设施建设趋于完善，减少基建类项目投入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6194.96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88.44</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4"/>
          <w:rFonts w:hint="eastAsia" w:ascii="Times New Roman" w:hAnsi="Times New Roman" w:eastAsia="方正仿宋_GBK"/>
          <w:sz w:val="32"/>
          <w:szCs w:val="32"/>
          <w:shd w:val="clear" w:color="auto" w:fill="FFFFFF"/>
          <w:lang w:val="en-US" w:eastAsia="zh-CN"/>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6283.39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与2023年度相比，减少688.33万元，下降9.9%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基础设施建设趋于完善，基建类项目支出减少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2439.55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3843.84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61.2%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4"/>
          <w:rFonts w:hint="eastAsia" w:ascii="Times New Roman" w:hAnsi="Times New Roman" w:eastAsia="方正仿宋_GBK"/>
          <w:sz w:val="32"/>
          <w:szCs w:val="32"/>
          <w:shd w:val="clear" w:color="auto" w:fill="FFFFFF"/>
          <w:lang w:val="en-US" w:eastAsia="zh-CN"/>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与2023年度相比，减少77.11万元，下降100.0%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6283.39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财政拨款收、支总计各减少765.45万元，下降10.9%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w:t>
      </w:r>
      <w:r>
        <w:rPr>
          <w:rFonts w:hint="eastAsia" w:ascii="方正仿宋_GBK" w:hAnsi="方正仿宋_GBK" w:eastAsia="方正仿宋_GBK" w:cs="方正仿宋_GBK"/>
          <w:sz w:val="32"/>
          <w:szCs w:val="32"/>
          <w:shd w:val="clear" w:color="auto" w:fill="FFFFFF"/>
          <w:lang w:eastAsia="zh-CN"/>
        </w:rPr>
        <w:t>需求减少。</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4"/>
          <w:rFonts w:hint="default" w:ascii="Times New Roman" w:hAnsi="Times New Roman" w:eastAsia="方正仿宋_GBK"/>
          <w:sz w:val="32"/>
          <w:szCs w:val="32"/>
          <w:shd w:val="clear" w:color="auto" w:fill="FFFFFF"/>
        </w:rPr>
        <w:t>1</w:t>
      </w:r>
      <w:r>
        <w:rPr>
          <w:rStyle w:val="14"/>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6187.35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与2023年度相比，减少425.61万元，下降6.4%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基础设施建设趋于完善，减少基建类项目投入</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较年初预算数增加1122.91万元，增长22.2%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w:t>
      </w:r>
      <w:r>
        <w:rPr>
          <w:rFonts w:hint="default" w:ascii="Times New Roman" w:hAnsi="Times New Roman" w:eastAsia="方正仿宋_GBK"/>
          <w:sz w:val="32"/>
          <w:szCs w:val="32"/>
          <w:shd w:val="clear" w:color="auto" w:fill="FFFFFF"/>
        </w:rPr>
        <w:t>追加党龄40年以上老党员生活补贴</w:t>
      </w:r>
      <w:r>
        <w:rPr>
          <w:rFonts w:hint="eastAsia" w:ascii="Times New Roman" w:hAnsi="Times New Roman" w:eastAsia="方正仿宋_GBK"/>
          <w:sz w:val="32"/>
          <w:szCs w:val="32"/>
          <w:shd w:val="clear" w:color="auto" w:fill="FFFFFF"/>
          <w:lang w:eastAsia="zh-CN"/>
        </w:rPr>
        <w:t>、劝导站人员工作经费、</w:t>
      </w:r>
      <w:r>
        <w:rPr>
          <w:rFonts w:hint="default" w:ascii="Times New Roman" w:hAnsi="Times New Roman" w:eastAsia="方正仿宋_GBK"/>
          <w:sz w:val="32"/>
          <w:szCs w:val="32"/>
          <w:shd w:val="clear" w:color="auto" w:fill="FFFFFF"/>
        </w:rPr>
        <w:t>清溪场街道2024年平阳村综合治理以工代赈项目</w:t>
      </w:r>
      <w:r>
        <w:rPr>
          <w:rFonts w:hint="eastAsia" w:ascii="Times New Roman" w:hAnsi="Times New Roman" w:eastAsia="方正仿宋_GBK"/>
          <w:sz w:val="32"/>
          <w:szCs w:val="32"/>
          <w:shd w:val="clear" w:color="auto" w:fill="FFFFFF"/>
          <w:lang w:eastAsia="zh-CN"/>
        </w:rPr>
        <w:t>、2024年脱贫人口产业发展到户补贴项目</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投入，推动辖区发展</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88.44</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2</w:t>
      </w:r>
      <w:r>
        <w:rPr>
          <w:rStyle w:val="14"/>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6275.79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与2023年度相比，减少683.99万元，下降9.8%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基础设施建设趋于完善，基建类项目支出减少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较年初预算数增加1211.35万元，增长23.9%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w:t>
      </w:r>
      <w:r>
        <w:rPr>
          <w:rFonts w:hint="default" w:ascii="Times New Roman" w:hAnsi="Times New Roman" w:eastAsia="方正仿宋_GBK"/>
          <w:sz w:val="32"/>
          <w:szCs w:val="32"/>
          <w:shd w:val="clear" w:color="auto" w:fill="FFFFFF"/>
        </w:rPr>
        <w:t>追加党龄40年以上老党员生活补贴</w:t>
      </w:r>
      <w:r>
        <w:rPr>
          <w:rFonts w:hint="eastAsia" w:ascii="Times New Roman" w:hAnsi="Times New Roman" w:eastAsia="方正仿宋_GBK"/>
          <w:sz w:val="32"/>
          <w:szCs w:val="32"/>
          <w:shd w:val="clear" w:color="auto" w:fill="FFFFFF"/>
          <w:lang w:eastAsia="zh-CN"/>
        </w:rPr>
        <w:t>、劝导站人员工作经费、</w:t>
      </w:r>
      <w:r>
        <w:rPr>
          <w:rFonts w:hint="default" w:ascii="Times New Roman" w:hAnsi="Times New Roman" w:eastAsia="方正仿宋_GBK"/>
          <w:sz w:val="32"/>
          <w:szCs w:val="32"/>
          <w:shd w:val="clear" w:color="auto" w:fill="FFFFFF"/>
        </w:rPr>
        <w:t>清溪场街道2024年平阳村综合治理以工代赈项目</w:t>
      </w:r>
      <w:r>
        <w:rPr>
          <w:rFonts w:hint="eastAsia" w:ascii="Times New Roman" w:hAnsi="Times New Roman" w:eastAsia="方正仿宋_GBK"/>
          <w:sz w:val="32"/>
          <w:szCs w:val="32"/>
          <w:shd w:val="clear" w:color="auto" w:fill="FFFFFF"/>
          <w:lang w:eastAsia="zh-CN"/>
        </w:rPr>
        <w:t>、2024年脱贫人口产业发展到户补贴项目</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支出，推动辖区社会发展。</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1417.61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较年初预算数增加199.81万元，增长16.4%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依据实际需求年中追加党龄40年以上老党员生活补贴</w:t>
      </w:r>
      <w:r>
        <w:rPr>
          <w:rFonts w:hint="eastAsia" w:ascii="Times New Roman" w:hAnsi="Times New Roman" w:eastAsia="方正仿宋_GBK"/>
          <w:sz w:val="32"/>
          <w:szCs w:val="32"/>
          <w:shd w:val="clear" w:color="auto" w:fill="FFFFFF"/>
          <w:lang w:eastAsia="zh-CN"/>
        </w:rPr>
        <w:t>、劝导站人员工作经费</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本部门无外交支出。</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较年初预算数减少111.35万元，下降100.0%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本部门无教育支出。</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66.23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较年初预算数减少3.66万元，下降5.2%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文化遗产保护</w:t>
      </w:r>
      <w:r>
        <w:rPr>
          <w:rFonts w:hint="eastAsia" w:ascii="Times New Roman" w:hAnsi="Times New Roman" w:eastAsia="方正仿宋_GBK"/>
          <w:sz w:val="32"/>
          <w:szCs w:val="32"/>
          <w:shd w:val="clear" w:color="auto" w:fill="FFFFFF"/>
          <w:lang w:eastAsia="zh-CN"/>
        </w:rPr>
        <w:t>支出有所降低。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600.75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较年初预算数增加28.54万元，增长5.0%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依据政策口径调整职工社保基数，实际支出较年初预算数有所差异。</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130.32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较年初预算数增加2.65万元，增长2.1%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依据政策口径调整职工医保基数，实际支出较年初预算数有所差异。</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269.15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较年初预算数增加223.51万元，增长489.7%</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依据实际需求年中追加</w:t>
      </w:r>
      <w:r>
        <w:rPr>
          <w:rFonts w:hint="eastAsia" w:ascii="Times New Roman" w:hAnsi="Times New Roman" w:eastAsia="方正仿宋_GBK"/>
          <w:sz w:val="32"/>
          <w:szCs w:val="32"/>
          <w:shd w:val="clear" w:color="auto" w:fill="FFFFFF"/>
          <w:lang w:eastAsia="zh-CN"/>
        </w:rPr>
        <w:t>传统村落集中连片保护利用示范补助资金</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69.59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较年初预算数增加5.76万元，增长9.0%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依据实际需求年中追加</w:t>
      </w:r>
      <w:r>
        <w:rPr>
          <w:rFonts w:hint="eastAsia" w:ascii="Times New Roman" w:hAnsi="Times New Roman" w:eastAsia="方正仿宋_GBK"/>
          <w:sz w:val="32"/>
          <w:szCs w:val="32"/>
          <w:shd w:val="clear" w:color="auto" w:fill="FFFFFF"/>
          <w:lang w:eastAsia="zh-CN"/>
        </w:rPr>
        <w:t>两违整治工作经费</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3367.46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较年初预算数增加729.09万元，增长27.6%</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依据实际需求年中追加清溪场街道2024年平阳村综合治理以工代赈项目</w:t>
      </w:r>
      <w:r>
        <w:rPr>
          <w:rFonts w:hint="eastAsia" w:ascii="Times New Roman" w:hAnsi="Times New Roman" w:eastAsia="方正仿宋_GBK"/>
          <w:sz w:val="32"/>
          <w:szCs w:val="32"/>
          <w:shd w:val="clear" w:color="auto" w:fill="FFFFFF"/>
          <w:lang w:eastAsia="zh-CN"/>
        </w:rPr>
        <w:t>、清溪场街道2024年新华社区山银花产业路建设项目</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4.39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合理预算全年开支，实际支出与年初预算数一致。</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128.66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较年初预算数增加128.66万元，增长100.0%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w:t>
      </w:r>
      <w:r>
        <w:rPr>
          <w:rFonts w:hint="default" w:ascii="Times New Roman" w:hAnsi="Times New Roman" w:eastAsia="方正仿宋_GBK"/>
          <w:sz w:val="32"/>
          <w:szCs w:val="32"/>
          <w:shd w:val="clear" w:color="auto" w:fill="FFFFFF"/>
        </w:rPr>
        <w:t>依据实际需求年中追加</w:t>
      </w:r>
      <w:r>
        <w:rPr>
          <w:rFonts w:hint="eastAsia" w:ascii="Times New Roman" w:hAnsi="Times New Roman" w:eastAsia="方正仿宋_GBK"/>
          <w:sz w:val="32"/>
          <w:szCs w:val="32"/>
          <w:shd w:val="clear" w:color="auto" w:fill="FFFFFF"/>
          <w:lang w:eastAsia="zh-CN"/>
        </w:rPr>
        <w:t>耕地恢复补足工作奖补资金</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183.36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较年初预算数增加7.21万元，增长4.1%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依据政策口径调整职工公积金基数，实际支出较年初预算数有所差异</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本部门无</w:t>
      </w:r>
      <w:r>
        <w:rPr>
          <w:rFonts w:ascii="方正仿宋_GBK" w:hAnsi="方正仿宋_GBK" w:eastAsia="方正仿宋_GBK" w:cs="方正仿宋_GBK"/>
          <w:sz w:val="32"/>
          <w:szCs w:val="32"/>
        </w:rPr>
        <w:t>粮油物资储备支出</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本部门无</w:t>
      </w:r>
      <w:r>
        <w:rPr>
          <w:rFonts w:ascii="方正仿宋_GBK" w:hAnsi="方正仿宋_GBK" w:eastAsia="方正仿宋_GBK" w:cs="方正仿宋_GBK"/>
          <w:sz w:val="32"/>
          <w:szCs w:val="32"/>
        </w:rPr>
        <w:t>国有资本经营预算支出</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38.28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较年初预算数增加1.13万元，增长3.0%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乡镇专职消防队专项经费支出增加</w:t>
      </w: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实际支出较年初预算数有所差异</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本部门无</w:t>
      </w:r>
      <w:r>
        <w:rPr>
          <w:rFonts w:ascii="方正仿宋_GBK" w:hAnsi="方正仿宋_GBK" w:eastAsia="方正仿宋_GBK" w:cs="方正仿宋_GBK"/>
          <w:sz w:val="32"/>
          <w:szCs w:val="32"/>
        </w:rPr>
        <w:t>其他支出</w:t>
      </w:r>
      <w:r>
        <w:rPr>
          <w:rFonts w:hint="eastAsia" w:ascii="Times New Roman" w:hAnsi="Times New Roman" w:eastAsia="方正仿宋_GBK" w:cs="Times New Roman"/>
          <w:sz w:val="32"/>
          <w:szCs w:val="32"/>
          <w:shd w:val="clear" w:color="auto" w:fill="FFFFFF"/>
          <w:lang w:val="en-US" w:eastAsia="zh-CN" w:bidi="ar-SA"/>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（24）</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本部门无</w:t>
      </w:r>
      <w:r>
        <w:rPr>
          <w:rFonts w:ascii="方正仿宋_GBK" w:hAnsi="方正仿宋_GBK" w:eastAsia="方正仿宋_GBK" w:cs="方正仿宋_GBK"/>
          <w:sz w:val="32"/>
          <w:szCs w:val="32"/>
        </w:rPr>
        <w:t>债务还本支出</w:t>
      </w:r>
      <w:r>
        <w:rPr>
          <w:rFonts w:hint="eastAsia" w:ascii="Times New Roman" w:hAnsi="Times New Roman" w:eastAsia="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本部门无</w:t>
      </w:r>
      <w:r>
        <w:rPr>
          <w:rFonts w:ascii="方正仿宋_GBK" w:hAnsi="方正仿宋_GBK" w:eastAsia="方正仿宋_GBK" w:cs="方正仿宋_GBK"/>
          <w:sz w:val="32"/>
          <w:szCs w:val="32"/>
        </w:rPr>
        <w:t>债务付息支出</w:t>
      </w:r>
      <w:r>
        <w:rPr>
          <w:rFonts w:hint="eastAsia" w:ascii="Times New Roman" w:hAnsi="Times New Roman" w:eastAsia="方正仿宋_GBK" w:cs="Times New Roman"/>
          <w:sz w:val="32"/>
          <w:szCs w:val="32"/>
          <w:shd w:val="clear" w:color="auto" w:fill="FFFFFF"/>
          <w:lang w:val="en-US" w:eastAsia="zh-CN" w:bidi="ar-SA"/>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本部门无</w:t>
      </w:r>
      <w:r>
        <w:rPr>
          <w:rFonts w:ascii="方正仿宋_GBK" w:hAnsi="方正仿宋_GBK" w:eastAsia="方正仿宋_GBK" w:cs="方正仿宋_GBK"/>
          <w:sz w:val="32"/>
          <w:szCs w:val="32"/>
        </w:rPr>
        <w:t>抗疫特别国债安排的支出</w:t>
      </w:r>
      <w:r>
        <w:rPr>
          <w:rFonts w:hint="eastAsia" w:ascii="Times New Roman" w:hAnsi="Times New Roman" w:eastAsia="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4"/>
          <w:rFonts w:hint="default" w:ascii="Times New Roman" w:hAnsi="Times New Roman" w:eastAsia="方正仿宋_GBK"/>
          <w:sz w:val="32"/>
          <w:szCs w:val="32"/>
          <w:shd w:val="clear" w:color="auto" w:fill="FFFFFF"/>
        </w:rPr>
        <w:t>3</w:t>
      </w:r>
      <w:r>
        <w:rPr>
          <w:rStyle w:val="14"/>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与2023年度相比，减少77.11万元，下降100.0%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2439.55</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2139.65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与2023年度相比，增加103.79万元，增长5.1%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受人员晋级晋档、社保公积金调整影响，人员经费开支增加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人</w:t>
      </w:r>
      <w:r>
        <w:rPr>
          <w:rFonts w:ascii="方正仿宋_GBK" w:hAnsi="方正仿宋_GBK" w:eastAsia="方正仿宋_GBK" w:cs="方正仿宋_GBK"/>
          <w:sz w:val="32"/>
          <w:szCs w:val="32"/>
          <w:shd w:val="clear" w:color="auto" w:fill="FFFFFF"/>
        </w:rPr>
        <w:t>员经费用途主要包括</w:t>
      </w:r>
      <w:r>
        <w:rPr>
          <w:rFonts w:hint="eastAsia" w:ascii="方正仿宋_GBK" w:hAnsi="方正仿宋_GBK" w:eastAsia="方正仿宋_GBK" w:cs="方正仿宋_GBK"/>
          <w:sz w:val="32"/>
          <w:szCs w:val="32"/>
          <w:shd w:val="clear" w:color="auto" w:fill="FFFFFF"/>
          <w:lang w:eastAsia="zh-CN"/>
        </w:rPr>
        <w:t>基本工资、津贴补贴、社保、公积金等。</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299.90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与2023年度相比，减少33.44万元，下降10.0%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受社会发展，物价上涨影响，</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运行成本增加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办公费、水费、电费、邮电费、劳务费、培训费、其他交通费用等。</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7.60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与2023年度相比，减少4.34万元，下降36.4%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用于社会福利的彩票公益金投入减少。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7.60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与2023年度相比，减少4.34万元，下降36.4%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用于社会福利的彩票公益金支出减少。</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本部门2024年度无国有资本经营预算财政拨款支出。</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三、</w:t>
      </w:r>
      <w:r>
        <w:rPr>
          <w:rStyle w:val="14"/>
          <w:rFonts w:hint="eastAsia" w:ascii="黑体" w:hAnsi="黑体" w:eastAsia="黑体" w:cs="黑体"/>
          <w:sz w:val="32"/>
          <w:szCs w:val="32"/>
          <w:shd w:val="clear" w:color="auto" w:fill="FFFFFF"/>
          <w:lang w:eastAsia="zh-CN"/>
        </w:rPr>
        <w:t>财政拨款</w:t>
      </w:r>
      <w:r>
        <w:rPr>
          <w:rStyle w:val="14"/>
          <w:rFonts w:ascii="黑体" w:hAnsi="黑体" w:eastAsia="黑体" w:cs="黑体"/>
          <w:sz w:val="32"/>
          <w:szCs w:val="32"/>
          <w:shd w:val="clear" w:color="auto" w:fill="FFFFFF"/>
        </w:rPr>
        <w:t>“三公”经费情况说明</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13.10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较年初预算数减少0.40万元，下降3.0%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严格落实过紧日子政策，厉行节约，严控“三公”经费开支。</w:t>
      </w:r>
      <w:r>
        <w:rPr>
          <w:rFonts w:hint="default" w:ascii="Times New Roman" w:hAnsi="Times New Roman" w:eastAsia="方正仿宋_GBK"/>
          <w:sz w:val="32"/>
          <w:szCs w:val="32"/>
          <w:shd w:val="clear" w:color="auto" w:fill="FFFFFF"/>
        </w:rPr>
        <w:t>较上年支出数增加2.82万元，增长27.4%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上年度部分公车维修费用遗留至本年报销支付，导致“三公”经费增加。</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我部门无</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eastAsia="zh-CN"/>
        </w:rPr>
        <w:t>事项。</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我部门无</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eastAsia="zh-CN"/>
        </w:rPr>
        <w:t>事项。</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依据实际需求，本年度未购置公车。</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依据实际需求，本年度未购置公车。</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13.10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油费、维修费等方面，</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较年初预算数减少0.40万元，下降3.0%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严格落实过紧日子政策，厉行节约，严控“三公”经费开支。</w:t>
      </w:r>
      <w:r>
        <w:rPr>
          <w:rFonts w:hint="default" w:ascii="Times New Roman" w:hAnsi="Times New Roman" w:eastAsia="方正仿宋_GBK"/>
          <w:sz w:val="32"/>
          <w:szCs w:val="32"/>
          <w:shd w:val="clear" w:color="auto" w:fill="FFFFFF"/>
        </w:rPr>
        <w:t>较上年支出数增加2.82万元，增长27.4%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上年度部分公车维修费用遗留至本年报销支付，导致维护费增加。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强化公务接待支出管理，严格遵守公务接待开支范围和开支标准。</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本年度我部门未开展公务接待。</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4.37</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四、其他需要说明的事项</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与2023年度相比，减少0.18万元，下降33.3%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严格落实过紧日子政策，减少不必要会议开支。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5.98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与2023年度相比，增加1.92万元，增长47.3%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依据实际业务需求，增加对职工的培训。</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4.75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与2023年度相比，减少0.18万元，下降3.7%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依据实际业务开展，异地出差办公事项减少。</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264.47</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sz w:val="32"/>
          <w:szCs w:val="32"/>
          <w:shd w:val="clear" w:color="auto" w:fill="FFFFFF"/>
          <w:lang w:eastAsia="zh-CN"/>
        </w:rPr>
        <w:t>办公费、水费、电费、邮电费、劳务费、培训费、委托业务费、其他交通费用等。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较上年支出数减少2.40万元，下降0.9%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受社会发展，物价上涨影响，</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运行成本增加</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5"/>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复印纸、电脑等。</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4"/>
          <w:rFonts w:hint="eastAsia" w:ascii="黑体" w:hAnsi="黑体" w:eastAsia="黑体" w:cs="黑体"/>
          <w:sz w:val="32"/>
          <w:szCs w:val="32"/>
          <w:shd w:val="clear" w:color="auto" w:fill="FFFFFF"/>
          <w:lang w:val="en-US" w:eastAsia="zh-CN" w:bidi="ar-SA"/>
        </w:rPr>
      </w:pPr>
      <w:r>
        <w:rPr>
          <w:rStyle w:val="14"/>
          <w:rFonts w:hint="eastAsia" w:ascii="黑体" w:hAnsi="黑体" w:eastAsia="黑体" w:cs="黑体"/>
          <w:sz w:val="32"/>
          <w:szCs w:val="32"/>
          <w:shd w:val="clear" w:color="auto" w:fill="FFFFFF"/>
          <w:lang w:val="en-US" w:eastAsia="zh-CN" w:bidi="ar-SA"/>
        </w:rPr>
        <w:t>五、2024年度预算绩效管理情况说明</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w:t>
      </w:r>
      <w:r>
        <w:rPr>
          <w:rFonts w:hint="eastAsia" w:ascii="楷体" w:hAnsi="楷体" w:eastAsia="楷体" w:cs="楷体"/>
          <w:b/>
          <w:bCs/>
          <w:kern w:val="0"/>
          <w:sz w:val="32"/>
          <w:szCs w:val="32"/>
          <w:shd w:val="clear" w:fill="FFFFFF"/>
          <w:lang w:eastAsia="zh-CN"/>
        </w:rPr>
        <w:t>部门</w:t>
      </w:r>
      <w:r>
        <w:rPr>
          <w:rFonts w:hint="eastAsia" w:ascii="楷体" w:hAnsi="楷体" w:eastAsia="楷体" w:cs="楷体"/>
          <w:b/>
          <w:bCs/>
          <w:kern w:val="0"/>
          <w:sz w:val="32"/>
          <w:szCs w:val="32"/>
          <w:shd w:val="clear" w:fill="FFFFFF"/>
        </w:rPr>
        <w:t>自评情况</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Times New Roman" w:hAnsi="Times New Roman" w:eastAsia="方正仿宋_GBK" w:cs="Times New Roman"/>
          <w:sz w:val="32"/>
          <w:szCs w:val="32"/>
          <w:shd w:val="clear" w:color="auto" w:fill="FFFFFF"/>
          <w:lang w:val="en-US" w:eastAsia="zh-CN" w:bidi="ar-SA"/>
        </w:rPr>
        <w:t>130</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3843.84万元。本部门2024年度部门整体绩效自评表详见附件1</w:t>
      </w:r>
      <w:r>
        <w:rPr>
          <w:rFonts w:hint="eastAsia" w:ascii="方正仿宋_GBK" w:hAnsi="方正仿宋_GBK" w:eastAsia="方正仿宋_GBK" w:cs="方正仿宋_GBK"/>
          <w:kern w:val="0"/>
          <w:sz w:val="32"/>
          <w:szCs w:val="32"/>
          <w:shd w:val="clear" w:fill="FFFFFF"/>
          <w:lang w:eastAsia="zh-CN"/>
        </w:rPr>
        <w:t>，</w:t>
      </w:r>
      <w:r>
        <w:rPr>
          <w:rFonts w:hint="eastAsia"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kern w:val="2"/>
          <w:sz w:val="32"/>
          <w:szCs w:val="32"/>
          <w:lang w:val="en-US" w:eastAsia="zh-CN" w:bidi="ar-SA"/>
        </w:rPr>
        <w:t>年项目支出绩效自评表（二级项目）详见附件2。</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20"/>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对</w:t>
      </w:r>
      <w:r>
        <w:rPr>
          <w:rFonts w:hint="eastAsia" w:ascii="Times New Roman" w:hAnsi="Times New Roman" w:eastAsia="方正仿宋_GBK" w:cs="Times New Roman"/>
          <w:kern w:val="0"/>
          <w:sz w:val="32"/>
          <w:szCs w:val="32"/>
          <w:shd w:val="clear" w:color="auto" w:fill="FFFFFF"/>
          <w:lang w:val="en-US" w:eastAsia="zh-CN" w:bidi="ar-SA"/>
        </w:rPr>
        <w:t>2024</w:t>
      </w:r>
      <w:r>
        <w:rPr>
          <w:rFonts w:hint="eastAsia" w:ascii="方正仿宋_GBK" w:hAnsi="方正仿宋_GBK" w:eastAsia="方正仿宋_GBK" w:cs="方正仿宋_GBK"/>
          <w:kern w:val="0"/>
          <w:sz w:val="32"/>
          <w:szCs w:val="32"/>
          <w:shd w:val="clear" w:fill="FFFFFF"/>
        </w:rPr>
        <w:t>年脱贫人口产业发展到户补贴项目开展了绩效评价，涉及财政拨款项目资金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14.86</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分，评价等次为优，绩效评价发现了绩效目标设置重复、无法全面评价项目绩效情况的问题，今后工作将进一步优化绩效指标设置，使评价更加科学合理、全面客观</w:t>
      </w:r>
      <w:r>
        <w:rPr>
          <w:rFonts w:hint="eastAsia" w:ascii="方正仿宋_GBK" w:hAnsi="方正仿宋_GBK" w:eastAsia="方正仿宋_GBK" w:cs="方正仿宋_GBK"/>
          <w:kern w:val="0"/>
          <w:sz w:val="32"/>
          <w:szCs w:val="32"/>
          <w:shd w:val="clear" w:fill="FFFFFF"/>
          <w:lang w:eastAsia="zh-CN"/>
        </w:rPr>
        <w:t>；清溪场街道2024年檬子村易地扶贫搬迁集中安置点中药材蔬菜加工配送中心建设项目</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60.00</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分，评价等次为优，绩效评价发现了</w:t>
      </w:r>
      <w:r>
        <w:rPr>
          <w:rFonts w:hint="eastAsia" w:ascii="方正仿宋_GBK" w:hAnsi="方正仿宋_GBK" w:eastAsia="方正仿宋_GBK" w:cs="方正仿宋_GBK"/>
          <w:kern w:val="0"/>
          <w:sz w:val="32"/>
          <w:szCs w:val="32"/>
          <w:shd w:val="clear" w:fill="FFFFFF"/>
          <w:lang w:eastAsia="zh-CN"/>
        </w:rPr>
        <w:t>指标权重设置不合理，无法把握项目重点环节</w:t>
      </w:r>
      <w:r>
        <w:rPr>
          <w:rFonts w:hint="eastAsia" w:ascii="方正仿宋_GBK" w:hAnsi="方正仿宋_GBK" w:eastAsia="方正仿宋_GBK" w:cs="方正仿宋_GBK"/>
          <w:kern w:val="0"/>
          <w:sz w:val="32"/>
          <w:szCs w:val="32"/>
          <w:shd w:val="clear" w:fill="FFFFFF"/>
        </w:rPr>
        <w:t>的问题，今后工作将进一步优化绩效指标设置，使评价</w:t>
      </w:r>
      <w:r>
        <w:rPr>
          <w:rFonts w:hint="eastAsia" w:ascii="方正仿宋_GBK" w:hAnsi="方正仿宋_GBK" w:eastAsia="方正仿宋_GBK" w:cs="方正仿宋_GBK"/>
          <w:kern w:val="0"/>
          <w:sz w:val="32"/>
          <w:szCs w:val="32"/>
          <w:shd w:val="clear" w:fill="FFFFFF"/>
          <w:lang w:eastAsia="zh-CN"/>
        </w:rPr>
        <w:t>结果</w:t>
      </w:r>
      <w:r>
        <w:rPr>
          <w:rFonts w:hint="eastAsia" w:ascii="方正仿宋_GBK" w:hAnsi="方正仿宋_GBK" w:eastAsia="方正仿宋_GBK" w:cs="方正仿宋_GBK"/>
          <w:kern w:val="0"/>
          <w:sz w:val="32"/>
          <w:szCs w:val="32"/>
          <w:shd w:val="clear" w:fill="FFFFFF"/>
        </w:rPr>
        <w:t>更加</w:t>
      </w:r>
      <w:r>
        <w:rPr>
          <w:rFonts w:hint="eastAsia" w:ascii="方正仿宋_GBK" w:hAnsi="方正仿宋_GBK" w:eastAsia="方正仿宋_GBK" w:cs="方正仿宋_GBK"/>
          <w:kern w:val="0"/>
          <w:sz w:val="32"/>
          <w:szCs w:val="32"/>
          <w:shd w:val="clear" w:fill="FFFFFF"/>
          <w:lang w:eastAsia="zh-CN"/>
        </w:rPr>
        <w:t>科学精准；</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在村挂职本土人才补贴</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8.50</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w:t>
      </w:r>
      <w:r>
        <w:rPr>
          <w:rFonts w:hint="eastAsia" w:ascii="方正仿宋_GBK" w:hAnsi="方正仿宋_GBK" w:eastAsia="方正仿宋_GBK" w:cs="方正仿宋_GBK"/>
          <w:kern w:val="0"/>
          <w:sz w:val="32"/>
          <w:szCs w:val="32"/>
          <w:shd w:val="clear" w:fill="FFFFFF"/>
          <w:lang w:eastAsia="zh-CN"/>
        </w:rPr>
        <w:t>了</w:t>
      </w:r>
      <w:r>
        <w:rPr>
          <w:rFonts w:hint="eastAsia" w:ascii="方正仿宋_GBK" w:hAnsi="方正仿宋_GBK" w:eastAsia="方正仿宋_GBK" w:cs="方正仿宋_GBK"/>
          <w:kern w:val="0"/>
          <w:sz w:val="32"/>
          <w:szCs w:val="32"/>
          <w:shd w:val="clear" w:fill="FFFFFF"/>
        </w:rPr>
        <w:t>绩效目标设置</w:t>
      </w:r>
      <w:r>
        <w:rPr>
          <w:rFonts w:hint="eastAsia" w:ascii="方正仿宋_GBK" w:hAnsi="方正仿宋_GBK" w:eastAsia="方正仿宋_GBK" w:cs="方正仿宋_GBK"/>
          <w:kern w:val="0"/>
          <w:sz w:val="32"/>
          <w:szCs w:val="32"/>
          <w:shd w:val="clear" w:fill="FFFFFF"/>
          <w:lang w:eastAsia="zh-CN"/>
        </w:rPr>
        <w:t>重复、无法全面评价项目绩效情况</w:t>
      </w:r>
      <w:r>
        <w:rPr>
          <w:rFonts w:hint="eastAsia" w:ascii="方正仿宋_GBK" w:hAnsi="方正仿宋_GBK" w:eastAsia="方正仿宋_GBK" w:cs="方正仿宋_GBK"/>
          <w:kern w:val="0"/>
          <w:sz w:val="32"/>
          <w:szCs w:val="32"/>
          <w:shd w:val="clear" w:fill="FFFFFF"/>
        </w:rPr>
        <w:t>的问题，今后工作将进一步优化绩效指标设置，</w:t>
      </w:r>
      <w:r>
        <w:rPr>
          <w:rFonts w:hint="eastAsia" w:ascii="方正仿宋_GBK" w:hAnsi="方正仿宋_GBK" w:eastAsia="方正仿宋_GBK" w:cs="方正仿宋_GBK"/>
          <w:kern w:val="0"/>
          <w:sz w:val="32"/>
          <w:szCs w:val="32"/>
          <w:shd w:val="clear" w:fill="FFFFFF"/>
          <w:lang w:eastAsia="zh-CN"/>
        </w:rPr>
        <w:t>使</w:t>
      </w:r>
      <w:r>
        <w:rPr>
          <w:rFonts w:hint="eastAsia" w:ascii="方正仿宋_GBK" w:hAnsi="方正仿宋_GBK" w:eastAsia="方正仿宋_GBK" w:cs="方正仿宋_GBK"/>
          <w:kern w:val="0"/>
          <w:sz w:val="32"/>
          <w:szCs w:val="32"/>
          <w:shd w:val="clear" w:fill="FFFFFF"/>
        </w:rPr>
        <w:t>评价更</w:t>
      </w:r>
      <w:r>
        <w:rPr>
          <w:rFonts w:hint="eastAsia" w:ascii="方正仿宋_GBK" w:hAnsi="方正仿宋_GBK" w:eastAsia="方正仿宋_GBK" w:cs="方正仿宋_GBK"/>
          <w:kern w:val="0"/>
          <w:sz w:val="32"/>
          <w:szCs w:val="32"/>
          <w:shd w:val="clear" w:fill="FFFFFF"/>
          <w:lang w:eastAsia="zh-CN"/>
        </w:rPr>
        <w:t>加科学合理、全面客观。</w:t>
      </w:r>
    </w:p>
    <w:p>
      <w:pPr>
        <w:pStyle w:val="20"/>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县财政局未委托第三方对我</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开展绩效评价</w:t>
      </w:r>
      <w:r>
        <w:rPr>
          <w:rFonts w:hint="eastAsia" w:ascii="方正仿宋_GBK" w:hAnsi="方正仿宋_GBK" w:eastAsia="方正仿宋_GBK" w:cs="方正仿宋_GBK"/>
          <w:kern w:val="0"/>
          <w:sz w:val="32"/>
          <w:szCs w:val="32"/>
          <w:shd w:val="clear" w:fill="FFFFFF"/>
          <w:lang w:eastAsia="zh-CN"/>
        </w:rPr>
        <w:t>。</w:t>
      </w:r>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黑体" w:hAnsi="黑体" w:eastAsia="黑体" w:cs="黑体"/>
          <w:sz w:val="32"/>
          <w:szCs w:val="32"/>
          <w:shd w:val="clear" w:color="auto" w:fill="FFFFFF"/>
          <w:lang w:val="en-US" w:eastAsia="zh-CN" w:bidi="ar-SA"/>
        </w:rPr>
        <w:t>六、专业名词解释</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4"/>
          <w:rFonts w:hint="eastAsia" w:ascii="黑体" w:hAnsi="黑体" w:eastAsia="黑体" w:cs="黑体"/>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w:t>
      </w:r>
      <w:r>
        <w:commentReference w:id="0"/>
      </w:r>
      <w:r>
        <w:rPr>
          <w:rFonts w:hint="eastAsia" w:ascii="Times New Roman" w:hAnsi="Times New Roman" w:eastAsia="方正仿宋_GBK" w:cs="Times New Roman"/>
          <w:kern w:val="2"/>
          <w:sz w:val="32"/>
          <w:szCs w:val="32"/>
          <w:lang w:val="en-US" w:eastAsia="zh-CN" w:bidi="ar-SA"/>
        </w:rPr>
        <w:t>部门决算公开信息反馈和联系方式：</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杨雪儒 023-76614999</w:t>
      </w:r>
    </w:p>
    <w:p>
      <w:pPr>
        <w:pStyle w:val="10"/>
        <w:keepNext w:val="0"/>
        <w:keepLines w:val="0"/>
        <w:pageBreakBefore w:val="0"/>
        <w:widowControl/>
        <w:tabs>
          <w:tab w:val="left" w:pos="1033"/>
        </w:tabs>
        <w:kinsoku/>
        <w:wordWrap/>
        <w:overflowPunct/>
        <w:topLinePunct w:val="0"/>
        <w:autoSpaceDN/>
        <w:bidi w:val="0"/>
        <w:adjustRightInd/>
        <w:snapToGrid w:val="0"/>
        <w:spacing w:before="0" w:beforeAutospacing="0" w:after="0" w:afterAutospacing="0" w:line="560" w:lineRule="exact"/>
        <w:jc w:val="both"/>
        <w:textAlignment w:val="auto"/>
        <w:rPr>
          <w:rStyle w:val="14"/>
          <w:rFonts w:hint="eastAsia" w:ascii="方正仿宋_GBK" w:hAnsi="方正仿宋_GBK" w:eastAsia="方正仿宋_GBK" w:cs="方正仿宋_GBK"/>
          <w:sz w:val="32"/>
          <w:szCs w:val="32"/>
          <w:shd w:val="clear" w:color="auto" w:fill="FFFF00"/>
          <w:lang w:eastAsia="zh-CN"/>
        </w:rPr>
      </w:pPr>
    </w:p>
    <w:p>
      <w:pPr>
        <w:pStyle w:val="10"/>
        <w:keepNext w:val="0"/>
        <w:keepLines w:val="0"/>
        <w:pageBreakBefore w:val="0"/>
        <w:widowControl/>
        <w:tabs>
          <w:tab w:val="left" w:pos="1033"/>
        </w:tabs>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Style w:val="14"/>
          <w:rFonts w:hint="eastAsia" w:ascii="方正仿宋_GBK" w:hAnsi="方正仿宋_GBK" w:eastAsia="方正仿宋_GBK" w:cs="方正仿宋_GBK"/>
          <w:sz w:val="32"/>
          <w:szCs w:val="32"/>
          <w:shd w:val="clear" w:color="auto" w:fill="FFFF00"/>
          <w:lang w:eastAsia="zh-CN"/>
        </w:rPr>
        <w:sectPr>
          <w:footerReference r:id="rId5" w:type="default"/>
          <w:pgSz w:w="11915" w:h="16840"/>
          <w:pgMar w:top="2098" w:right="1474" w:bottom="1984" w:left="1587" w:header="851" w:footer="992" w:gutter="0"/>
          <w:pgNumType w:fmt="numberInDash"/>
          <w:cols w:space="720" w:num="1"/>
          <w:docGrid w:type="lines" w:linePitch="312" w:charSpace="0"/>
        </w:sectPr>
      </w:pPr>
    </w:p>
    <w:tbl>
      <w:tblPr>
        <w:tblStyle w:val="11"/>
        <w:tblW w:w="152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61"/>
        <w:gridCol w:w="1950"/>
        <w:gridCol w:w="615"/>
        <w:gridCol w:w="840"/>
        <w:gridCol w:w="930"/>
        <w:gridCol w:w="1080"/>
        <w:gridCol w:w="1185"/>
        <w:gridCol w:w="1380"/>
        <w:gridCol w:w="1050"/>
        <w:gridCol w:w="1170"/>
        <w:gridCol w:w="177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5221"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附件1</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i w:val="0"/>
                <w:color w:val="000000"/>
                <w:sz w:val="20"/>
                <w:szCs w:val="20"/>
                <w:u w:val="none"/>
              </w:rPr>
            </w:pPr>
            <w:r>
              <w:rPr>
                <w:rFonts w:hint="eastAsia" w:ascii="Times New Roman" w:hAnsi="Times New Roman" w:eastAsia="方正楷体_GBK" w:cs="Times New Roman"/>
                <w:kern w:val="2"/>
                <w:sz w:val="32"/>
                <w:szCs w:val="32"/>
                <w:lang w:val="en-US" w:eastAsia="zh-CN" w:bidi="ar-SA"/>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3" w:hRule="atLeast"/>
        </w:trPr>
        <w:tc>
          <w:tcPr>
            <w:tcW w:w="13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主管部门</w:t>
            </w:r>
          </w:p>
        </w:tc>
        <w:tc>
          <w:tcPr>
            <w:tcW w:w="340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秀山土家族苗族自治县清溪场街道办事处</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部门编码</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805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自评总分</w:t>
            </w:r>
          </w:p>
        </w:tc>
        <w:tc>
          <w:tcPr>
            <w:tcW w:w="58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3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部门联系人</w:t>
            </w:r>
          </w:p>
        </w:tc>
        <w:tc>
          <w:tcPr>
            <w:tcW w:w="6600" w:type="dxa"/>
            <w:gridSpan w:val="6"/>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杨雪儒</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联系电话</w:t>
            </w:r>
          </w:p>
        </w:tc>
        <w:tc>
          <w:tcPr>
            <w:tcW w:w="588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023-76614999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3405" w:type="dxa"/>
            <w:gridSpan w:val="3"/>
            <w:tcBorders>
              <w:top w:val="nil"/>
              <w:left w:val="single" w:color="auto"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年初预算数</w:t>
            </w:r>
          </w:p>
        </w:tc>
        <w:tc>
          <w:tcPr>
            <w:tcW w:w="319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全年（调整）预算数</w:t>
            </w:r>
          </w:p>
        </w:tc>
        <w:tc>
          <w:tcPr>
            <w:tcW w:w="243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全年执行数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执行率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执行率权重</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3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年度总金额</w:t>
            </w:r>
          </w:p>
        </w:tc>
        <w:tc>
          <w:tcPr>
            <w:tcW w:w="3405" w:type="dxa"/>
            <w:gridSpan w:val="3"/>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5151.61</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6283.39</w:t>
            </w:r>
          </w:p>
        </w:tc>
        <w:tc>
          <w:tcPr>
            <w:tcW w:w="243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6283.39</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13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其中：财政拨款</w:t>
            </w:r>
          </w:p>
        </w:tc>
        <w:tc>
          <w:tcPr>
            <w:tcW w:w="3405" w:type="dxa"/>
            <w:gridSpan w:val="3"/>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5151.61</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6283.39</w:t>
            </w:r>
          </w:p>
        </w:tc>
        <w:tc>
          <w:tcPr>
            <w:tcW w:w="243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6283.39</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一般公共预算</w:t>
            </w:r>
          </w:p>
        </w:tc>
        <w:tc>
          <w:tcPr>
            <w:tcW w:w="3405" w:type="dxa"/>
            <w:gridSpan w:val="3"/>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5141.55</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6275.79</w:t>
            </w:r>
          </w:p>
        </w:tc>
        <w:tc>
          <w:tcPr>
            <w:tcW w:w="243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6275.79</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100.00</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9" w:hRule="atLeast"/>
        </w:trPr>
        <w:tc>
          <w:tcPr>
            <w:tcW w:w="1361"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当年绩效目标</w:t>
            </w:r>
          </w:p>
        </w:tc>
        <w:tc>
          <w:tcPr>
            <w:tcW w:w="43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年初绩效目标</w:t>
            </w:r>
          </w:p>
        </w:tc>
        <w:tc>
          <w:tcPr>
            <w:tcW w:w="469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全年（调整）绩效目标</w:t>
            </w:r>
          </w:p>
        </w:tc>
        <w:tc>
          <w:tcPr>
            <w:tcW w:w="4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30" w:hRule="atLeast"/>
        </w:trPr>
        <w:tc>
          <w:tcPr>
            <w:tcW w:w="136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433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1、负责组织和管理街道财政收入和支出，编制执行街道年度财政预算，监督街道单位预算执行，编制财政决算；</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2、负责对街道国有资产的购置、登记、处置进行管理；保障我单位在职职工的正常办公、生活秩序，做好干部的教育、培养、选拔和监督工作；</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3、贯彻执行上级的各项方针政策，抓好基层党建及扶贫工作，稳定和完善政府各项决策部署；</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4、抓好本街道领域农业、工业经济、第三产业的发展、安全生产、经济可持续发展、征地拆迁、信访维稳等工作，落实计划生育基本国策，推动优生优育，加强计划生育奖扶政策的落实；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5、做好民政行政工作的管理，发展社会福利事业，做好社会保障工作，及时发放、兑现义务兵优待金及其他优抚对象等补贴，进一步做好征兵工作，激励广大士兵安心服役、献身国防。</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6、保障社区组织的正常运转，维护社会稳定，落实党的政策和法律法规，促进社区各项事业的发展，提高社区居民幸福指数。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7、保障辖区内道路正常通行，提高社区居民交通便捷性，按时发放街道秩序维护人员的工资，维护各社区村居环境的卫生。</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8、认真完成上级主管部门交办的其他事项。</w:t>
            </w:r>
          </w:p>
        </w:tc>
        <w:tc>
          <w:tcPr>
            <w:tcW w:w="46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1、负责组织和管理街道财政收入和支出，编制执行街道年度财政预算，监督街道单位预算执行，编制财政决算；</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2、负责对街道国有资产的购置、登记、处置进行管理；保障我单位在职职工的正常办公、生活秩序，做好干部的教育、培养、选拔和监督工作；</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3、贯彻执行上级的各项方针政策，抓好基层党建及扶贫工作，稳定和完善政府各项决策部署；</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4、抓好本街道领域农业、工业经济、第三产业的发展、安全生产、经济可持续发展、征地拆迁、信访维稳等工作，落实计划生育基本国策，推动优生优育，加强计划生育奖扶政策的落实；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5、做好民政行政工作的管理，发展社会福利事业，做好社会保障工作，及时发放、兑现义务兵优待金及其他优抚对象等补贴，进一步做好征兵工作，激励广大士兵安心服役、献身国防。</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6、保障社区组织的正常运转，维护社会稳定，落实党的政策和法律法规，促进社区各项事业的发展，提高社区居民幸福指数。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7、保障辖区内道路正常通行，提高社区居民交通便捷性，按时发放街道秩序维护人员的工资，维护各社区村居环境的卫生。</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8、认真完成上级主管部门交办的其他事项。</w:t>
            </w:r>
          </w:p>
        </w:tc>
        <w:tc>
          <w:tcPr>
            <w:tcW w:w="4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已完成。</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1、负责组织和管理街道财政收入和支出，编制执行街道年度财政预算，监督街道单位预算执行，编制财政决算；</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2、负责对街道国有资产的购置、登记、处置进行管理；保障我单位在职职工的正常办公、生活秩序，做好干部的教育、培养、选拔和监督工作；</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3、贯彻执行上级的各项方针政策，抓好基层党建及扶贫工作，稳定和完善政府各项决策部署；</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4、抓好本街道领域农业、工业经济、第三产业的发展、安全生产、经济可持续发展、征地拆迁、信访维稳等工作，落实计划生育基本国策，推动优生优育，加强计划生育奖扶政策的落实；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5、做好民政行政工作的管理，发展社会福利事业，做好社会保障工作，及时发放、兑现义务兵优待金及其他优抚对象等补贴，进一步做好征兵工作，激励广大士兵安心服役、献身国防。</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6、保障社区组织的正常运转，维护社会稳定，落实党的政策和法律法规，促进社区各项事业的发展，提高社区居民幸福指数。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7、保障辖区内道路正常通行，提高社区居民交通便捷性，按时发放街道秩序维护人员的工资，维护各社区村居环境的卫生。</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8、认真完成上级主管部门交办的其他事项。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1361"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绩效指标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指标名称</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计量单位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指标性质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全年完成值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偏离度（%）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得分系数（%）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指标权重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指标得分</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40" w:hRule="atLeast"/>
        </w:trPr>
        <w:tc>
          <w:tcPr>
            <w:tcW w:w="136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重点项目建设个数</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0" w:hRule="atLeast"/>
        </w:trPr>
        <w:tc>
          <w:tcPr>
            <w:tcW w:w="136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预决算及时编制率</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136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政府预决算公开率（除涉密信息外）</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58" w:hRule="atLeast"/>
        </w:trPr>
        <w:tc>
          <w:tcPr>
            <w:tcW w:w="136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重大安全事故发生数量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次</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0" w:hRule="atLeast"/>
        </w:trPr>
        <w:tc>
          <w:tcPr>
            <w:tcW w:w="136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全年预算支出执行率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1361"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保障村社</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2" w:hRule="atLeast"/>
        </w:trPr>
        <w:tc>
          <w:tcPr>
            <w:tcW w:w="13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总体说明</w:t>
            </w:r>
          </w:p>
        </w:tc>
        <w:tc>
          <w:tcPr>
            <w:tcW w:w="1386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bl>
    <w:p>
      <w:pPr>
        <w:keepNext w:val="0"/>
        <w:keepLines w:val="0"/>
        <w:widowControl/>
        <w:suppressLineNumbers w:val="0"/>
        <w:jc w:val="left"/>
        <w:textAlignment w:val="center"/>
        <w:rPr>
          <w:rFonts w:hint="eastAsia" w:ascii="宋体" w:hAnsi="宋体" w:eastAsia="宋体" w:cs="宋体"/>
          <w:b/>
          <w:color w:val="000000"/>
          <w:sz w:val="32"/>
          <w:szCs w:val="32"/>
          <w:lang w:val="en-US" w:eastAsia="zh-CN"/>
        </w:rPr>
        <w:sectPr>
          <w:pgSz w:w="16840" w:h="11915" w:orient="landscape"/>
          <w:pgMar w:top="1020" w:right="567" w:bottom="1020" w:left="1037" w:header="851" w:footer="992" w:gutter="0"/>
          <w:pgNumType w:fmt="numberInDash"/>
          <w:cols w:space="720" w:num="1"/>
          <w:docGrid w:type="lines" w:linePitch="312" w:charSpace="0"/>
        </w:sectPr>
      </w:pPr>
    </w:p>
    <w:p>
      <w:pPr>
        <w:keepNext w:val="0"/>
        <w:keepLines w:val="0"/>
        <w:widowControl/>
        <w:suppressLineNumbers w:val="0"/>
        <w:jc w:val="left"/>
        <w:textAlignment w:val="center"/>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附件2</w:t>
      </w:r>
    </w:p>
    <w:tbl>
      <w:tblPr>
        <w:tblStyle w:val="11"/>
        <w:tblW w:w="15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6"/>
        <w:gridCol w:w="2374"/>
        <w:gridCol w:w="2261"/>
        <w:gridCol w:w="1140"/>
        <w:gridCol w:w="1050"/>
        <w:gridCol w:w="1455"/>
        <w:gridCol w:w="1350"/>
        <w:gridCol w:w="1567"/>
        <w:gridCol w:w="1268"/>
        <w:gridCol w:w="968"/>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15355"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宋体" w:hAnsi="宋体" w:eastAsia="宋体" w:cs="宋体"/>
                <w:b/>
                <w:color w:val="000000"/>
                <w:sz w:val="32"/>
                <w:szCs w:val="32"/>
                <w:lang w:val="en-US" w:eastAsia="zh-CN"/>
              </w:rPr>
              <w:t>2024年度项目支出绩效自评表（二级项目）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序号</w:t>
            </w:r>
          </w:p>
        </w:tc>
        <w:tc>
          <w:tcPr>
            <w:tcW w:w="237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项目名称</w:t>
            </w:r>
          </w:p>
        </w:tc>
        <w:tc>
          <w:tcPr>
            <w:tcW w:w="226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指标名称</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指标性质</w:t>
            </w:r>
          </w:p>
        </w:tc>
        <w:tc>
          <w:tcPr>
            <w:tcW w:w="10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指标值</w:t>
            </w:r>
          </w:p>
        </w:tc>
        <w:tc>
          <w:tcPr>
            <w:tcW w:w="14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计量单位</w:t>
            </w:r>
          </w:p>
        </w:tc>
        <w:tc>
          <w:tcPr>
            <w:tcW w:w="13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指标权重</w:t>
            </w:r>
          </w:p>
        </w:tc>
        <w:tc>
          <w:tcPr>
            <w:tcW w:w="15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全年完成值</w:t>
            </w: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指标得分</w:t>
            </w:r>
          </w:p>
        </w:tc>
        <w:tc>
          <w:tcPr>
            <w:tcW w:w="9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说明</w:t>
            </w:r>
          </w:p>
        </w:tc>
        <w:tc>
          <w:tcPr>
            <w:tcW w:w="114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23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2024年脱贫人口产业发展到户补贴项目[-]-渝财农〔2023〕146号</w:t>
            </w: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补助人数（户数）</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296</w:t>
            </w:r>
          </w:p>
        </w:tc>
        <w:tc>
          <w:tcPr>
            <w:tcW w:w="14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ascii="宋体" w:hAnsi="宋体" w:eastAsia="宋体" w:cs="宋体"/>
                <w:sz w:val="24"/>
                <w:szCs w:val="24"/>
              </w:rPr>
              <w:t>人次</w:t>
            </w:r>
          </w:p>
        </w:tc>
        <w:tc>
          <w:tcPr>
            <w:tcW w:w="13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296</w:t>
            </w:r>
          </w:p>
        </w:tc>
        <w:tc>
          <w:tcPr>
            <w:tcW w:w="12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auto"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补助合格率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补助按时到位率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补助政策知晓率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补助标准</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600</w:t>
            </w:r>
          </w:p>
        </w:tc>
        <w:tc>
          <w:tcPr>
            <w:tcW w:w="14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ascii="宋体" w:hAnsi="宋体" w:eastAsia="宋体" w:cs="宋体"/>
                <w:sz w:val="24"/>
                <w:szCs w:val="24"/>
              </w:rPr>
              <w:t>元/户</w:t>
            </w:r>
          </w:p>
        </w:tc>
        <w:tc>
          <w:tcPr>
            <w:tcW w:w="13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600</w:t>
            </w: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w:t>
            </w:r>
          </w:p>
        </w:tc>
        <w:tc>
          <w:tcPr>
            <w:tcW w:w="2374"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清溪场街道2024年檬子村易地扶贫搬迁集中安置点中药材蔬菜加工配送中心建设项目[-]-渝财农〔2023〕161号</w:t>
            </w: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300型开块机</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新建钢架棚</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平方米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项目验收合格率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项目计划开工率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受益农户</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w:t>
            </w:r>
          </w:p>
        </w:tc>
        <w:tc>
          <w:tcPr>
            <w:tcW w:w="23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在村挂职本土人才补贴</w:t>
            </w: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解决就业人数</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24</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24</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补助合格率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补助按时到位率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补助政策知晓率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w:t>
            </w:r>
          </w:p>
        </w:tc>
        <w:tc>
          <w:tcPr>
            <w:tcW w:w="23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美术馆、图书馆、文化馆(站)免费开放专项</w:t>
            </w: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宣传制作</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次</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资金按时支付率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影响年限</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bl>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rPr>
          <w:rFonts w:hint="eastAsia" w:ascii="Times New Roman" w:hAnsi="Times New Roman" w:eastAsia="方正仿宋_GBK" w:cs="Times New Roman"/>
          <w:kern w:val="2"/>
          <w:sz w:val="32"/>
          <w:szCs w:val="32"/>
          <w:lang w:val="en-US" w:eastAsia="zh-CN" w:bidi="ar-SA"/>
        </w:rPr>
        <w:sectPr>
          <w:pgSz w:w="16840" w:h="11915" w:orient="landscape"/>
          <w:pgMar w:top="1020" w:right="567" w:bottom="1020" w:left="1037"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15307" w:type="dxa"/>
        <w:tblInd w:w="0" w:type="dxa"/>
        <w:tblLayout w:type="fixed"/>
        <w:tblCellMar>
          <w:top w:w="0" w:type="dxa"/>
          <w:left w:w="0" w:type="dxa"/>
          <w:bottom w:w="0" w:type="dxa"/>
          <w:right w:w="0" w:type="dxa"/>
        </w:tblCellMar>
      </w:tblPr>
      <w:tblGrid>
        <w:gridCol w:w="4294"/>
        <w:gridCol w:w="3558"/>
        <w:gridCol w:w="4044"/>
        <w:gridCol w:w="3411"/>
      </w:tblGrid>
      <w:tr>
        <w:tblPrEx>
          <w:tblLayout w:type="fixed"/>
          <w:tblCellMar>
            <w:top w:w="0" w:type="dxa"/>
            <w:left w:w="0" w:type="dxa"/>
            <w:bottom w:w="0" w:type="dxa"/>
            <w:right w:w="0" w:type="dxa"/>
          </w:tblCellMar>
        </w:tblPrEx>
        <w:trPr>
          <w:trHeight w:val="232" w:hRule="atLeast"/>
        </w:trPr>
        <w:tc>
          <w:tcPr>
            <w:tcW w:w="1530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41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秀山土家族苗族自治县清溪场街道办事处</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341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745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6,187.35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1,417.61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600.75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3,367.46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6,194.96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6,283.39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41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6,283.39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6,283.39</w:t>
            </w:r>
            <w:r>
              <w:rPr>
                <w:rFonts w:ascii="Times New Roman" w:hAnsi="Times New Roman"/>
                <w:color w:val="000000"/>
                <w:sz w:val="20"/>
                <w:u w:color="auto"/>
              </w:rPr>
              <w:t xml:space="preserve"> </w:t>
            </w:r>
          </w:p>
        </w:tc>
      </w:tr>
    </w:tbl>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312" w:type="dxa"/>
        <w:tblInd w:w="0" w:type="dxa"/>
        <w:tblLayout w:type="fixed"/>
        <w:tblCellMar>
          <w:top w:w="0" w:type="dxa"/>
          <w:left w:w="0" w:type="dxa"/>
          <w:bottom w:w="0" w:type="dxa"/>
          <w:right w:w="0" w:type="dxa"/>
        </w:tblCellMar>
      </w:tblPr>
      <w:tblGrid>
        <w:gridCol w:w="1362"/>
        <w:gridCol w:w="3345"/>
        <w:gridCol w:w="1005"/>
        <w:gridCol w:w="1432"/>
        <w:gridCol w:w="1466"/>
        <w:gridCol w:w="1358"/>
        <w:gridCol w:w="1383"/>
        <w:gridCol w:w="1256"/>
        <w:gridCol w:w="1256"/>
        <w:gridCol w:w="1449"/>
      </w:tblGrid>
      <w:tr>
        <w:tblPrEx>
          <w:tblLayout w:type="fixed"/>
          <w:tblCellMar>
            <w:top w:w="0" w:type="dxa"/>
            <w:left w:w="0" w:type="dxa"/>
            <w:bottom w:w="0" w:type="dxa"/>
            <w:right w:w="0" w:type="dxa"/>
          </w:tblCellMar>
        </w:tblPrEx>
        <w:trPr>
          <w:trHeight w:val="641" w:hRule="atLeast"/>
        </w:trPr>
        <w:tc>
          <w:tcPr>
            <w:tcW w:w="15312"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秀山土家族苗族自治县清溪场街道办事处</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4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6,194.96</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6,194.96</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1,393.22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1,393.22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1,240.09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1,240.09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1,127.25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1,127.25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文化创作与保护</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600.75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600.75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474.47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474.47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178.42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178.42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130.32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130.32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其他森林保护修复支出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3,305.25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3,305.25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521.94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521.94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238.79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238.79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1,659.07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1,659.07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462.06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462.06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1,082.10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1,082.10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313.22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313.22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2150517</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产业发展</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3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237"/>
        <w:gridCol w:w="4100"/>
        <w:gridCol w:w="1616"/>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秀山土家族苗族自治县清溪场街道办事处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10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0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0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0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6,283.39</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2,439.55</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3,843.84</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1,417.61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1,214.77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202.83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1,264.48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1,161.99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文化创作与保护</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600.75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572.95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57.89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474.47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474.47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68.12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178.42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178.42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130.32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73.56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其他森林保护修复支出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69.59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3,367.46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3,075.94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580.64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1,659.07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1,659.07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462.06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462.06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1,082.10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1,082.10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313.22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313.22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2150517</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产业发展</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41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15297" w:type="dxa"/>
        <w:tblInd w:w="0" w:type="dxa"/>
        <w:tblLayout w:type="fixed"/>
        <w:tblCellMar>
          <w:top w:w="0" w:type="dxa"/>
          <w:left w:w="0" w:type="dxa"/>
          <w:bottom w:w="0" w:type="dxa"/>
          <w:right w:w="0" w:type="dxa"/>
        </w:tblCellMar>
      </w:tblPr>
      <w:tblGrid>
        <w:gridCol w:w="2967"/>
        <w:gridCol w:w="1200"/>
        <w:gridCol w:w="3330"/>
        <w:gridCol w:w="1020"/>
        <w:gridCol w:w="2070"/>
        <w:gridCol w:w="2280"/>
        <w:gridCol w:w="2430"/>
      </w:tblGrid>
      <w:tr>
        <w:tblPrEx>
          <w:tblLayout w:type="fixed"/>
          <w:tblCellMar>
            <w:top w:w="0" w:type="dxa"/>
            <w:left w:w="0" w:type="dxa"/>
            <w:bottom w:w="0" w:type="dxa"/>
            <w:right w:w="0" w:type="dxa"/>
          </w:tblCellMar>
        </w:tblPrEx>
        <w:trPr>
          <w:trHeight w:val="90" w:hRule="atLeast"/>
        </w:trPr>
        <w:tc>
          <w:tcPr>
            <w:tcW w:w="15297"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4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秀山土家族苗族自治县清溪场街道办事处</w:t>
            </w:r>
          </w:p>
        </w:tc>
        <w:tc>
          <w:tcPr>
            <w:tcW w:w="102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07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28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3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9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02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07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28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3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11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3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80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6,187.35</w:t>
            </w: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1,417.61</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1,417.61</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66.23</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66.23</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600.75</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600.75</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130.32</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130.32</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269.15</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269.15</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69.59</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69.59</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3,367.46</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3,367.46</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128.66</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128.66</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183.36</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183.36</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38.28</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38.28</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6,194.96</w:t>
            </w: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6,283.39</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6,275.79</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88.44</w:t>
            </w: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88.44</w:t>
            </w: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6,283.39</w:t>
            </w:r>
            <w:r>
              <w:rPr>
                <w:rFonts w:ascii="Times New Roman" w:hAnsi="Times New Roman"/>
                <w:color w:val="000000"/>
                <w:sz w:val="18"/>
                <w:u w:color="auto"/>
              </w:rPr>
              <w:t xml:space="preserve"> </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6,283.39</w:t>
            </w:r>
            <w:r>
              <w:rPr>
                <w:rFonts w:ascii="Times New Roman" w:hAnsi="Times New Roman"/>
                <w:color w:val="000000"/>
                <w:sz w:val="18"/>
                <w:u w:color="auto"/>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6,275.79</w:t>
            </w:r>
            <w:r>
              <w:rPr>
                <w:rFonts w:ascii="Times New Roman" w:hAnsi="Times New Roman"/>
                <w:color w:val="000000"/>
                <w:sz w:val="18"/>
                <w:u w:color="auto"/>
              </w:rPr>
              <w:t xml:space="preserve"> </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秀山土家族苗族自治县清溪场街道办事处</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6,275.79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2,439.55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3,836.24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1,417.61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1,214.77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202.83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1,264.48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1,161.99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文化创作与保护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600.75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572.95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57.89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57.89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474.47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474.47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138.24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138.24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68.12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68.12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178.42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40.59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130.32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73.56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其他森林保护修复支出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69.59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67.74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67.74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55.74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3,367.46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3,075.94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580.64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289.12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w:t>
            </w:r>
            <w:bookmarkStart w:id="0" w:name="_GoBack"/>
            <w:bookmarkEnd w:id="0"/>
            <w:r>
              <w:rPr>
                <w:rFonts w:cs="宋体"/>
                <w:color w:val="000000"/>
                <w:sz w:val="20"/>
                <w:szCs w:val="20"/>
              </w:rPr>
              <w:t>原防灾减灾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1,659.07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1,659.07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462.06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1,082.10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1,082.10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313.22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2150517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产业发展</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183.36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129.30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665"/>
        <w:gridCol w:w="141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秀山土家族苗族自治县清溪场街道办事处</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6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1,856.16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296.51</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433.99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108.05</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303.78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353.33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229.37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178.42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20.77</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129.30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283.49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234.47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11.97</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2,139.65</w:t>
            </w:r>
            <w:r>
              <w:rPr>
                <w:rFonts w:ascii="Times New Roman" w:hAnsi="Times New Roman"/>
                <w:color w:val="000000"/>
                <w:sz w:val="18"/>
                <w:u w:color="auto"/>
              </w:rPr>
              <w:t xml:space="preserve"> </w:t>
            </w:r>
          </w:p>
        </w:tc>
        <w:tc>
          <w:tcPr>
            <w:tcW w:w="878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299.90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秀山土家族苗族自治县清溪场街道办事处</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秀山土家族苗族自治县清溪场街道办事处</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15312" w:type="dxa"/>
        <w:tblInd w:w="0" w:type="dxa"/>
        <w:tblLayout w:type="fixed"/>
        <w:tblCellMar>
          <w:top w:w="0" w:type="dxa"/>
          <w:left w:w="170" w:type="dxa"/>
          <w:bottom w:w="0" w:type="dxa"/>
          <w:right w:w="170" w:type="dxa"/>
        </w:tblCellMar>
      </w:tblPr>
      <w:tblGrid>
        <w:gridCol w:w="3162"/>
        <w:gridCol w:w="2402"/>
        <w:gridCol w:w="2360"/>
        <w:gridCol w:w="3983"/>
        <w:gridCol w:w="3405"/>
      </w:tblGrid>
      <w:tr>
        <w:tblPrEx>
          <w:tblLayout w:type="fixed"/>
          <w:tblCellMar>
            <w:top w:w="0" w:type="dxa"/>
            <w:left w:w="170" w:type="dxa"/>
            <w:bottom w:w="0" w:type="dxa"/>
            <w:right w:w="170" w:type="dxa"/>
          </w:tblCellMar>
        </w:tblPrEx>
        <w:trPr>
          <w:trHeight w:val="343" w:hRule="atLeast"/>
        </w:trPr>
        <w:tc>
          <w:tcPr>
            <w:tcW w:w="15312"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83"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405"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秀山土家族苗族自治县清溪场街道办事处</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8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40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264.47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257.68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0.36</w:t>
            </w: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5.98</w:t>
            </w: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u w:color="auto"/>
              </w:rPr>
              <w:t xml:space="preserve"> </w:t>
            </w:r>
          </w:p>
        </w:tc>
        <w:tc>
          <w:tcPr>
            <w:tcW w:w="3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6" w:type="default"/>
      <w:footerReference r:id="rId7" w:type="default"/>
      <w:pgSz w:w="16783" w:h="11850" w:orient="landscape"/>
      <w:pgMar w:top="567" w:right="454" w:bottom="567" w:left="1037" w:header="0" w:footer="283" w:gutter="0"/>
      <w:pgNumType w:fmt="numberInDash"/>
      <w:cols w:space="720"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乡财科" w:date="2025-09-27T12:28:40Z" w:initials="乡">
    <w:p w14:paraId="2D7356C2">
      <w:pPr>
        <w:pStyle w:val="2"/>
        <w:rPr>
          <w:rFonts w:hint="eastAsia" w:eastAsia="宋体"/>
          <w:lang w:val="en-US" w:eastAsia="zh-CN"/>
        </w:rPr>
      </w:pPr>
      <w:r>
        <w:rPr>
          <w:rFonts w:hint="eastAsia"/>
          <w:lang w:val="en-US" w:eastAsia="zh-CN"/>
        </w:rPr>
        <w:t>部门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7356C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文本框 1"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乡财科">
    <w15:presenceInfo w15:providerId="None" w15:userId="乡财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DF3B35"/>
    <w:rsid w:val="01F3521E"/>
    <w:rsid w:val="03077B2E"/>
    <w:rsid w:val="032F73F9"/>
    <w:rsid w:val="03B87EA0"/>
    <w:rsid w:val="03E3214F"/>
    <w:rsid w:val="044C50BA"/>
    <w:rsid w:val="05BC6D49"/>
    <w:rsid w:val="06194FF1"/>
    <w:rsid w:val="06A2550B"/>
    <w:rsid w:val="06C40A09"/>
    <w:rsid w:val="06F80EE2"/>
    <w:rsid w:val="07001CCA"/>
    <w:rsid w:val="075678DB"/>
    <w:rsid w:val="079D7CC7"/>
    <w:rsid w:val="08051BCA"/>
    <w:rsid w:val="086C12F4"/>
    <w:rsid w:val="08BA052C"/>
    <w:rsid w:val="08DB07BA"/>
    <w:rsid w:val="0969353F"/>
    <w:rsid w:val="098305D0"/>
    <w:rsid w:val="098A0877"/>
    <w:rsid w:val="0A5C4B69"/>
    <w:rsid w:val="0A85261E"/>
    <w:rsid w:val="0A86124A"/>
    <w:rsid w:val="0AB54CC0"/>
    <w:rsid w:val="0B9335CE"/>
    <w:rsid w:val="0C7927C4"/>
    <w:rsid w:val="0C9B098C"/>
    <w:rsid w:val="0CBD6BA0"/>
    <w:rsid w:val="0D554B54"/>
    <w:rsid w:val="0D673E11"/>
    <w:rsid w:val="0DDA54E4"/>
    <w:rsid w:val="0E084ABF"/>
    <w:rsid w:val="0E3A5F83"/>
    <w:rsid w:val="0E74421A"/>
    <w:rsid w:val="0EA46639"/>
    <w:rsid w:val="0EC6180C"/>
    <w:rsid w:val="0F497FB6"/>
    <w:rsid w:val="0F836721"/>
    <w:rsid w:val="0FA25D96"/>
    <w:rsid w:val="105E0F36"/>
    <w:rsid w:val="107B59E5"/>
    <w:rsid w:val="10EC0126"/>
    <w:rsid w:val="10F70B9A"/>
    <w:rsid w:val="111445C7"/>
    <w:rsid w:val="114278C6"/>
    <w:rsid w:val="1158083A"/>
    <w:rsid w:val="11643A4B"/>
    <w:rsid w:val="11B631DB"/>
    <w:rsid w:val="11ED0F98"/>
    <w:rsid w:val="11F03528"/>
    <w:rsid w:val="12035A06"/>
    <w:rsid w:val="12C921C4"/>
    <w:rsid w:val="12F52ECF"/>
    <w:rsid w:val="13871C70"/>
    <w:rsid w:val="13A71CB4"/>
    <w:rsid w:val="13AF1D43"/>
    <w:rsid w:val="13CE1647"/>
    <w:rsid w:val="13DA0C25"/>
    <w:rsid w:val="13FD55AB"/>
    <w:rsid w:val="14200702"/>
    <w:rsid w:val="14907817"/>
    <w:rsid w:val="156C1DB1"/>
    <w:rsid w:val="163A6CEE"/>
    <w:rsid w:val="173708E3"/>
    <w:rsid w:val="174C19C7"/>
    <w:rsid w:val="17C374FC"/>
    <w:rsid w:val="187A6C27"/>
    <w:rsid w:val="189079DC"/>
    <w:rsid w:val="189B0D0B"/>
    <w:rsid w:val="18B43F7C"/>
    <w:rsid w:val="194A1770"/>
    <w:rsid w:val="19B906A4"/>
    <w:rsid w:val="19FB026E"/>
    <w:rsid w:val="1ADB01FD"/>
    <w:rsid w:val="1B6F15B6"/>
    <w:rsid w:val="1BAA2EDC"/>
    <w:rsid w:val="1C4F6D34"/>
    <w:rsid w:val="1C5C0973"/>
    <w:rsid w:val="1CA55E64"/>
    <w:rsid w:val="1D014A01"/>
    <w:rsid w:val="1D022362"/>
    <w:rsid w:val="1D1B04B0"/>
    <w:rsid w:val="1D3733B0"/>
    <w:rsid w:val="1D6534C4"/>
    <w:rsid w:val="1DBD6767"/>
    <w:rsid w:val="1DC52125"/>
    <w:rsid w:val="1DD26311"/>
    <w:rsid w:val="1DE50C16"/>
    <w:rsid w:val="1E374ACB"/>
    <w:rsid w:val="1E5E27E3"/>
    <w:rsid w:val="1EA33588"/>
    <w:rsid w:val="1EB57761"/>
    <w:rsid w:val="1ECF0A66"/>
    <w:rsid w:val="1EF67CA4"/>
    <w:rsid w:val="1EFF2FD9"/>
    <w:rsid w:val="1F020D3A"/>
    <w:rsid w:val="1F2C5189"/>
    <w:rsid w:val="1F4B0B02"/>
    <w:rsid w:val="1FBB35CD"/>
    <w:rsid w:val="1FCD26AF"/>
    <w:rsid w:val="20642787"/>
    <w:rsid w:val="20DA3F3C"/>
    <w:rsid w:val="20F4064E"/>
    <w:rsid w:val="21556F04"/>
    <w:rsid w:val="21EB3B4E"/>
    <w:rsid w:val="22403BD3"/>
    <w:rsid w:val="23DA37D9"/>
    <w:rsid w:val="24841EE6"/>
    <w:rsid w:val="24B92327"/>
    <w:rsid w:val="24C14514"/>
    <w:rsid w:val="2533755C"/>
    <w:rsid w:val="25791755"/>
    <w:rsid w:val="26396DF4"/>
    <w:rsid w:val="26433F45"/>
    <w:rsid w:val="27167136"/>
    <w:rsid w:val="27B23302"/>
    <w:rsid w:val="29310A5F"/>
    <w:rsid w:val="29644878"/>
    <w:rsid w:val="29C37A35"/>
    <w:rsid w:val="2A076083"/>
    <w:rsid w:val="2A73162E"/>
    <w:rsid w:val="2A751F0B"/>
    <w:rsid w:val="2B167953"/>
    <w:rsid w:val="2B200583"/>
    <w:rsid w:val="2B220436"/>
    <w:rsid w:val="2B336045"/>
    <w:rsid w:val="2B8209DE"/>
    <w:rsid w:val="2C426130"/>
    <w:rsid w:val="2C6762A3"/>
    <w:rsid w:val="2EBF7B3E"/>
    <w:rsid w:val="2EDE1934"/>
    <w:rsid w:val="2FCA4B37"/>
    <w:rsid w:val="2FE029D7"/>
    <w:rsid w:val="2FEE71B9"/>
    <w:rsid w:val="2FF06E00"/>
    <w:rsid w:val="3051406C"/>
    <w:rsid w:val="30562E26"/>
    <w:rsid w:val="30586FEC"/>
    <w:rsid w:val="30EC7046"/>
    <w:rsid w:val="315F0B22"/>
    <w:rsid w:val="319D022C"/>
    <w:rsid w:val="31C90022"/>
    <w:rsid w:val="31D6660A"/>
    <w:rsid w:val="31D84415"/>
    <w:rsid w:val="32285F6F"/>
    <w:rsid w:val="3270035E"/>
    <w:rsid w:val="32770556"/>
    <w:rsid w:val="327869C6"/>
    <w:rsid w:val="329C0913"/>
    <w:rsid w:val="32AA0460"/>
    <w:rsid w:val="3337290D"/>
    <w:rsid w:val="337014BE"/>
    <w:rsid w:val="33E31118"/>
    <w:rsid w:val="33EF7674"/>
    <w:rsid w:val="342D7BC6"/>
    <w:rsid w:val="34475F39"/>
    <w:rsid w:val="34A201D3"/>
    <w:rsid w:val="352930DB"/>
    <w:rsid w:val="35405B8E"/>
    <w:rsid w:val="35573069"/>
    <w:rsid w:val="355F6038"/>
    <w:rsid w:val="358B79C6"/>
    <w:rsid w:val="358C217E"/>
    <w:rsid w:val="35937598"/>
    <w:rsid w:val="36C9128A"/>
    <w:rsid w:val="372E3953"/>
    <w:rsid w:val="37841E99"/>
    <w:rsid w:val="37BF1123"/>
    <w:rsid w:val="383C3F15"/>
    <w:rsid w:val="38BE4696"/>
    <w:rsid w:val="38D371A1"/>
    <w:rsid w:val="39303021"/>
    <w:rsid w:val="3939115E"/>
    <w:rsid w:val="396C0AB7"/>
    <w:rsid w:val="39B82A39"/>
    <w:rsid w:val="39C42CA8"/>
    <w:rsid w:val="39DC4FD6"/>
    <w:rsid w:val="39F03D7A"/>
    <w:rsid w:val="39F33306"/>
    <w:rsid w:val="3A2C1C67"/>
    <w:rsid w:val="3A951F10"/>
    <w:rsid w:val="3B1705E5"/>
    <w:rsid w:val="3B18334B"/>
    <w:rsid w:val="3B36794F"/>
    <w:rsid w:val="3BBD7A4B"/>
    <w:rsid w:val="3C566AD6"/>
    <w:rsid w:val="3C6A5B02"/>
    <w:rsid w:val="3D123F57"/>
    <w:rsid w:val="3D2757A1"/>
    <w:rsid w:val="3D3D4FC4"/>
    <w:rsid w:val="3DCE115F"/>
    <w:rsid w:val="3DDF3AB1"/>
    <w:rsid w:val="3DF75C84"/>
    <w:rsid w:val="3E1D0952"/>
    <w:rsid w:val="3E42660A"/>
    <w:rsid w:val="3E7555B1"/>
    <w:rsid w:val="3E787ED9"/>
    <w:rsid w:val="3EB473A1"/>
    <w:rsid w:val="3EEC37F3"/>
    <w:rsid w:val="3F032E93"/>
    <w:rsid w:val="3F0527E5"/>
    <w:rsid w:val="3F4814B0"/>
    <w:rsid w:val="3F5E5D98"/>
    <w:rsid w:val="3F694D83"/>
    <w:rsid w:val="3F885DCC"/>
    <w:rsid w:val="3FCD675E"/>
    <w:rsid w:val="3FD86860"/>
    <w:rsid w:val="4004000C"/>
    <w:rsid w:val="40D54604"/>
    <w:rsid w:val="410D6530"/>
    <w:rsid w:val="411B6CE5"/>
    <w:rsid w:val="412070D7"/>
    <w:rsid w:val="41314E40"/>
    <w:rsid w:val="41E0734B"/>
    <w:rsid w:val="426554D0"/>
    <w:rsid w:val="426C1EA8"/>
    <w:rsid w:val="42736402"/>
    <w:rsid w:val="42E86A87"/>
    <w:rsid w:val="43307B09"/>
    <w:rsid w:val="43470647"/>
    <w:rsid w:val="438D0E97"/>
    <w:rsid w:val="43BB152F"/>
    <w:rsid w:val="44494994"/>
    <w:rsid w:val="44BD7C21"/>
    <w:rsid w:val="44C37687"/>
    <w:rsid w:val="45CB699A"/>
    <w:rsid w:val="465B470D"/>
    <w:rsid w:val="469D6AD4"/>
    <w:rsid w:val="471E6C84"/>
    <w:rsid w:val="4748792B"/>
    <w:rsid w:val="475D719D"/>
    <w:rsid w:val="47674801"/>
    <w:rsid w:val="48225EF7"/>
    <w:rsid w:val="488F422B"/>
    <w:rsid w:val="48E36915"/>
    <w:rsid w:val="495C4A24"/>
    <w:rsid w:val="497135DF"/>
    <w:rsid w:val="49811447"/>
    <w:rsid w:val="4A1605D9"/>
    <w:rsid w:val="4A2563A1"/>
    <w:rsid w:val="4A263DF2"/>
    <w:rsid w:val="4A3D353A"/>
    <w:rsid w:val="4A6F6675"/>
    <w:rsid w:val="4ABF0746"/>
    <w:rsid w:val="4B0502DF"/>
    <w:rsid w:val="4B135857"/>
    <w:rsid w:val="4B365978"/>
    <w:rsid w:val="4B7951CB"/>
    <w:rsid w:val="4B7C315C"/>
    <w:rsid w:val="4BE3300A"/>
    <w:rsid w:val="4CCF773C"/>
    <w:rsid w:val="4DAC4ACA"/>
    <w:rsid w:val="4DBE01D2"/>
    <w:rsid w:val="4DFC1163"/>
    <w:rsid w:val="4EC92552"/>
    <w:rsid w:val="4EFC6D10"/>
    <w:rsid w:val="4F0C6BA3"/>
    <w:rsid w:val="4F10477D"/>
    <w:rsid w:val="4F186D58"/>
    <w:rsid w:val="4FEA65B7"/>
    <w:rsid w:val="4FEE243F"/>
    <w:rsid w:val="5042146E"/>
    <w:rsid w:val="50F06B6E"/>
    <w:rsid w:val="52234D33"/>
    <w:rsid w:val="52261ABA"/>
    <w:rsid w:val="522F6E0C"/>
    <w:rsid w:val="523C7D9D"/>
    <w:rsid w:val="52463BA1"/>
    <w:rsid w:val="5298794F"/>
    <w:rsid w:val="52F163D4"/>
    <w:rsid w:val="531A2DB4"/>
    <w:rsid w:val="5397016A"/>
    <w:rsid w:val="53C0244D"/>
    <w:rsid w:val="53DD4D4E"/>
    <w:rsid w:val="53E578CE"/>
    <w:rsid w:val="541330F0"/>
    <w:rsid w:val="54272666"/>
    <w:rsid w:val="543B029D"/>
    <w:rsid w:val="544C3364"/>
    <w:rsid w:val="54861779"/>
    <w:rsid w:val="552256E1"/>
    <w:rsid w:val="554E5773"/>
    <w:rsid w:val="555A3CBC"/>
    <w:rsid w:val="556966B8"/>
    <w:rsid w:val="5582012B"/>
    <w:rsid w:val="558E4E05"/>
    <w:rsid w:val="55BE2E85"/>
    <w:rsid w:val="55D45CF6"/>
    <w:rsid w:val="55D82B6C"/>
    <w:rsid w:val="55E7085D"/>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D9D41A8"/>
    <w:rsid w:val="5EC4125E"/>
    <w:rsid w:val="5EEA7BE4"/>
    <w:rsid w:val="5F2D4A41"/>
    <w:rsid w:val="605037CB"/>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06456"/>
    <w:rsid w:val="65036946"/>
    <w:rsid w:val="654A25FE"/>
    <w:rsid w:val="656152C6"/>
    <w:rsid w:val="6587477F"/>
    <w:rsid w:val="658C3A08"/>
    <w:rsid w:val="65C031CA"/>
    <w:rsid w:val="65CE6852"/>
    <w:rsid w:val="66267C04"/>
    <w:rsid w:val="663F505A"/>
    <w:rsid w:val="66967186"/>
    <w:rsid w:val="66EE5541"/>
    <w:rsid w:val="67924660"/>
    <w:rsid w:val="6807309C"/>
    <w:rsid w:val="683200C2"/>
    <w:rsid w:val="68407834"/>
    <w:rsid w:val="6883293E"/>
    <w:rsid w:val="688412AD"/>
    <w:rsid w:val="68EB1B71"/>
    <w:rsid w:val="69475C96"/>
    <w:rsid w:val="6A3D5A17"/>
    <w:rsid w:val="6AAD2300"/>
    <w:rsid w:val="6B474EF5"/>
    <w:rsid w:val="6B5A5098"/>
    <w:rsid w:val="6BBF53FD"/>
    <w:rsid w:val="6C560CAE"/>
    <w:rsid w:val="6C576495"/>
    <w:rsid w:val="6D903FF5"/>
    <w:rsid w:val="6DA955B8"/>
    <w:rsid w:val="6DE346AB"/>
    <w:rsid w:val="6DE5391A"/>
    <w:rsid w:val="6E2C5500"/>
    <w:rsid w:val="6E5D43F3"/>
    <w:rsid w:val="6E8D29E6"/>
    <w:rsid w:val="6EE917DB"/>
    <w:rsid w:val="6EFD1324"/>
    <w:rsid w:val="6F5A53AC"/>
    <w:rsid w:val="6FAC003D"/>
    <w:rsid w:val="6FE55E12"/>
    <w:rsid w:val="6FFB2E76"/>
    <w:rsid w:val="708F6F7F"/>
    <w:rsid w:val="70D94BD3"/>
    <w:rsid w:val="71C34D91"/>
    <w:rsid w:val="728C02F4"/>
    <w:rsid w:val="72D51BBA"/>
    <w:rsid w:val="72DB435C"/>
    <w:rsid w:val="72E2613A"/>
    <w:rsid w:val="72F771F4"/>
    <w:rsid w:val="734150D5"/>
    <w:rsid w:val="736650B0"/>
    <w:rsid w:val="73934AD2"/>
    <w:rsid w:val="7471088A"/>
    <w:rsid w:val="750837F0"/>
    <w:rsid w:val="75287DE4"/>
    <w:rsid w:val="754758CF"/>
    <w:rsid w:val="761275E6"/>
    <w:rsid w:val="764F62AB"/>
    <w:rsid w:val="765C45EC"/>
    <w:rsid w:val="768A7619"/>
    <w:rsid w:val="76AA36E6"/>
    <w:rsid w:val="772E1EBA"/>
    <w:rsid w:val="77303AE2"/>
    <w:rsid w:val="77EB79F7"/>
    <w:rsid w:val="78744A04"/>
    <w:rsid w:val="796D60A4"/>
    <w:rsid w:val="79A031D5"/>
    <w:rsid w:val="7A1525F7"/>
    <w:rsid w:val="7ACB7E8C"/>
    <w:rsid w:val="7B24540B"/>
    <w:rsid w:val="7B420052"/>
    <w:rsid w:val="7B733F3D"/>
    <w:rsid w:val="7B861484"/>
    <w:rsid w:val="7BD06A28"/>
    <w:rsid w:val="7C3A7C0B"/>
    <w:rsid w:val="7C5248E4"/>
    <w:rsid w:val="7C566698"/>
    <w:rsid w:val="7C5866A3"/>
    <w:rsid w:val="7CB36E8C"/>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18</TotalTime>
  <ScaleCrop>false</ScaleCrop>
  <LinksUpToDate>false</LinksUpToDate>
  <CharactersWithSpaces>26302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清溪党政办</cp:lastModifiedBy>
  <dcterms:modified xsi:type="dcterms:W3CDTF">2025-11-03T06:21:56Z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