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秀山土家族苗族自治县清溪场街道退役军人服务站</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清溪场街道办事处是秀山县政府的派出机构，受县政府领导，依据法律、法规，在辖区内行使政府的管理职能。其中，清溪场街道办事处退役军人服务站为清溪场街道办事处统一设置的事业站所之一。</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sz w:val="32"/>
          <w:szCs w:val="32"/>
          <w:shd w:val="clear" w:color="auto" w:fill="FFFFFF"/>
          <w:lang w:val="en-US" w:eastAsia="zh-CN"/>
        </w:rPr>
        <w:t>1.</w:t>
      </w:r>
      <w:r>
        <w:rPr>
          <w:rFonts w:hint="eastAsia" w:ascii="Times New Roman" w:hAnsi="Times New Roman" w:eastAsia="方正仿宋_GBK" w:cs="Times New Roman"/>
          <w:kern w:val="2"/>
          <w:sz w:val="32"/>
          <w:szCs w:val="32"/>
          <w:lang w:val="en-US" w:eastAsia="zh-CN" w:bidi="ar-SA"/>
        </w:rPr>
        <w:t>负责做好面对面、个性化、一对一服务退役军人工作，做好关系转接、联络接待、困难帮扶、信息采集、情况反映、立功喜报、悬挂光荣牌和“八一”、春节等节日以及重大变故走访慰问等具体事务，搭建政策咨询、帮扶援助、沟通联系、学习交流等活动场所把党和政府的关怀温暖送到每一个退役军人身边。</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sz w:val="32"/>
          <w:szCs w:val="32"/>
          <w:shd w:val="clear" w:color="auto" w:fill="FFFFFF"/>
          <w:lang w:val="en-US" w:eastAsia="zh-CN"/>
        </w:rPr>
        <w:t>2.</w:t>
      </w:r>
      <w:r>
        <w:rPr>
          <w:rFonts w:hint="eastAsia" w:ascii="Times New Roman" w:hAnsi="Times New Roman" w:eastAsia="方正仿宋_GBK" w:cs="Times New Roman"/>
          <w:kern w:val="2"/>
          <w:sz w:val="32"/>
          <w:szCs w:val="32"/>
          <w:lang w:val="en-US" w:eastAsia="zh-CN" w:bidi="ar-SA"/>
        </w:rPr>
        <w:t>完成上级交办的其他任务。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本单位为清溪场街道办事处统一设置的事业站所之一，单位构成为退役军人服务站。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收、支与2023年度相比，减少2.70万元，下降4.8%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及公用</w:t>
      </w:r>
      <w:r>
        <w:rPr>
          <w:rFonts w:hint="eastAsia" w:ascii="方正仿宋_GBK" w:hAnsi="方正仿宋_GBK" w:eastAsia="方正仿宋_GBK" w:cs="方正仿宋_GBK"/>
          <w:sz w:val="32"/>
          <w:szCs w:val="32"/>
          <w:shd w:val="clear" w:color="auto" w:fill="FFFFFF"/>
        </w:rPr>
        <w:t>经费较去年降低</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与2023年度相比，减少2.70万元，下降4.8%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及公用</w:t>
      </w:r>
      <w:r>
        <w:rPr>
          <w:rFonts w:hint="eastAsia" w:ascii="方正仿宋_GBK" w:hAnsi="方正仿宋_GBK" w:eastAsia="方正仿宋_GBK" w:cs="方正仿宋_GBK"/>
          <w:sz w:val="32"/>
          <w:szCs w:val="32"/>
          <w:shd w:val="clear" w:color="auto" w:fill="FFFFFF"/>
        </w:rPr>
        <w:t>经费较去年降低</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与2023年度相比，减少2.70万元，下降4.8%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及公用</w:t>
      </w:r>
      <w:r>
        <w:rPr>
          <w:rFonts w:hint="eastAsia" w:ascii="方正仿宋_GBK" w:hAnsi="方正仿宋_GBK" w:eastAsia="方正仿宋_GBK" w:cs="方正仿宋_GBK"/>
          <w:sz w:val="32"/>
          <w:szCs w:val="32"/>
          <w:shd w:val="clear" w:color="auto" w:fill="FFFFFF"/>
        </w:rPr>
        <w:t>经费较去年降低</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，主要原因是本年度收、支持平，无结转结余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财政拨款收、支总计各减少2.70万元，下降4.8%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及公用</w:t>
      </w:r>
      <w:r>
        <w:rPr>
          <w:rFonts w:hint="eastAsia" w:ascii="方正仿宋_GBK" w:hAnsi="方正仿宋_GBK" w:eastAsia="方正仿宋_GBK" w:cs="方正仿宋_GBK"/>
          <w:sz w:val="32"/>
          <w:szCs w:val="32"/>
          <w:shd w:val="clear" w:color="auto" w:fill="FFFFFF"/>
        </w:rPr>
        <w:t>经费较去年降低</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与2023年度相比，减少2.70万元，下降4.8%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及公用</w:t>
      </w:r>
      <w:r>
        <w:rPr>
          <w:rFonts w:hint="eastAsia" w:ascii="方正仿宋_GBK" w:hAnsi="方正仿宋_GBK" w:eastAsia="方正仿宋_GBK" w:cs="方正仿宋_GBK"/>
          <w:sz w:val="32"/>
          <w:szCs w:val="32"/>
          <w:shd w:val="clear" w:color="auto" w:fill="FFFFFF"/>
        </w:rPr>
        <w:t>经费较去年降低</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较年初预算数减少5.52万元，下降9.4%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及公用</w:t>
      </w:r>
      <w:r>
        <w:rPr>
          <w:rFonts w:hint="eastAsia" w:ascii="方正仿宋_GBK" w:hAnsi="方正仿宋_GBK" w:eastAsia="方正仿宋_GBK" w:cs="方正仿宋_GBK"/>
          <w:sz w:val="32"/>
          <w:szCs w:val="32"/>
          <w:shd w:val="clear" w:color="auto" w:fill="FFFFFF"/>
        </w:rPr>
        <w:t>经费较</w:t>
      </w:r>
      <w:r>
        <w:rPr>
          <w:rFonts w:hint="eastAsia" w:ascii="方正仿宋_GBK" w:hAnsi="方正仿宋_GBK" w:eastAsia="方正仿宋_GBK" w:cs="方正仿宋_GBK"/>
          <w:sz w:val="32"/>
          <w:szCs w:val="32"/>
          <w:shd w:val="clear" w:color="auto" w:fill="FFFFFF"/>
          <w:lang w:eastAsia="zh-CN"/>
        </w:rPr>
        <w:t>年初预算有所</w:t>
      </w:r>
      <w:r>
        <w:rPr>
          <w:rFonts w:hint="eastAsia" w:ascii="方正仿宋_GBK" w:hAnsi="方正仿宋_GBK" w:eastAsia="方正仿宋_GBK" w:cs="方正仿宋_GBK"/>
          <w:sz w:val="32"/>
          <w:szCs w:val="32"/>
          <w:shd w:val="clear" w:color="auto" w:fill="FFFFFF"/>
        </w:rPr>
        <w:t>降低</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与2023年度相比，减少2.70万元，下降4.8%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及公用</w:t>
      </w:r>
      <w:r>
        <w:rPr>
          <w:rFonts w:hint="eastAsia" w:ascii="方正仿宋_GBK" w:hAnsi="方正仿宋_GBK" w:eastAsia="方正仿宋_GBK" w:cs="方正仿宋_GBK"/>
          <w:sz w:val="32"/>
          <w:szCs w:val="32"/>
          <w:shd w:val="clear" w:color="auto" w:fill="FFFFFF"/>
        </w:rPr>
        <w:t>经费较去年降低</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较年初预算数减少5.52万元，下降9.4%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及公用</w:t>
      </w:r>
      <w:r>
        <w:rPr>
          <w:rFonts w:hint="eastAsia" w:ascii="方正仿宋_GBK" w:hAnsi="方正仿宋_GBK" w:eastAsia="方正仿宋_GBK" w:cs="方正仿宋_GBK"/>
          <w:sz w:val="32"/>
          <w:szCs w:val="32"/>
          <w:shd w:val="clear" w:color="auto" w:fill="FFFFFF"/>
        </w:rPr>
        <w:t>经费较</w:t>
      </w:r>
      <w:r>
        <w:rPr>
          <w:rFonts w:hint="eastAsia" w:ascii="方正仿宋_GBK" w:hAnsi="方正仿宋_GBK" w:eastAsia="方正仿宋_GBK" w:cs="方正仿宋_GBK"/>
          <w:sz w:val="32"/>
          <w:szCs w:val="32"/>
          <w:shd w:val="clear" w:color="auto" w:fill="FFFFFF"/>
          <w:lang w:eastAsia="zh-CN"/>
        </w:rPr>
        <w:t>年初预算有所</w:t>
      </w:r>
      <w:r>
        <w:rPr>
          <w:rFonts w:hint="eastAsia" w:ascii="方正仿宋_GBK" w:hAnsi="方正仿宋_GBK" w:eastAsia="方正仿宋_GBK" w:cs="方正仿宋_GBK"/>
          <w:sz w:val="32"/>
          <w:szCs w:val="32"/>
          <w:shd w:val="clear" w:color="auto" w:fill="FFFFFF"/>
        </w:rPr>
        <w:t>降低</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46.97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较年初预算数减少5.40万元，下降10.3%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节约日常开支，支出需求降低。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工资结构变化，医保基数调整，支出需求降低。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较年初预算数减少0.11万元，下降3.5%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工资结构变化，公积金基数调整，支出需求降低</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，主要原因是本年度</w:t>
      </w:r>
      <w:bookmarkStart w:id="0" w:name="_GoBack"/>
      <w:bookmarkEnd w:id="0"/>
      <w:r>
        <w:rPr>
          <w:rFonts w:hint="eastAsia" w:ascii="Times New Roman" w:hAnsi="Times New Roman" w:eastAsia="方正仿宋_GBK"/>
          <w:sz w:val="32"/>
          <w:szCs w:val="32"/>
          <w:shd w:val="clear" w:color="auto" w:fill="FFFFFF"/>
          <w:lang w:eastAsia="zh-CN"/>
        </w:rPr>
        <w:t>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53.42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49.73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与2023年度相比，减少2.06万元，下降4.0%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对津贴补贴进行规范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人员经费较去年降低</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与2023年度相比，减少0.65万元，下降15.0%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落实过紧日子政策要求，节约日常开支，公用</w:t>
      </w:r>
      <w:r>
        <w:rPr>
          <w:rFonts w:hint="eastAsia" w:ascii="方正仿宋_GBK" w:hAnsi="方正仿宋_GBK" w:eastAsia="方正仿宋_GBK" w:cs="方正仿宋_GBK"/>
          <w:sz w:val="32"/>
          <w:szCs w:val="32"/>
          <w:shd w:val="clear" w:color="auto" w:fill="FFFFFF"/>
        </w:rPr>
        <w:t>经费较去年降低</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依据工作业务需求，增加对职工的培训，支出增加。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w:t>
      </w:r>
      <w:r>
        <w:rPr>
          <w:rFonts w:hint="eastAsia" w:ascii="方正仿宋_GBK" w:hAnsi="方正仿宋_GBK" w:eastAsia="方正仿宋_GBK" w:cs="方正仿宋_GBK"/>
          <w:sz w:val="32"/>
          <w:szCs w:val="32"/>
          <w:shd w:val="clear" w:color="auto" w:fill="FFFFFF"/>
          <w:lang w:eastAsia="zh-CN"/>
        </w:rPr>
        <w:t>减少不必要出差行程</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kern w:val="2"/>
          <w:sz w:val="32"/>
          <w:szCs w:val="32"/>
          <w:lang w:val="en-US" w:eastAsia="zh-CN" w:bidi="ar-SA"/>
        </w:rPr>
        <w:t>本单位属于事业单位，</w:t>
      </w: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本单位是秀山县清溪场街道办事处下属二级机构，县财政局未委托第三方对我单位开展绩效评价。</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 xml:space="preserve">杨雪儒 </w:t>
      </w:r>
      <w:r>
        <w:rPr>
          <w:rFonts w:hint="eastAsia" w:ascii="Times New Roman" w:hAnsi="Times New Roman" w:eastAsia="方正仿宋_GBK"/>
          <w:sz w:val="32"/>
          <w:szCs w:val="32"/>
          <w:shd w:val="clear" w:color="auto" w:fill="FFFFFF"/>
          <w:lang w:val="en-US" w:eastAsia="zh-CN"/>
        </w:rPr>
        <w:t>023-76614999</w:t>
      </w:r>
    </w:p>
    <w:tbl>
      <w:tblPr>
        <w:tblStyle w:val="12"/>
        <w:tblpPr w:leftFromText="180" w:rightFromText="180" w:vertAnchor="text" w:horzAnchor="page" w:tblpX="1058" w:tblpY="22"/>
        <w:tblOverlap w:val="never"/>
        <w:tblW w:w="15266" w:type="dxa"/>
        <w:tblInd w:w="0" w:type="dxa"/>
        <w:tblLayout w:type="fixed"/>
        <w:tblCellMar>
          <w:top w:w="0" w:type="dxa"/>
          <w:left w:w="0" w:type="dxa"/>
          <w:bottom w:w="0" w:type="dxa"/>
          <w:right w:w="0" w:type="dxa"/>
        </w:tblCellMar>
      </w:tblPr>
      <w:tblGrid>
        <w:gridCol w:w="4294"/>
        <w:gridCol w:w="3799"/>
        <w:gridCol w:w="3955"/>
        <w:gridCol w:w="3218"/>
      </w:tblGrid>
      <w:tr>
        <w:tblPrEx>
          <w:tblLayout w:type="fixed"/>
          <w:tblCellMar>
            <w:top w:w="0" w:type="dxa"/>
            <w:left w:w="0" w:type="dxa"/>
            <w:bottom w:w="0" w:type="dxa"/>
            <w:right w:w="0" w:type="dxa"/>
          </w:tblCellMar>
        </w:tblPrEx>
        <w:trPr>
          <w:trHeight w:val="232" w:hRule="atLeast"/>
        </w:trPr>
        <w:tc>
          <w:tcPr>
            <w:tcW w:w="1526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799"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95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2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809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秀山土家族苗族自治县清溪场街道退役军人服务站</w:t>
            </w:r>
          </w:p>
        </w:tc>
        <w:tc>
          <w:tcPr>
            <w:tcW w:w="395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2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80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17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w:t>
            </w: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799"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w:t>
            </w: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7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21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w:t>
            </w:r>
            <w:r>
              <w:rPr>
                <w:rFonts w:ascii="Times New Roman" w:hAnsi="Times New Roman"/>
                <w:color w:val="000000"/>
                <w:sz w:val="20"/>
                <w:u w:color="auto"/>
              </w:rPr>
              <w:t xml:space="preserve"> </w:t>
            </w:r>
          </w:p>
        </w:tc>
        <w:tc>
          <w:tcPr>
            <w:tcW w:w="3955"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2"/>
        <w:tblW w:w="15286" w:type="dxa"/>
        <w:tblInd w:w="0" w:type="dxa"/>
        <w:tblLayout w:type="fixed"/>
        <w:tblCellMar>
          <w:top w:w="0" w:type="dxa"/>
          <w:left w:w="0" w:type="dxa"/>
          <w:bottom w:w="0" w:type="dxa"/>
          <w:right w:w="0" w:type="dxa"/>
        </w:tblCellMar>
      </w:tblPr>
      <w:tblGrid>
        <w:gridCol w:w="1430"/>
        <w:gridCol w:w="3465"/>
        <w:gridCol w:w="1405"/>
        <w:gridCol w:w="1377"/>
        <w:gridCol w:w="1445"/>
        <w:gridCol w:w="954"/>
        <w:gridCol w:w="1583"/>
        <w:gridCol w:w="1172"/>
        <w:gridCol w:w="1091"/>
        <w:gridCol w:w="1364"/>
      </w:tblGrid>
      <w:tr>
        <w:tblPrEx>
          <w:tblLayout w:type="fixed"/>
          <w:tblCellMar>
            <w:top w:w="0" w:type="dxa"/>
            <w:left w:w="0" w:type="dxa"/>
            <w:bottom w:w="0" w:type="dxa"/>
            <w:right w:w="0" w:type="dxa"/>
          </w:tblCellMar>
        </w:tblPrEx>
        <w:trPr>
          <w:trHeight w:val="641" w:hRule="atLeast"/>
        </w:trPr>
        <w:tc>
          <w:tcPr>
            <w:tcW w:w="15286"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300"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秀山土家族苗族自治县清溪场街道退役军人服务站</w:t>
            </w:r>
          </w:p>
        </w:tc>
        <w:tc>
          <w:tcPr>
            <w:tcW w:w="13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5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30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95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9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46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53.42</w:t>
            </w:r>
            <w:r>
              <w:rPr>
                <w:rFonts w:ascii="Times New Roman" w:hAnsi="Times New Roman"/>
                <w:b/>
                <w:color w:val="000000"/>
                <w:sz w:val="20"/>
                <w:u w:color="auto"/>
              </w:rPr>
              <w:t xml:space="preserve"> </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53.42</w:t>
            </w:r>
            <w:r>
              <w:rPr>
                <w:rFonts w:ascii="Times New Roman" w:hAnsi="Times New Roman"/>
                <w:b/>
                <w:color w:val="000000"/>
                <w:sz w:val="20"/>
                <w:u w:color="auto"/>
              </w:rPr>
              <w:t xml:space="preserve"> </w:t>
            </w:r>
          </w:p>
        </w:tc>
        <w:tc>
          <w:tcPr>
            <w:tcW w:w="14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9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w:t>
            </w:r>
            <w:r>
              <w:rPr>
                <w:rFonts w:ascii="Times New Roman" w:hAnsi="Times New Roman"/>
                <w:b/>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u w:color="auto"/>
              </w:rPr>
              <w:t xml:space="preserve"> </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u w:color="auto"/>
              </w:rPr>
              <w:t xml:space="preserve"> </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587"/>
        <w:gridCol w:w="2054"/>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秀山土家族苗族自治县清溪场街道退役军人服务站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5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5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53.42</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286" w:type="dxa"/>
        <w:tblInd w:w="0" w:type="dxa"/>
        <w:tblLayout w:type="fixed"/>
        <w:tblCellMar>
          <w:top w:w="0" w:type="dxa"/>
          <w:left w:w="0" w:type="dxa"/>
          <w:bottom w:w="0" w:type="dxa"/>
          <w:right w:w="0" w:type="dxa"/>
        </w:tblCellMar>
      </w:tblPr>
      <w:tblGrid>
        <w:gridCol w:w="2967"/>
        <w:gridCol w:w="1521"/>
        <w:gridCol w:w="3179"/>
        <w:gridCol w:w="1005"/>
        <w:gridCol w:w="1964"/>
        <w:gridCol w:w="2264"/>
        <w:gridCol w:w="2386"/>
      </w:tblGrid>
      <w:tr>
        <w:tblPrEx>
          <w:tblLayout w:type="fixed"/>
          <w:tblCellMar>
            <w:top w:w="0" w:type="dxa"/>
            <w:left w:w="0" w:type="dxa"/>
            <w:bottom w:w="0" w:type="dxa"/>
            <w:right w:w="0" w:type="dxa"/>
          </w:tblCellMar>
        </w:tblPrEx>
        <w:trPr>
          <w:trHeight w:val="90" w:hRule="atLeast"/>
        </w:trPr>
        <w:tc>
          <w:tcPr>
            <w:tcW w:w="15286"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秀山土家族苗族自治县清溪场街道退役军人服务站</w:t>
            </w:r>
          </w:p>
        </w:tc>
        <w:tc>
          <w:tcPr>
            <w:tcW w:w="10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38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38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7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19"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46.97</w:t>
            </w: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46.97</w:t>
            </w: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1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秀山土家族苗族自治县清溪场街道退役军人服务站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614"/>
        <w:gridCol w:w="134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秀山土家族苗族自治县清溪场街道退役军人服务站</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6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49.73</w:t>
            </w:r>
            <w:r>
              <w:rPr>
                <w:rFonts w:ascii="Times New Roman" w:hAnsi="Times New Roman"/>
                <w:color w:val="000000"/>
                <w:sz w:val="18"/>
                <w:u w:color="auto"/>
              </w:rPr>
              <w:t xml:space="preserve"> </w:t>
            </w:r>
          </w:p>
        </w:tc>
        <w:tc>
          <w:tcPr>
            <w:tcW w:w="881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秀山土家族苗族自治县清溪场街道退役军人服务站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秀山土家族苗族自治县清溪场街道退役军人服务站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5313" w:type="dxa"/>
        <w:tblInd w:w="0" w:type="dxa"/>
        <w:tblLayout w:type="fixed"/>
        <w:tblCellMar>
          <w:top w:w="0" w:type="dxa"/>
          <w:left w:w="170" w:type="dxa"/>
          <w:bottom w:w="0" w:type="dxa"/>
          <w:right w:w="170" w:type="dxa"/>
        </w:tblCellMar>
      </w:tblPr>
      <w:tblGrid>
        <w:gridCol w:w="3422"/>
        <w:gridCol w:w="2414"/>
        <w:gridCol w:w="2495"/>
        <w:gridCol w:w="3928"/>
        <w:gridCol w:w="3054"/>
      </w:tblGrid>
      <w:tr>
        <w:tblPrEx>
          <w:tblLayout w:type="fixed"/>
          <w:tblCellMar>
            <w:top w:w="0" w:type="dxa"/>
            <w:left w:w="170" w:type="dxa"/>
            <w:bottom w:w="0" w:type="dxa"/>
            <w:right w:w="170" w:type="dxa"/>
          </w:tblCellMar>
        </w:tblPrEx>
        <w:trPr>
          <w:trHeight w:val="343" w:hRule="atLeast"/>
        </w:trPr>
        <w:tc>
          <w:tcPr>
            <w:tcW w:w="15313"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42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4"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49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28"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054"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836"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秀山土家族苗族自治县清溪场街道退役军人服务站</w:t>
            </w:r>
          </w:p>
        </w:tc>
        <w:tc>
          <w:tcPr>
            <w:tcW w:w="249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28"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05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9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0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444007"/>
    <w:rsid w:val="06A2550B"/>
    <w:rsid w:val="06E122BA"/>
    <w:rsid w:val="06F80EE2"/>
    <w:rsid w:val="07001CCA"/>
    <w:rsid w:val="074E7B2E"/>
    <w:rsid w:val="075678DB"/>
    <w:rsid w:val="077B465F"/>
    <w:rsid w:val="079D7CC7"/>
    <w:rsid w:val="08051BCA"/>
    <w:rsid w:val="086C12F4"/>
    <w:rsid w:val="08705944"/>
    <w:rsid w:val="08BA052C"/>
    <w:rsid w:val="08DB07BA"/>
    <w:rsid w:val="090808F0"/>
    <w:rsid w:val="0969353F"/>
    <w:rsid w:val="098305D0"/>
    <w:rsid w:val="09B1218B"/>
    <w:rsid w:val="0A3317EA"/>
    <w:rsid w:val="0A5C4B69"/>
    <w:rsid w:val="0A86124A"/>
    <w:rsid w:val="0AB54CC0"/>
    <w:rsid w:val="0B9335CE"/>
    <w:rsid w:val="0BF2311A"/>
    <w:rsid w:val="0C3B57CD"/>
    <w:rsid w:val="0C7927C4"/>
    <w:rsid w:val="0C9B098C"/>
    <w:rsid w:val="0D673E11"/>
    <w:rsid w:val="0DDA54E4"/>
    <w:rsid w:val="0E3A5F83"/>
    <w:rsid w:val="0EEB636E"/>
    <w:rsid w:val="0F836721"/>
    <w:rsid w:val="0FA25D96"/>
    <w:rsid w:val="107B59E5"/>
    <w:rsid w:val="10EC0126"/>
    <w:rsid w:val="10F70B9A"/>
    <w:rsid w:val="111445C7"/>
    <w:rsid w:val="114278C6"/>
    <w:rsid w:val="114F5AD3"/>
    <w:rsid w:val="1158083A"/>
    <w:rsid w:val="11643A4B"/>
    <w:rsid w:val="11DA7A35"/>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177094"/>
    <w:rsid w:val="1AEA5C9B"/>
    <w:rsid w:val="1B6F15B6"/>
    <w:rsid w:val="1BAA2EDC"/>
    <w:rsid w:val="1CA55E64"/>
    <w:rsid w:val="1D014A01"/>
    <w:rsid w:val="1D022362"/>
    <w:rsid w:val="1D1B04B0"/>
    <w:rsid w:val="1DA52501"/>
    <w:rsid w:val="1DBD6767"/>
    <w:rsid w:val="1DC52125"/>
    <w:rsid w:val="1DD26311"/>
    <w:rsid w:val="1E374ACB"/>
    <w:rsid w:val="1EAA730D"/>
    <w:rsid w:val="1ECF0A66"/>
    <w:rsid w:val="1EF67CA4"/>
    <w:rsid w:val="1F020D3A"/>
    <w:rsid w:val="1F2C5189"/>
    <w:rsid w:val="1F4B0B02"/>
    <w:rsid w:val="1FBB35CD"/>
    <w:rsid w:val="1FC100EF"/>
    <w:rsid w:val="1FCD26AF"/>
    <w:rsid w:val="20642787"/>
    <w:rsid w:val="21556F04"/>
    <w:rsid w:val="22403BD3"/>
    <w:rsid w:val="22AD3177"/>
    <w:rsid w:val="235417B6"/>
    <w:rsid w:val="24AC386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43092E"/>
    <w:rsid w:val="2B8209DE"/>
    <w:rsid w:val="2B821C91"/>
    <w:rsid w:val="2BF81A22"/>
    <w:rsid w:val="2C636760"/>
    <w:rsid w:val="2C6762A3"/>
    <w:rsid w:val="2E3650B4"/>
    <w:rsid w:val="2EDD4E20"/>
    <w:rsid w:val="2F03436D"/>
    <w:rsid w:val="2FCA4B37"/>
    <w:rsid w:val="2FE029D7"/>
    <w:rsid w:val="2FF06E00"/>
    <w:rsid w:val="30586FEC"/>
    <w:rsid w:val="30BF0100"/>
    <w:rsid w:val="30C0740C"/>
    <w:rsid w:val="30C86A90"/>
    <w:rsid w:val="30D827A4"/>
    <w:rsid w:val="315F0B22"/>
    <w:rsid w:val="31A15828"/>
    <w:rsid w:val="31D84415"/>
    <w:rsid w:val="32285F6F"/>
    <w:rsid w:val="32770556"/>
    <w:rsid w:val="329C0913"/>
    <w:rsid w:val="32AA0460"/>
    <w:rsid w:val="3337290D"/>
    <w:rsid w:val="33655B87"/>
    <w:rsid w:val="33BA5E66"/>
    <w:rsid w:val="33E31118"/>
    <w:rsid w:val="33EF7674"/>
    <w:rsid w:val="342D11D5"/>
    <w:rsid w:val="342D7BC6"/>
    <w:rsid w:val="352930DB"/>
    <w:rsid w:val="35573069"/>
    <w:rsid w:val="355F6038"/>
    <w:rsid w:val="358C217E"/>
    <w:rsid w:val="36C9128A"/>
    <w:rsid w:val="37841E99"/>
    <w:rsid w:val="37BF1123"/>
    <w:rsid w:val="383C3F15"/>
    <w:rsid w:val="389D19AF"/>
    <w:rsid w:val="38BE4696"/>
    <w:rsid w:val="390D3453"/>
    <w:rsid w:val="3939115E"/>
    <w:rsid w:val="39B82A39"/>
    <w:rsid w:val="39C42CA8"/>
    <w:rsid w:val="39DC4FD6"/>
    <w:rsid w:val="39F03D7A"/>
    <w:rsid w:val="39F33306"/>
    <w:rsid w:val="3A2C1C67"/>
    <w:rsid w:val="3A386186"/>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0DBE"/>
    <w:rsid w:val="3FCD675E"/>
    <w:rsid w:val="4004000C"/>
    <w:rsid w:val="40760DD1"/>
    <w:rsid w:val="40BD5482"/>
    <w:rsid w:val="411B6CE5"/>
    <w:rsid w:val="412070D7"/>
    <w:rsid w:val="41314E40"/>
    <w:rsid w:val="419A40FA"/>
    <w:rsid w:val="41E0734B"/>
    <w:rsid w:val="421E5E01"/>
    <w:rsid w:val="426C1EA8"/>
    <w:rsid w:val="42736402"/>
    <w:rsid w:val="42E86A87"/>
    <w:rsid w:val="43307B09"/>
    <w:rsid w:val="434E077B"/>
    <w:rsid w:val="439A3EB9"/>
    <w:rsid w:val="43BB152F"/>
    <w:rsid w:val="44C37687"/>
    <w:rsid w:val="45333721"/>
    <w:rsid w:val="45CB699A"/>
    <w:rsid w:val="4604308B"/>
    <w:rsid w:val="46423C66"/>
    <w:rsid w:val="465B470D"/>
    <w:rsid w:val="469D6AD4"/>
    <w:rsid w:val="471E6C84"/>
    <w:rsid w:val="4748792B"/>
    <w:rsid w:val="475D2512"/>
    <w:rsid w:val="475D719D"/>
    <w:rsid w:val="47674801"/>
    <w:rsid w:val="47897E32"/>
    <w:rsid w:val="48225EF7"/>
    <w:rsid w:val="485C22B2"/>
    <w:rsid w:val="488F422B"/>
    <w:rsid w:val="48DA4B35"/>
    <w:rsid w:val="48E36915"/>
    <w:rsid w:val="48EB6572"/>
    <w:rsid w:val="495C4A24"/>
    <w:rsid w:val="497135DF"/>
    <w:rsid w:val="4A263DF2"/>
    <w:rsid w:val="4A2F278B"/>
    <w:rsid w:val="4A6F6675"/>
    <w:rsid w:val="4B135857"/>
    <w:rsid w:val="4B7951CB"/>
    <w:rsid w:val="4B7C315C"/>
    <w:rsid w:val="4D1F53CA"/>
    <w:rsid w:val="4DAC4ACA"/>
    <w:rsid w:val="4DBE01D2"/>
    <w:rsid w:val="4E177788"/>
    <w:rsid w:val="4EFD467F"/>
    <w:rsid w:val="4F0C6BA3"/>
    <w:rsid w:val="4F186D58"/>
    <w:rsid w:val="4F1F200C"/>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45715D"/>
    <w:rsid w:val="54861779"/>
    <w:rsid w:val="55084A4C"/>
    <w:rsid w:val="552256E1"/>
    <w:rsid w:val="554E5773"/>
    <w:rsid w:val="555829E0"/>
    <w:rsid w:val="555A3CBC"/>
    <w:rsid w:val="5582012B"/>
    <w:rsid w:val="5586576F"/>
    <w:rsid w:val="558E4E05"/>
    <w:rsid w:val="55BE2E85"/>
    <w:rsid w:val="55CA0927"/>
    <w:rsid w:val="56530F5D"/>
    <w:rsid w:val="567700D3"/>
    <w:rsid w:val="56FF7E9E"/>
    <w:rsid w:val="578867FC"/>
    <w:rsid w:val="57D1120D"/>
    <w:rsid w:val="5842572D"/>
    <w:rsid w:val="588933CB"/>
    <w:rsid w:val="595F4590"/>
    <w:rsid w:val="5A3B59D6"/>
    <w:rsid w:val="5AD134D8"/>
    <w:rsid w:val="5B5068C4"/>
    <w:rsid w:val="5BF41F67"/>
    <w:rsid w:val="5C263CE4"/>
    <w:rsid w:val="5C5D2777"/>
    <w:rsid w:val="5CF66BF3"/>
    <w:rsid w:val="5D290C69"/>
    <w:rsid w:val="5D6F1507"/>
    <w:rsid w:val="5DA80C2C"/>
    <w:rsid w:val="5F2D4A41"/>
    <w:rsid w:val="60C74F6C"/>
    <w:rsid w:val="61015958"/>
    <w:rsid w:val="61025A59"/>
    <w:rsid w:val="613D5BBC"/>
    <w:rsid w:val="61536C39"/>
    <w:rsid w:val="61FC114A"/>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6944FB"/>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E20057"/>
    <w:rsid w:val="750837F0"/>
    <w:rsid w:val="754758CF"/>
    <w:rsid w:val="75595ECD"/>
    <w:rsid w:val="764F62AB"/>
    <w:rsid w:val="765C45EC"/>
    <w:rsid w:val="768A7619"/>
    <w:rsid w:val="769325B2"/>
    <w:rsid w:val="76BD23AB"/>
    <w:rsid w:val="772E1EBA"/>
    <w:rsid w:val="781926BC"/>
    <w:rsid w:val="796D60A4"/>
    <w:rsid w:val="79A031D5"/>
    <w:rsid w:val="79B47FDF"/>
    <w:rsid w:val="79E569A9"/>
    <w:rsid w:val="7A1525F7"/>
    <w:rsid w:val="7A961DC8"/>
    <w:rsid w:val="7B3B1B8E"/>
    <w:rsid w:val="7B420052"/>
    <w:rsid w:val="7BB00EFD"/>
    <w:rsid w:val="7BB557CB"/>
    <w:rsid w:val="7BD06A28"/>
    <w:rsid w:val="7C3A7C0B"/>
    <w:rsid w:val="7C5248E4"/>
    <w:rsid w:val="7C566698"/>
    <w:rsid w:val="7C5866A3"/>
    <w:rsid w:val="7C78626B"/>
    <w:rsid w:val="7D7406BB"/>
    <w:rsid w:val="7DE94331"/>
    <w:rsid w:val="7EA304A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2025-09-27T06:50:42Z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