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秀山土家族苗族自治县清溪场街道财政室</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清溪场街道办事处是秀山县政府的派出机构，受县政府领导，依据法律、法规，在辖区内行使政府的管理职能。其中，清溪场街道办事处财政室为清溪场街道办事处统一设置综合办事机构之一。</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1.主要负责财政收支、预决算、总会计、惠农资金兑付、财政资金监督检查、绩效评价、村级财务管理等职责。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2.完成上级交办的其他任务。</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kern w:val="2"/>
          <w:sz w:val="32"/>
          <w:szCs w:val="32"/>
          <w:lang w:val="en-US" w:eastAsia="zh-CN" w:bidi="ar-SA"/>
        </w:rPr>
        <w:t>本单位为清溪场街道办事处统一设置综合办事机构之一，单位构成为财政室。</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收、支与2023年度相比，减少18.56万元，下降18.8%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单位职工减少，人员经费收、支需求降低，厉行节约，公用经费收、支需求减少。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与2023年度相比，减少18.56万元，下降18.8%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单位职工减少，人员经费收入降低，厉行节约，公用经费收入减少。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与2023年度相比，减少18.56万元，下降18.8%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单位职工减少，人员经费支出降低，厉行节约，公用经费支出降低。</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财政拨款收、支总计各减少18.56万元，下降18.8%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单位职工减少，人员经费收、支需求降低，厉行节约，公用经费收、支需求减少。</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与2023年度相比，减少18.56万元，下降18.8%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单位职工减少，人员经费收入降低，厉行节约，公用经费收入减少。</w:t>
      </w:r>
      <w:r>
        <w:rPr>
          <w:rFonts w:hint="default" w:ascii="Times New Roman" w:hAnsi="Times New Roman" w:eastAsia="方正仿宋_GBK"/>
          <w:sz w:val="32"/>
          <w:szCs w:val="32"/>
          <w:shd w:val="clear" w:color="auto" w:fill="FFFFFF"/>
        </w:rPr>
        <w:t>较年初预算数减少3.08万元，下降3.7%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是控制单位运行成本，收入较年初预算相应减少。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与2023年度相比，减少18.56万元，下降18.8%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单位职工减少，人员经费支出降低，厉行节约，公用经费支出降低。</w:t>
      </w:r>
      <w:r>
        <w:rPr>
          <w:rFonts w:hint="default" w:ascii="Times New Roman" w:hAnsi="Times New Roman" w:eastAsia="方正仿宋_GBK"/>
          <w:sz w:val="32"/>
          <w:szCs w:val="32"/>
          <w:shd w:val="clear" w:color="auto" w:fill="FFFFFF"/>
        </w:rPr>
        <w:t>较年初预算数减少3.08万元，下降3.7%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原因是厉行节约，减少不必要开支，支出较年初预算数降低。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50.08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较年初预算数减少2.99万元，下降5.6%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单位职工减少，人员经费支出降低，厉行节约，公用经费支出降低。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20.04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依据单位实际预算职工社保支出，年初预算与全年支出数一致。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依据单位实际预算职工医保支出，年初预算与全年支出数一致。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较年初预算数减少0.09万元，下降1.7%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原因是依据实际政策调整职工公积金基数，实际缴费支出与年初预算数相比较低。</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bookmarkStart w:id="0" w:name="_GoBack"/>
      <w:bookmarkEnd w:id="0"/>
      <w:r>
        <w:rPr>
          <w:rFonts w:hint="eastAsia" w:ascii="方正仿宋_GBK" w:hAnsi="方正仿宋_GBK" w:eastAsia="方正仿宋_GBK" w:cs="方正仿宋_GBK"/>
          <w:sz w:val="32"/>
          <w:szCs w:val="32"/>
          <w:shd w:val="clear" w:color="auto" w:fill="FFFFFF"/>
          <w:lang w:eastAsia="zh-CN"/>
        </w:rPr>
        <w:t>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73.47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与2023年度相比，减少15.81万元，下降17.7%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单位职工减少，人员经费支出降低。</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kern w:val="2"/>
          <w:sz w:val="32"/>
          <w:szCs w:val="32"/>
          <w:lang w:val="en-US" w:eastAsia="zh-CN" w:bidi="ar-SA"/>
        </w:rPr>
        <w:t>基本工资、绩效津贴、社保、公积金等方面。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与2023年度相比，减少2.75万元，下降28.8%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落实过紧日子政策要求，厉行节约，公用经费支出降低。</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kern w:val="2"/>
          <w:sz w:val="32"/>
          <w:szCs w:val="32"/>
          <w:lang w:val="en-US" w:eastAsia="zh-CN" w:bidi="ar-SA"/>
        </w:rPr>
        <w:t>办公费、工会经费、电费、邮电费、其他交通费用等方面。</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Times New Roman" w:hAnsi="Times New Roman" w:eastAsia="方正仿宋_GBK" w:cs="Times New Roman"/>
          <w:kern w:val="2"/>
          <w:sz w:val="32"/>
          <w:szCs w:val="32"/>
          <w:lang w:val="en-US" w:eastAsia="zh-CN" w:bidi="ar-SA"/>
        </w:rPr>
        <w:t>原因是本单位属于清溪场街道办事处下属二级机构，“三公”经费主要由清溪场街道办事处（本级）预算收支。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w:t>
      </w:r>
      <w:r>
        <w:rPr>
          <w:rFonts w:hint="default" w:ascii="Times New Roman" w:hAnsi="Times New Roman" w:eastAsia="方正仿宋_GBK"/>
          <w:sz w:val="32"/>
          <w:szCs w:val="32"/>
          <w:shd w:val="clear" w:color="auto" w:fill="FFFFFF"/>
        </w:rPr>
        <w:t>增</w:t>
      </w:r>
      <w:r>
        <w:rPr>
          <w:rFonts w:hint="default" w:ascii="Times New Roman" w:hAnsi="Times New Roman" w:eastAsia="方正仿宋_GBK" w:cs="Times New Roman"/>
          <w:kern w:val="2"/>
          <w:sz w:val="32"/>
          <w:szCs w:val="32"/>
          <w:lang w:val="en-US" w:eastAsia="zh-CN" w:bidi="ar-SA"/>
        </w:rPr>
        <w:t>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kern w:val="2"/>
          <w:sz w:val="32"/>
          <w:szCs w:val="32"/>
          <w:lang w:val="en-US" w:eastAsia="zh-CN" w:bidi="ar-SA"/>
        </w:rPr>
        <w:t>是本单位属于清溪场街道办事处下属二级机构，“三公”经费主要由清溪场街道办事处（本级）预算收支。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与2023年度相比，增加0.22万元，增长100.0%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依据工作业务需求，增加对职工的培训，支出增加。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w:t>
      </w:r>
      <w:r>
        <w:rPr>
          <w:rFonts w:hint="eastAsia" w:ascii="方正仿宋_GBK" w:hAnsi="方正仿宋_GBK" w:eastAsia="方正仿宋_GBK" w:cs="方正仿宋_GBK"/>
          <w:sz w:val="32"/>
          <w:szCs w:val="32"/>
          <w:shd w:val="clear" w:color="auto" w:fill="FFFFFF"/>
          <w:lang w:eastAsia="zh-CN"/>
        </w:rPr>
        <w:t>减少不必要出差行程</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6.79</w:t>
      </w:r>
      <w:r>
        <w:rPr>
          <w:rFonts w:ascii="方正仿宋_GBK" w:hAnsi="方正仿宋_GBK" w:eastAsia="方正仿宋_GBK" w:cs="方正仿宋_GBK"/>
          <w:sz w:val="32"/>
          <w:szCs w:val="32"/>
          <w:shd w:val="clear" w:color="auto" w:fill="FFFFFF"/>
        </w:rPr>
        <w:t>万元，机关运行经费主要用于开支</w:t>
      </w:r>
      <w:r>
        <w:rPr>
          <w:rFonts w:hint="eastAsia" w:ascii="Times New Roman" w:hAnsi="Times New Roman" w:eastAsia="方正仿宋_GBK" w:cs="Times New Roman"/>
          <w:kern w:val="2"/>
          <w:sz w:val="32"/>
          <w:szCs w:val="32"/>
          <w:lang w:val="en-US" w:eastAsia="zh-CN" w:bidi="ar-SA"/>
        </w:rPr>
        <w:t>办公费、工会经费、电费、邮电费、其他交通费用等方面。</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较上年支出数减少2.75万元，下降28.8%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严格落实过紧日子要求，厉行节约，压减不必要开支。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b/>
          <w:bCs/>
          <w:color w:val="auto"/>
          <w:sz w:val="32"/>
          <w:szCs w:val="32"/>
          <w:highlight w:val="yellow"/>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本单位是秀山县清溪场街道办事处下属二级</w:t>
      </w:r>
      <w:r>
        <w:rPr>
          <w:rFonts w:hint="eastAsia" w:ascii="方正仿宋_GBK" w:hAnsi="方正仿宋_GBK" w:eastAsia="方正仿宋_GBK" w:cs="方正仿宋_GBK"/>
          <w:kern w:val="0"/>
          <w:sz w:val="32"/>
          <w:szCs w:val="32"/>
          <w:shd w:val="clear" w:fill="FFFFFF"/>
          <w:lang w:eastAsia="zh-CN"/>
        </w:rPr>
        <w:t>机构</w:t>
      </w:r>
      <w:r>
        <w:rPr>
          <w:rFonts w:hint="eastAsia" w:ascii="方正仿宋_GBK" w:hAnsi="方正仿宋_GBK" w:eastAsia="方正仿宋_GBK" w:cs="方正仿宋_GBK"/>
          <w:kern w:val="0"/>
          <w:sz w:val="32"/>
          <w:szCs w:val="32"/>
          <w:shd w:val="clear" w:fill="FFFFFF"/>
        </w:rPr>
        <w:t>，县财政局未委托第三方对我单位开展绩效评价。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jc w:val="both"/>
        <w:textAlignment w:val="auto"/>
        <w:rPr>
          <w:rStyle w:val="11"/>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kern w:val="2"/>
          <w:sz w:val="32"/>
          <w:szCs w:val="32"/>
          <w:lang w:val="en-US" w:eastAsia="zh-CN" w:bidi="ar-SA"/>
        </w:rPr>
        <w:t>杨雪儒 023-76614999</w:t>
      </w:r>
    </w:p>
    <w:tbl>
      <w:tblPr>
        <w:tblStyle w:val="12"/>
        <w:tblpPr w:leftFromText="180" w:rightFromText="180" w:vertAnchor="text" w:horzAnchor="page" w:tblpX="1058" w:tblpY="22"/>
        <w:tblOverlap w:val="never"/>
        <w:tblW w:w="15217" w:type="dxa"/>
        <w:tblInd w:w="0" w:type="dxa"/>
        <w:tblLayout w:type="fixed"/>
        <w:tblCellMar>
          <w:top w:w="0" w:type="dxa"/>
          <w:left w:w="0" w:type="dxa"/>
          <w:bottom w:w="0" w:type="dxa"/>
          <w:right w:w="0" w:type="dxa"/>
        </w:tblCellMar>
      </w:tblPr>
      <w:tblGrid>
        <w:gridCol w:w="4294"/>
        <w:gridCol w:w="3558"/>
        <w:gridCol w:w="4044"/>
        <w:gridCol w:w="3321"/>
      </w:tblGrid>
      <w:tr>
        <w:tblPrEx>
          <w:tblLayout w:type="fixed"/>
          <w:tblCellMar>
            <w:top w:w="0" w:type="dxa"/>
            <w:left w:w="0" w:type="dxa"/>
            <w:bottom w:w="0" w:type="dxa"/>
            <w:right w:w="0" w:type="dxa"/>
          </w:tblCellMar>
        </w:tblPrEx>
        <w:trPr>
          <w:trHeight w:val="232" w:hRule="atLeast"/>
        </w:trPr>
        <w:tc>
          <w:tcPr>
            <w:tcW w:w="1521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32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秀山土家族苗族自治县清溪场街道财政室</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32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36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3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32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3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2"/>
        <w:tblW w:w="15282" w:type="dxa"/>
        <w:tblInd w:w="0" w:type="dxa"/>
        <w:tblLayout w:type="fixed"/>
        <w:tblCellMar>
          <w:top w:w="0" w:type="dxa"/>
          <w:left w:w="0" w:type="dxa"/>
          <w:bottom w:w="0" w:type="dxa"/>
          <w:right w:w="0" w:type="dxa"/>
        </w:tblCellMar>
      </w:tblPr>
      <w:tblGrid>
        <w:gridCol w:w="1430"/>
        <w:gridCol w:w="3502"/>
        <w:gridCol w:w="999"/>
        <w:gridCol w:w="1451"/>
        <w:gridCol w:w="1256"/>
        <w:gridCol w:w="1438"/>
        <w:gridCol w:w="1459"/>
        <w:gridCol w:w="942"/>
        <w:gridCol w:w="1365"/>
        <w:gridCol w:w="1440"/>
      </w:tblGrid>
      <w:tr>
        <w:tblPrEx>
          <w:tblLayout w:type="fixed"/>
          <w:tblCellMar>
            <w:top w:w="0" w:type="dxa"/>
            <w:left w:w="0" w:type="dxa"/>
            <w:bottom w:w="0" w:type="dxa"/>
            <w:right w:w="0" w:type="dxa"/>
          </w:tblCellMar>
        </w:tblPrEx>
        <w:trPr>
          <w:trHeight w:val="641" w:hRule="atLeast"/>
        </w:trPr>
        <w:tc>
          <w:tcPr>
            <w:tcW w:w="1528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秀山土家族苗族自治县清溪场街道财政室</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4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93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80.26</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80.26</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2"/>
        <w:tblW w:w="15322" w:type="dxa"/>
        <w:tblInd w:w="0" w:type="dxa"/>
        <w:tblLayout w:type="fixed"/>
        <w:tblCellMar>
          <w:top w:w="0" w:type="dxa"/>
          <w:left w:w="0" w:type="dxa"/>
          <w:bottom w:w="0" w:type="dxa"/>
          <w:right w:w="0" w:type="dxa"/>
        </w:tblCellMar>
      </w:tblPr>
      <w:tblGrid>
        <w:gridCol w:w="1292"/>
        <w:gridCol w:w="3805"/>
        <w:gridCol w:w="1638"/>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秀山土家族苗族自治县清溪场街道财政室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0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0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0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0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80.26</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2"/>
        <w:tblW w:w="15327" w:type="dxa"/>
        <w:tblInd w:w="0" w:type="dxa"/>
        <w:tblLayout w:type="fixed"/>
        <w:tblCellMar>
          <w:top w:w="0" w:type="dxa"/>
          <w:left w:w="0" w:type="dxa"/>
          <w:bottom w:w="0" w:type="dxa"/>
          <w:right w:w="0" w:type="dxa"/>
        </w:tblCellMar>
      </w:tblPr>
      <w:tblGrid>
        <w:gridCol w:w="2967"/>
        <w:gridCol w:w="1521"/>
        <w:gridCol w:w="3179"/>
        <w:gridCol w:w="970"/>
        <w:gridCol w:w="2040"/>
        <w:gridCol w:w="2370"/>
        <w:gridCol w:w="2280"/>
      </w:tblGrid>
      <w:tr>
        <w:tblPrEx>
          <w:tblLayout w:type="fixed"/>
          <w:tblCellMar>
            <w:top w:w="0" w:type="dxa"/>
            <w:left w:w="0" w:type="dxa"/>
            <w:bottom w:w="0" w:type="dxa"/>
            <w:right w:w="0" w:type="dxa"/>
          </w:tblCellMar>
        </w:tblPrEx>
        <w:trPr>
          <w:trHeight w:val="90" w:hRule="atLeast"/>
        </w:trPr>
        <w:tc>
          <w:tcPr>
            <w:tcW w:w="15327"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秀山土家族苗族自治县清溪场街道财政室</w:t>
            </w:r>
          </w:p>
        </w:tc>
        <w:tc>
          <w:tcPr>
            <w:tcW w:w="97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4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37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97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4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37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83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6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50.08</w:t>
            </w: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50.08</w:t>
            </w: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w:t>
            </w: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w:t>
            </w: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w:t>
            </w: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w:t>
            </w: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u w:color="auto"/>
              </w:rPr>
              <w:t xml:space="preserve"> </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u w:color="auto"/>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秀山土家族苗族自治县清溪场街道财政室</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748"/>
        <w:gridCol w:w="120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秀山土家族苗族自治县清溪场街道财政室</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4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4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0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7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7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73.47</w:t>
            </w:r>
            <w:r>
              <w:rPr>
                <w:rFonts w:ascii="Times New Roman" w:hAnsi="Times New Roman"/>
                <w:color w:val="000000"/>
                <w:sz w:val="18"/>
                <w:u w:color="auto"/>
              </w:rPr>
              <w:t xml:space="preserve"> </w:t>
            </w:r>
          </w:p>
        </w:tc>
        <w:tc>
          <w:tcPr>
            <w:tcW w:w="894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2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秀山土家族苗族自治县清溪场街道财政室</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秀山土家族苗族自治县清溪场街道财政室</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5312" w:type="dxa"/>
        <w:tblInd w:w="0" w:type="dxa"/>
        <w:tblLayout w:type="fixed"/>
        <w:tblCellMar>
          <w:top w:w="0" w:type="dxa"/>
          <w:left w:w="170" w:type="dxa"/>
          <w:bottom w:w="0" w:type="dxa"/>
          <w:right w:w="170" w:type="dxa"/>
        </w:tblCellMar>
      </w:tblPr>
      <w:tblGrid>
        <w:gridCol w:w="3179"/>
        <w:gridCol w:w="2416"/>
        <w:gridCol w:w="2375"/>
        <w:gridCol w:w="4072"/>
        <w:gridCol w:w="3270"/>
      </w:tblGrid>
      <w:tr>
        <w:tblPrEx>
          <w:tblLayout w:type="fixed"/>
          <w:tblCellMar>
            <w:top w:w="0" w:type="dxa"/>
            <w:left w:w="170" w:type="dxa"/>
            <w:bottom w:w="0" w:type="dxa"/>
            <w:right w:w="170" w:type="dxa"/>
          </w:tblCellMar>
        </w:tblPrEx>
        <w:trPr>
          <w:trHeight w:val="343" w:hRule="atLeast"/>
        </w:trPr>
        <w:tc>
          <w:tcPr>
            <w:tcW w:w="1531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7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27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秀山土家族苗族自治县清溪场街道财政室</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72"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27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4B60A9"/>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8DE4BF2"/>
    <w:rsid w:val="0969353F"/>
    <w:rsid w:val="098305D0"/>
    <w:rsid w:val="09B1218B"/>
    <w:rsid w:val="0A3317EA"/>
    <w:rsid w:val="0A5C4B69"/>
    <w:rsid w:val="0A86124A"/>
    <w:rsid w:val="0AB54CC0"/>
    <w:rsid w:val="0B9335CE"/>
    <w:rsid w:val="0BF2311A"/>
    <w:rsid w:val="0C7927C4"/>
    <w:rsid w:val="0C9B098C"/>
    <w:rsid w:val="0D673E11"/>
    <w:rsid w:val="0DDA54E4"/>
    <w:rsid w:val="0E3A5F83"/>
    <w:rsid w:val="0E9316F5"/>
    <w:rsid w:val="0ED17E85"/>
    <w:rsid w:val="0F2A5B70"/>
    <w:rsid w:val="0F836721"/>
    <w:rsid w:val="0FA25D96"/>
    <w:rsid w:val="107B59E5"/>
    <w:rsid w:val="10EC0126"/>
    <w:rsid w:val="10F70B9A"/>
    <w:rsid w:val="111445C7"/>
    <w:rsid w:val="114278C6"/>
    <w:rsid w:val="1158083A"/>
    <w:rsid w:val="11643A4B"/>
    <w:rsid w:val="11ED0F98"/>
    <w:rsid w:val="11F03528"/>
    <w:rsid w:val="12936E45"/>
    <w:rsid w:val="12C921C4"/>
    <w:rsid w:val="13871C70"/>
    <w:rsid w:val="13A71CB4"/>
    <w:rsid w:val="13AF1D43"/>
    <w:rsid w:val="13CE1647"/>
    <w:rsid w:val="13FD55AB"/>
    <w:rsid w:val="14200702"/>
    <w:rsid w:val="14370EA1"/>
    <w:rsid w:val="14FA5A83"/>
    <w:rsid w:val="15D67F44"/>
    <w:rsid w:val="1604320E"/>
    <w:rsid w:val="163A6CEE"/>
    <w:rsid w:val="173708E3"/>
    <w:rsid w:val="17C374FC"/>
    <w:rsid w:val="182E4AB6"/>
    <w:rsid w:val="189079DC"/>
    <w:rsid w:val="189B0D0B"/>
    <w:rsid w:val="18B43F7C"/>
    <w:rsid w:val="18EB5200"/>
    <w:rsid w:val="191C433B"/>
    <w:rsid w:val="194A1770"/>
    <w:rsid w:val="19B906A4"/>
    <w:rsid w:val="1B6F15B6"/>
    <w:rsid w:val="1BAA2EDC"/>
    <w:rsid w:val="1C95536F"/>
    <w:rsid w:val="1CA55E64"/>
    <w:rsid w:val="1D014A01"/>
    <w:rsid w:val="1D022362"/>
    <w:rsid w:val="1D1B04B0"/>
    <w:rsid w:val="1D8B0214"/>
    <w:rsid w:val="1DA52501"/>
    <w:rsid w:val="1DBD6767"/>
    <w:rsid w:val="1DC52125"/>
    <w:rsid w:val="1DD26311"/>
    <w:rsid w:val="1E374ACB"/>
    <w:rsid w:val="1ECF0A66"/>
    <w:rsid w:val="1EF67CA4"/>
    <w:rsid w:val="1F020D3A"/>
    <w:rsid w:val="1F2C5189"/>
    <w:rsid w:val="1F4B0B02"/>
    <w:rsid w:val="1FBB35CD"/>
    <w:rsid w:val="1FCD26AF"/>
    <w:rsid w:val="20642787"/>
    <w:rsid w:val="208E4946"/>
    <w:rsid w:val="21556F04"/>
    <w:rsid w:val="22403BD3"/>
    <w:rsid w:val="22AD3177"/>
    <w:rsid w:val="235417B6"/>
    <w:rsid w:val="244F6043"/>
    <w:rsid w:val="24614AB0"/>
    <w:rsid w:val="24B92327"/>
    <w:rsid w:val="24C14514"/>
    <w:rsid w:val="2533755C"/>
    <w:rsid w:val="25791755"/>
    <w:rsid w:val="26396DF4"/>
    <w:rsid w:val="26A70718"/>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A1792B"/>
    <w:rsid w:val="2FCA4B37"/>
    <w:rsid w:val="2FE029D7"/>
    <w:rsid w:val="2FF06E00"/>
    <w:rsid w:val="30586FEC"/>
    <w:rsid w:val="315F0B22"/>
    <w:rsid w:val="31784062"/>
    <w:rsid w:val="31A15828"/>
    <w:rsid w:val="31D84415"/>
    <w:rsid w:val="32285F6F"/>
    <w:rsid w:val="32770556"/>
    <w:rsid w:val="329C0913"/>
    <w:rsid w:val="32AA0460"/>
    <w:rsid w:val="3337290D"/>
    <w:rsid w:val="33460F07"/>
    <w:rsid w:val="33E31118"/>
    <w:rsid w:val="33EF7674"/>
    <w:rsid w:val="342D7BC6"/>
    <w:rsid w:val="34D84538"/>
    <w:rsid w:val="352930DB"/>
    <w:rsid w:val="35573069"/>
    <w:rsid w:val="355F6038"/>
    <w:rsid w:val="358C217E"/>
    <w:rsid w:val="36C9128A"/>
    <w:rsid w:val="37841E99"/>
    <w:rsid w:val="37BF1123"/>
    <w:rsid w:val="383C3F15"/>
    <w:rsid w:val="38B5042B"/>
    <w:rsid w:val="38BE4696"/>
    <w:rsid w:val="3939115E"/>
    <w:rsid w:val="39B82A39"/>
    <w:rsid w:val="39C42CA8"/>
    <w:rsid w:val="39DC4FD6"/>
    <w:rsid w:val="39F03D7A"/>
    <w:rsid w:val="39F33306"/>
    <w:rsid w:val="3A2C1C67"/>
    <w:rsid w:val="3A6A77C9"/>
    <w:rsid w:val="3ADD7F09"/>
    <w:rsid w:val="3AE223F5"/>
    <w:rsid w:val="3B1705E5"/>
    <w:rsid w:val="3B18334B"/>
    <w:rsid w:val="3B36794F"/>
    <w:rsid w:val="3B6F6EE0"/>
    <w:rsid w:val="3B725C94"/>
    <w:rsid w:val="3C566AD6"/>
    <w:rsid w:val="3C594871"/>
    <w:rsid w:val="3C6A5B02"/>
    <w:rsid w:val="3CDB4840"/>
    <w:rsid w:val="3D083B3A"/>
    <w:rsid w:val="3D2757A1"/>
    <w:rsid w:val="3D3D4FC4"/>
    <w:rsid w:val="3DDF3AB1"/>
    <w:rsid w:val="3E007A4A"/>
    <w:rsid w:val="3E1D0952"/>
    <w:rsid w:val="3E42660A"/>
    <w:rsid w:val="3E7555B1"/>
    <w:rsid w:val="3E787ED9"/>
    <w:rsid w:val="3E8E6B3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3E35159"/>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0945F9"/>
    <w:rsid w:val="4B135857"/>
    <w:rsid w:val="4B7951CB"/>
    <w:rsid w:val="4B7C315C"/>
    <w:rsid w:val="4C31477A"/>
    <w:rsid w:val="4C837F52"/>
    <w:rsid w:val="4D1D32FB"/>
    <w:rsid w:val="4D1F53CA"/>
    <w:rsid w:val="4DAC4ACA"/>
    <w:rsid w:val="4DBE01D2"/>
    <w:rsid w:val="4EFD467F"/>
    <w:rsid w:val="4F0C6BA3"/>
    <w:rsid w:val="4F186D58"/>
    <w:rsid w:val="4FFE7F08"/>
    <w:rsid w:val="504B6EAA"/>
    <w:rsid w:val="50F06B6E"/>
    <w:rsid w:val="51064DCD"/>
    <w:rsid w:val="51D21804"/>
    <w:rsid w:val="52234D33"/>
    <w:rsid w:val="522F6E0C"/>
    <w:rsid w:val="52463BA1"/>
    <w:rsid w:val="52E83231"/>
    <w:rsid w:val="52F163D4"/>
    <w:rsid w:val="531A2DB4"/>
    <w:rsid w:val="53C0244D"/>
    <w:rsid w:val="53CA3F02"/>
    <w:rsid w:val="53DD4D4E"/>
    <w:rsid w:val="53E578CE"/>
    <w:rsid w:val="541330F0"/>
    <w:rsid w:val="54272666"/>
    <w:rsid w:val="543B029D"/>
    <w:rsid w:val="54861779"/>
    <w:rsid w:val="55084A4C"/>
    <w:rsid w:val="552256E1"/>
    <w:rsid w:val="554E5773"/>
    <w:rsid w:val="555829E0"/>
    <w:rsid w:val="555A3CBC"/>
    <w:rsid w:val="5582012B"/>
    <w:rsid w:val="558E4E05"/>
    <w:rsid w:val="55BE2E85"/>
    <w:rsid w:val="55ED4371"/>
    <w:rsid w:val="56530F5D"/>
    <w:rsid w:val="567700D3"/>
    <w:rsid w:val="56FF7E9E"/>
    <w:rsid w:val="578867FC"/>
    <w:rsid w:val="5842572D"/>
    <w:rsid w:val="58447DE0"/>
    <w:rsid w:val="593700F8"/>
    <w:rsid w:val="5964165F"/>
    <w:rsid w:val="5A3B59D6"/>
    <w:rsid w:val="5AD134D8"/>
    <w:rsid w:val="5BF41F67"/>
    <w:rsid w:val="5C263CE4"/>
    <w:rsid w:val="5C5D2777"/>
    <w:rsid w:val="5CF66BF3"/>
    <w:rsid w:val="5D290C69"/>
    <w:rsid w:val="5DA80C2C"/>
    <w:rsid w:val="5F2D4A41"/>
    <w:rsid w:val="5F68202A"/>
    <w:rsid w:val="603E7A7B"/>
    <w:rsid w:val="6093792C"/>
    <w:rsid w:val="60C74F6C"/>
    <w:rsid w:val="61015958"/>
    <w:rsid w:val="61025A59"/>
    <w:rsid w:val="613D5BBC"/>
    <w:rsid w:val="61536C39"/>
    <w:rsid w:val="62944DD7"/>
    <w:rsid w:val="6319381F"/>
    <w:rsid w:val="63C25DC5"/>
    <w:rsid w:val="63C62057"/>
    <w:rsid w:val="64215223"/>
    <w:rsid w:val="64571EF5"/>
    <w:rsid w:val="64FB113D"/>
    <w:rsid w:val="651C4707"/>
    <w:rsid w:val="656152C6"/>
    <w:rsid w:val="6587477F"/>
    <w:rsid w:val="658C3A08"/>
    <w:rsid w:val="65C031CA"/>
    <w:rsid w:val="65CE6852"/>
    <w:rsid w:val="66267C04"/>
    <w:rsid w:val="663F505A"/>
    <w:rsid w:val="666C2D2F"/>
    <w:rsid w:val="66AF5D7C"/>
    <w:rsid w:val="66EE5541"/>
    <w:rsid w:val="67924660"/>
    <w:rsid w:val="67AB248C"/>
    <w:rsid w:val="682651AA"/>
    <w:rsid w:val="68407834"/>
    <w:rsid w:val="6883293E"/>
    <w:rsid w:val="688412AD"/>
    <w:rsid w:val="68EB1B71"/>
    <w:rsid w:val="69405CE9"/>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7F6FF1"/>
    <w:rsid w:val="6FAC003D"/>
    <w:rsid w:val="6FD926BF"/>
    <w:rsid w:val="6FE55E12"/>
    <w:rsid w:val="6FFB2E76"/>
    <w:rsid w:val="704929E1"/>
    <w:rsid w:val="708F6F7F"/>
    <w:rsid w:val="70D94BD3"/>
    <w:rsid w:val="71574775"/>
    <w:rsid w:val="71C34D91"/>
    <w:rsid w:val="72DB435C"/>
    <w:rsid w:val="72E2613A"/>
    <w:rsid w:val="72F771F4"/>
    <w:rsid w:val="73934AD2"/>
    <w:rsid w:val="750837F0"/>
    <w:rsid w:val="754758CF"/>
    <w:rsid w:val="75595ECD"/>
    <w:rsid w:val="764F62AB"/>
    <w:rsid w:val="765C45EC"/>
    <w:rsid w:val="768A7619"/>
    <w:rsid w:val="7693652C"/>
    <w:rsid w:val="76BD23AB"/>
    <w:rsid w:val="772E1EBA"/>
    <w:rsid w:val="781926BC"/>
    <w:rsid w:val="7935069E"/>
    <w:rsid w:val="796D60A4"/>
    <w:rsid w:val="79A031D5"/>
    <w:rsid w:val="79B47FDF"/>
    <w:rsid w:val="79E569A9"/>
    <w:rsid w:val="7A1525F7"/>
    <w:rsid w:val="7B420052"/>
    <w:rsid w:val="7BD06A28"/>
    <w:rsid w:val="7C3A7C0B"/>
    <w:rsid w:val="7C5248E4"/>
    <w:rsid w:val="7C566698"/>
    <w:rsid w:val="7C5866A3"/>
    <w:rsid w:val="7D423166"/>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8</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2025-09-27T06:55:25Z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