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妙泉</w:t>
      </w:r>
      <w:r>
        <w:rPr>
          <w:rFonts w:hint="eastAsia" w:ascii="方正小标宋_GBK" w:hAnsi="方正小标宋_GBK" w:eastAsia="方正小标宋_GBK" w:cs="方正小标宋_GBK"/>
          <w:i w:val="0"/>
          <w:iCs w:val="0"/>
          <w:caps w:val="0"/>
          <w:color w:val="333333"/>
          <w:spacing w:val="0"/>
          <w:sz w:val="44"/>
          <w:szCs w:val="44"/>
          <w:shd w:val="clear" w:fill="FFFFFF"/>
        </w:rPr>
        <w:t>镇文化服务中心202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贯彻执行法律、法规、规章和镇人民政府的决策部署、依法管理本辖区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文化</w:t>
      </w:r>
      <w:r>
        <w:rPr>
          <w:rFonts w:hint="default" w:ascii="Times New Roman" w:hAnsi="Times New Roman" w:eastAsia="方正仿宋_GBK" w:cs="Times New Roman"/>
          <w:i w:val="0"/>
          <w:iCs w:val="0"/>
          <w:caps w:val="0"/>
          <w:color w:val="333333"/>
          <w:spacing w:val="0"/>
          <w:sz w:val="32"/>
          <w:szCs w:val="32"/>
          <w:shd w:val="clear" w:fill="FFFFFF"/>
        </w:rPr>
        <w:t>方面相关的公共事务</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承办镇党委、镇政府交办的其他工作。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镇文化服务中心为</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镇人民政府下属二级单位。本单位有事业编制人员</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32.40</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5.30</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按照政府过紧日子要求，各项运转经费减少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万元，文化旅游体育与传媒支出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25.57万元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3.31</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1.86</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1.86</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5.30</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5.30</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5.30</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32.40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5.3</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万元，主要原因是人员经费及公用经费减少等，主要用于保障在职人员工资福利及社会保险缴费，离休人员离休费，退休人员补助等，保障部门正常运转的各项商品服务支出；项目支出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本单位2024年无项目支出</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镇文化服务中心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万元，主要原因是本单位为事业单位，不在机关运行经费统计范围之内。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eastAsia="zh-CN"/>
        </w:rPr>
        <w:t>镇文化服务中心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曾怡      </w:t>
      </w:r>
      <w:r>
        <w:rPr>
          <w:rFonts w:hint="eastAsia" w:ascii="方正仿宋_GBK" w:hAnsi="方正仿宋_GBK" w:eastAsia="方正仿宋_GBK" w:cs="方正仿宋_GBK"/>
          <w:sz w:val="32"/>
          <w:szCs w:val="32"/>
          <w:lang w:eastAsia="zh-CN"/>
        </w:rPr>
        <w:t>联系方式：</w:t>
      </w:r>
      <w:r>
        <w:rPr>
          <w:rFonts w:hint="default" w:ascii="Times New Roman" w:hAnsi="Times New Roman" w:eastAsia="方正仿宋_GBK" w:cs="Times New Roman"/>
          <w:sz w:val="32"/>
          <w:szCs w:val="32"/>
          <w:lang w:val="en-US" w:eastAsia="zh-CN"/>
        </w:rPr>
        <w:t>02376</w:t>
      </w:r>
      <w:r>
        <w:rPr>
          <w:rFonts w:hint="eastAsia" w:ascii="Times New Roman" w:hAnsi="Times New Roman" w:eastAsia="方正仿宋_GBK" w:cs="Times New Roman"/>
          <w:sz w:val="32"/>
          <w:szCs w:val="32"/>
          <w:lang w:val="en-US" w:eastAsia="zh-CN"/>
        </w:rPr>
        <w:t>643180</w:t>
      </w:r>
      <w:bookmarkStart w:id="0" w:name="_GoBack"/>
      <w:bookmarkEnd w:id="0"/>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D47753A"/>
    <w:rsid w:val="10EA445F"/>
    <w:rsid w:val="14D1325F"/>
    <w:rsid w:val="198F6E75"/>
    <w:rsid w:val="1B1625F6"/>
    <w:rsid w:val="1C365209"/>
    <w:rsid w:val="1D87091B"/>
    <w:rsid w:val="2340333C"/>
    <w:rsid w:val="27C91342"/>
    <w:rsid w:val="2ABD0304"/>
    <w:rsid w:val="3BFC4299"/>
    <w:rsid w:val="44AC4783"/>
    <w:rsid w:val="47E12F43"/>
    <w:rsid w:val="490E5B0E"/>
    <w:rsid w:val="4E0D644A"/>
    <w:rsid w:val="5BB170CB"/>
    <w:rsid w:val="5F424B60"/>
    <w:rsid w:val="67C47E6E"/>
    <w:rsid w:val="68480129"/>
    <w:rsid w:val="6C954519"/>
    <w:rsid w:val="710F3952"/>
    <w:rsid w:val="71774FB6"/>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2024-04-07T03:31:10Z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6516AF42FC62423D884CAE076C98EAC5</vt:lpwstr>
  </property>
</Properties>
</file>