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妙泉</w:t>
      </w:r>
      <w:r>
        <w:rPr>
          <w:rFonts w:hint="eastAsia" w:ascii="方正小标宋_GBK" w:hAnsi="方正小标宋_GBK" w:eastAsia="方正小标宋_GBK" w:cs="方正小标宋_GBK"/>
          <w:i w:val="0"/>
          <w:iCs w:val="0"/>
          <w:caps w:val="0"/>
          <w:color w:val="333333"/>
          <w:spacing w:val="0"/>
          <w:sz w:val="44"/>
          <w:szCs w:val="44"/>
          <w:shd w:val="clear" w:fill="FFFFFF"/>
        </w:rPr>
        <w:t>镇退役军人服务站202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1.贯彻执行法律、法规、规章和镇人民政府的决策部署、依法管理本辖区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退役军人</w:t>
      </w:r>
      <w:r>
        <w:rPr>
          <w:rFonts w:hint="default" w:ascii="Times New Roman" w:hAnsi="Times New Roman" w:eastAsia="方正仿宋_GBK" w:cs="Times New Roman"/>
          <w:i w:val="0"/>
          <w:iCs w:val="0"/>
          <w:caps w:val="0"/>
          <w:color w:val="333333"/>
          <w:spacing w:val="0"/>
          <w:sz w:val="32"/>
          <w:szCs w:val="32"/>
          <w:shd w:val="clear" w:fill="FFFFFF"/>
        </w:rPr>
        <w:t>方面相关的公共事务。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2.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3.承办镇党委、镇政府交办的其他工作。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镇退役军人服务站为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镇人民政府下属二级单位。本单位有事业编制人员2名。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51.25</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51.25</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7.48</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万元，主要原因是本年度在职人员工资福利待遇预算更加精确，人员支出预算较去年减少。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51.25</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45.68</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2.91</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2.66</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7.48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6.58</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0.90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51.25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51.25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6.58</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51.25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6.58</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是本年度在职人员工资福利待遇预算更加精确，人员支出预算较去年减少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主要用于保障在职人员工资福利及社会保险缴费；项目支出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0.90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万元，主要原因是本单位2024年无项目支出。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镇退役军人服务站</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万元，主要原因是本单位为事业单位，不在机关运行经费统计范围之内。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eastAsia="zh-CN"/>
        </w:rPr>
        <w:t>镇退役军人服务站</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w:t>
      </w:r>
      <w:bookmarkStart w:id="0" w:name="_GoBack"/>
      <w:bookmarkEnd w:id="0"/>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4年无项目支出。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联系人：曾怡      联系方式：</w:t>
      </w:r>
      <w:r>
        <w:rPr>
          <w:rFonts w:hint="default" w:ascii="Times New Roman" w:hAnsi="Times New Roman" w:eastAsia="方正仿宋_GBK" w:cs="Times New Roman"/>
          <w:sz w:val="32"/>
          <w:szCs w:val="32"/>
          <w:lang w:eastAsia="zh-CN"/>
        </w:rPr>
        <w:t>023766</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val="en-US" w:eastAsia="zh-CN"/>
        </w:rPr>
        <w:t>180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D47753A"/>
    <w:rsid w:val="10EA445F"/>
    <w:rsid w:val="14D1325F"/>
    <w:rsid w:val="198F6E75"/>
    <w:rsid w:val="1B1625F6"/>
    <w:rsid w:val="1C365209"/>
    <w:rsid w:val="1D87091B"/>
    <w:rsid w:val="2340333C"/>
    <w:rsid w:val="38D210F9"/>
    <w:rsid w:val="44AC4783"/>
    <w:rsid w:val="47E12F43"/>
    <w:rsid w:val="490E5B0E"/>
    <w:rsid w:val="4E0D644A"/>
    <w:rsid w:val="5BB170CB"/>
    <w:rsid w:val="5F424B60"/>
    <w:rsid w:val="67C47E6E"/>
    <w:rsid w:val="68480129"/>
    <w:rsid w:val="710F3952"/>
    <w:rsid w:val="71774FB6"/>
    <w:rsid w:val="72B55AA5"/>
    <w:rsid w:val="7BAF3E73"/>
    <w:rsid w:val="7F7B055E"/>
    <w:rsid w:val="7FA4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2024-04-07T07:39:13Z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C980A97F77C54C08830ABCBB7D4DB00B</vt:lpwstr>
  </property>
</Properties>
</file>