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妙泉镇人民政府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秀山土家族苗族自治县</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为政府组成部门，内设10个职能科室，分别是：党政办公室、党建工作办公室、经济发展办公室（挂统计办公室牌子）、民政和社会事务办公室（挂卫生健康办公室）、平安建设办公室、规划建设管理环保办公室、应急管理办公室、社区事务服务中心、社区文化服务中心</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6个下属事业单位</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包含：财政办公室、退役军人服务站、综合行政执法大队、农业服务中心（特色产业发展中心）、文化服务中心、劳动就业和社会保障服务所。机关行政编制</w:t>
      </w:r>
      <w:r>
        <w:rPr>
          <w:rFonts w:hint="eastAsia" w:ascii="Times New Roman" w:hAnsi="Times New Roman" w:eastAsia="方正仿宋_GBK" w:cs="Times New Roman"/>
          <w:i w:val="0"/>
          <w:iCs w:val="0"/>
          <w:caps w:val="0"/>
          <w:color w:val="333333"/>
          <w:spacing w:val="0"/>
          <w:sz w:val="32"/>
          <w:szCs w:val="32"/>
          <w:shd w:val="clear" w:fill="FFFFFF"/>
          <w:lang w:val="en-US" w:eastAsia="zh-CN"/>
        </w:rPr>
        <w:t>人员21</w:t>
      </w:r>
      <w:r>
        <w:rPr>
          <w:rFonts w:hint="default" w:ascii="Times New Roman" w:hAnsi="Times New Roman" w:eastAsia="方正仿宋_GBK" w:cs="Times New Roman"/>
          <w:i w:val="0"/>
          <w:iCs w:val="0"/>
          <w:caps w:val="0"/>
          <w:color w:val="333333"/>
          <w:spacing w:val="0"/>
          <w:sz w:val="32"/>
          <w:szCs w:val="32"/>
          <w:shd w:val="clear" w:fill="FFFFFF"/>
        </w:rPr>
        <w:t>名，事业编制</w:t>
      </w:r>
      <w:r>
        <w:rPr>
          <w:rFonts w:hint="eastAsia" w:ascii="Times New Roman" w:hAnsi="Times New Roman" w:eastAsia="方正仿宋_GBK" w:cs="Times New Roman"/>
          <w:i w:val="0"/>
          <w:iCs w:val="0"/>
          <w:caps w:val="0"/>
          <w:color w:val="333333"/>
          <w:spacing w:val="0"/>
          <w:sz w:val="32"/>
          <w:szCs w:val="32"/>
          <w:shd w:val="clear" w:fill="FFFFFF"/>
          <w:lang w:val="en-US" w:eastAsia="zh-CN"/>
        </w:rPr>
        <w:t>人员19</w:t>
      </w:r>
      <w:r>
        <w:rPr>
          <w:rFonts w:hint="default" w:ascii="Times New Roman" w:hAnsi="Times New Roman" w:eastAsia="方正仿宋_GBK" w:cs="Times New Roman"/>
          <w:i w:val="0"/>
          <w:iCs w:val="0"/>
          <w:caps w:val="0"/>
          <w:color w:val="333333"/>
          <w:spacing w:val="0"/>
          <w:sz w:val="32"/>
          <w:szCs w:val="32"/>
          <w:shd w:val="clear" w:fill="FFFFFF"/>
        </w:rPr>
        <w:t>名</w:t>
      </w:r>
      <w:r>
        <w:rPr>
          <w:rFonts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14</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22.43</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14</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21.43</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760.95</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按照政府过紧日子要求</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，各项运转经费减少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，且因人员退休，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相应</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人员支出减少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基本支出缩减</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134.66</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万元，项目经费缩减</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614.94</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万元</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14</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22.43</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支出470.04</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万元，公共安全支出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2.98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，文化旅游体育与传媒支出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27.67</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214.24</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54.62</w:t>
      </w:r>
      <w:r>
        <w:rPr>
          <w:rFonts w:hint="default" w:ascii="Times New Roman" w:hAnsi="Times New Roman" w:eastAsia="方正仿宋_GBK" w:cs="Times New Roman"/>
          <w:i w:val="0"/>
          <w:iCs w:val="0"/>
          <w:caps w:val="0"/>
          <w:color w:val="333333"/>
          <w:spacing w:val="0"/>
          <w:sz w:val="32"/>
          <w:szCs w:val="32"/>
          <w:u w:val="none"/>
          <w:shd w:val="clear" w:fill="FFFFFF"/>
        </w:rPr>
        <w:t>万元，节能环保支出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，城乡社区支出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54.97</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，农林水支出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494.10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，自然资源海洋气象等支出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29.00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57.02</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，灾害防治及应急管理支出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15.74</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，其他支出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1.00万元，</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760.95</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121.30</w:t>
      </w:r>
      <w:r>
        <w:rPr>
          <w:rFonts w:hint="default" w:ascii="Times New Roman" w:hAnsi="Times New Roman" w:eastAsia="方正仿宋_GBK" w:cs="Times New Roman"/>
          <w:i w:val="0"/>
          <w:iCs w:val="0"/>
          <w:caps w:val="0"/>
          <w:color w:val="333333"/>
          <w:spacing w:val="0"/>
          <w:sz w:val="32"/>
          <w:szCs w:val="32"/>
          <w:u w:val="none"/>
          <w:shd w:val="clear" w:fill="FFFFFF"/>
        </w:rPr>
        <w:t>万元，项目支出增加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32.99</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14</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21.43</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14</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21.43</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749.58</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9</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24.16</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134.66</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是人员经费及公用经费减少等，主要用于保障在职人员工资福利及社会保险缴费，离休人员离休费，退休人员补助等，保障部门正常运转的各项商品服务支出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497.27</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缩减</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614.94</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万元</w:t>
      </w:r>
      <w:r>
        <w:rPr>
          <w:rFonts w:hint="default" w:ascii="Times New Roman" w:hAnsi="Times New Roman" w:eastAsia="方正仿宋_GBK" w:cs="Times New Roman"/>
          <w:i w:val="0"/>
          <w:iCs w:val="0"/>
          <w:caps w:val="0"/>
          <w:color w:val="333333"/>
          <w:spacing w:val="0"/>
          <w:sz w:val="32"/>
          <w:szCs w:val="32"/>
          <w:u w:val="none"/>
          <w:shd w:val="clear" w:fill="FFFFFF"/>
        </w:rPr>
        <w:t>，主要原因</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度自然生态保护安排支出项目</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451.60</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未由我单位支出，且敬老院公改民营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特困人员经费支出减少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妙泉</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镇人民政府</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年使用政府性基金预算拨款安排的支出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1万元，主要用于残疾人体育事业支出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default" w:ascii="Times New Roman" w:hAnsi="Times New Roman" w:eastAsia="方正仿宋_GBK" w:cs="Times New Roman"/>
          <w:i w:val="0"/>
          <w:iCs w:val="0"/>
          <w:caps w:val="0"/>
          <w:color w:val="333333"/>
          <w:spacing w:val="0"/>
          <w:sz w:val="32"/>
          <w:szCs w:val="32"/>
          <w:u w:val="none"/>
          <w:shd w:val="clear" w:fill="FFFFFF"/>
        </w:rPr>
        <w:t>，主要原因是公务接待减少，认真贯彻落实中央八项规定精神，严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116.42</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37.72</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基本公用经费和公用经费（临时调度）减少</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276.25</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5.00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5.00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5.00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5.00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曾怡      </w:t>
      </w:r>
      <w:r>
        <w:rPr>
          <w:rFonts w:hint="eastAsia" w:ascii="方正仿宋_GBK" w:hAnsi="方正仿宋_GBK" w:eastAsia="方正仿宋_GBK" w:cs="方正仿宋_GBK"/>
          <w:sz w:val="32"/>
          <w:szCs w:val="32"/>
          <w:lang w:eastAsia="zh-CN"/>
        </w:rPr>
        <w:t>联系方式：</w:t>
      </w:r>
      <w:r>
        <w:rPr>
          <w:rFonts w:hint="default" w:ascii="Times New Roman" w:hAnsi="Times New Roman" w:eastAsia="方正仿宋_GBK" w:cs="Times New Roman"/>
          <w:sz w:val="32"/>
          <w:szCs w:val="32"/>
          <w:lang w:val="en-US" w:eastAsia="zh-CN"/>
        </w:rPr>
        <w:t>02376</w:t>
      </w:r>
      <w:r>
        <w:rPr>
          <w:rFonts w:hint="eastAsia" w:ascii="Times New Roman" w:hAnsi="Times New Roman" w:eastAsia="方正仿宋_GBK" w:cs="Times New Roman"/>
          <w:sz w:val="32"/>
          <w:szCs w:val="32"/>
          <w:lang w:val="en-US" w:eastAsia="zh-CN"/>
        </w:rPr>
        <w:t>643180</w:t>
      </w:r>
      <w:bookmarkStart w:id="0" w:name="_GoBack"/>
      <w:bookmarkEnd w:id="0"/>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7295976"/>
    <w:rsid w:val="0D47753A"/>
    <w:rsid w:val="10EA445F"/>
    <w:rsid w:val="13220F68"/>
    <w:rsid w:val="14D1325F"/>
    <w:rsid w:val="198F6E75"/>
    <w:rsid w:val="1B1625F6"/>
    <w:rsid w:val="1C365209"/>
    <w:rsid w:val="1CED50FF"/>
    <w:rsid w:val="1D87091B"/>
    <w:rsid w:val="2340333C"/>
    <w:rsid w:val="275F2F4A"/>
    <w:rsid w:val="2890294D"/>
    <w:rsid w:val="44AC4783"/>
    <w:rsid w:val="47E12F43"/>
    <w:rsid w:val="490E5B0E"/>
    <w:rsid w:val="4E0D644A"/>
    <w:rsid w:val="5BB170CB"/>
    <w:rsid w:val="5F424B60"/>
    <w:rsid w:val="67C47E6E"/>
    <w:rsid w:val="68480129"/>
    <w:rsid w:val="710F3952"/>
    <w:rsid w:val="71774FB6"/>
    <w:rsid w:val="7BAF3E73"/>
    <w:rsid w:val="7C4757F7"/>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秀山土家族苗族自治县妙泉乡人民政府</cp:lastModifiedBy>
  <dcterms:modified xsi:type="dcterms:W3CDTF">2024-04-07T08:09:42Z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7A19C9FB1E1746EB94F2181A1D78BA90</vt:lpwstr>
  </property>
</Properties>
</file>