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妙泉镇人民政府（本级）</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部门</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镇人民政府（本级）为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本单位有</w:t>
      </w:r>
      <w:r>
        <w:rPr>
          <w:rFonts w:hint="default" w:ascii="Times New Roman" w:hAnsi="Times New Roman" w:eastAsia="方正仿宋_GBK" w:cs="Times New Roman"/>
          <w:i w:val="0"/>
          <w:iCs w:val="0"/>
          <w:caps w:val="0"/>
          <w:color w:val="333333"/>
          <w:spacing w:val="0"/>
          <w:sz w:val="32"/>
          <w:szCs w:val="32"/>
          <w:shd w:val="clear" w:fill="FFFFFF"/>
        </w:rPr>
        <w:t>机关行政编制人员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30.78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30.78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646.08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按照政府过紧日子要求，各项运转经费减少，且因人员退休，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相应</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人员支出减少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830.78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支出4</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21.87</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2.98万元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文化旅游体育与传媒支出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2.10万元，</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82.19</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32.84</w:t>
      </w:r>
      <w:r>
        <w:rPr>
          <w:rFonts w:hint="default" w:ascii="Times New Roman" w:hAnsi="Times New Roman" w:eastAsia="方正仿宋_GBK" w:cs="Times New Roman"/>
          <w:i w:val="0"/>
          <w:iCs w:val="0"/>
          <w:caps w:val="0"/>
          <w:color w:val="333333"/>
          <w:spacing w:val="0"/>
          <w:sz w:val="32"/>
          <w:szCs w:val="32"/>
          <w:u w:val="none"/>
          <w:shd w:val="clear" w:fill="FFFFFF"/>
        </w:rPr>
        <w:t>万元，节能环保支出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1.05万元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，农林水支出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205.37万元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，自然资源海洋气象等支出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29.00万元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37.65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，灾害防治及应急管理支出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15.74万元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44.38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79.38</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34.99</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830.78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830.78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633.74</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564.75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86.59</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是人员经费及公用经费减少等，主要用于保障在职人员工资福利及社会保险缴费，离休人员离休费，退休人员补助等，保障部门正常运转的各项商品服务支出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266.03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574.14</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度自然生态保护安排支出项目</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451.60</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未由我单位支出，且敬老院公改民营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特困人员经费支出减少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镇人民政府（本级）</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default" w:ascii="Times New Roman" w:hAnsi="Times New Roman" w:eastAsia="方正仿宋_GBK" w:cs="Times New Roman"/>
          <w:i w:val="0"/>
          <w:iCs w:val="0"/>
          <w:caps w:val="0"/>
          <w:color w:val="333333"/>
          <w:spacing w:val="0"/>
          <w:sz w:val="32"/>
          <w:szCs w:val="32"/>
          <w:u w:val="none"/>
          <w:shd w:val="clear" w:fill="FFFFFF"/>
        </w:rPr>
        <w:t>，主要原因是公务接待减少，认真贯彻落实中央八项规定精神，严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持平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84.95</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33.25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是基本公用经费和公用经费（临时调度）减少</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56.60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曾怡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023766</w:t>
      </w:r>
      <w:r>
        <w:rPr>
          <w:rFonts w:hint="eastAsia" w:ascii="Times New Roman" w:hAnsi="Times New Roman" w:eastAsia="方正仿宋_GBK" w:cs="Times New Roman"/>
          <w:sz w:val="32"/>
          <w:szCs w:val="32"/>
          <w:lang w:val="en-US" w:eastAsia="zh-CN"/>
        </w:rPr>
        <w:t>43180</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3592AB6"/>
    <w:rsid w:val="05B4202B"/>
    <w:rsid w:val="07295976"/>
    <w:rsid w:val="0D47753A"/>
    <w:rsid w:val="10EA445F"/>
    <w:rsid w:val="14D1325F"/>
    <w:rsid w:val="198F6E75"/>
    <w:rsid w:val="1B1625F6"/>
    <w:rsid w:val="1C365209"/>
    <w:rsid w:val="1D87091B"/>
    <w:rsid w:val="2340333C"/>
    <w:rsid w:val="308835BC"/>
    <w:rsid w:val="3F3E48CF"/>
    <w:rsid w:val="44AC4783"/>
    <w:rsid w:val="47E12F43"/>
    <w:rsid w:val="490E5B0E"/>
    <w:rsid w:val="4E0D644A"/>
    <w:rsid w:val="5BB170CB"/>
    <w:rsid w:val="5F424B60"/>
    <w:rsid w:val="63BD3CAD"/>
    <w:rsid w:val="67C47E6E"/>
    <w:rsid w:val="68480129"/>
    <w:rsid w:val="710F3952"/>
    <w:rsid w:val="71774FB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2024-04-07T06:36:59Z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2E5CAE9667EC43D8BC339B3CC22CD122</vt:lpwstr>
  </property>
</Properties>
</file>