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妙泉镇农业服务中心（特色产业发展中心）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贯彻执行法律、法规、规章和</w:t>
      </w:r>
      <w:r>
        <w:rPr>
          <w:rFonts w:hint="eastAsia" w:ascii="Times New Roman" w:hAnsi="Times New Roman" w:eastAsia="方正仿宋_GBK" w:cs="Times New Roman"/>
          <w:i w:val="0"/>
          <w:iCs w:val="0"/>
          <w:caps w:val="0"/>
          <w:color w:val="333333"/>
          <w:spacing w:val="0"/>
          <w:sz w:val="32"/>
          <w:szCs w:val="32"/>
          <w:shd w:val="clear" w:fill="FFFFFF"/>
          <w:lang w:val="en-US" w:eastAsia="zh-CN"/>
        </w:rPr>
        <w:t>镇</w:t>
      </w:r>
      <w:r>
        <w:rPr>
          <w:rFonts w:hint="default" w:ascii="Times New Roman" w:hAnsi="Times New Roman" w:eastAsia="方正仿宋_GBK" w:cs="Times New Roman"/>
          <w:i w:val="0"/>
          <w:iCs w:val="0"/>
          <w:caps w:val="0"/>
          <w:color w:val="333333"/>
          <w:spacing w:val="0"/>
          <w:sz w:val="32"/>
          <w:szCs w:val="32"/>
          <w:shd w:val="clear" w:fill="FFFFFF"/>
        </w:rPr>
        <w:t>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农业方面相关的</w:t>
      </w:r>
      <w:r>
        <w:rPr>
          <w:rFonts w:hint="default" w:ascii="Times New Roman" w:hAnsi="Times New Roman" w:eastAsia="方正仿宋_GBK" w:cs="Times New Roman"/>
          <w:i w:val="0"/>
          <w:iCs w:val="0"/>
          <w:caps w:val="0"/>
          <w:color w:val="333333"/>
          <w:spacing w:val="0"/>
          <w:sz w:val="32"/>
          <w:szCs w:val="32"/>
          <w:shd w:val="clear" w:fill="FFFFFF"/>
        </w:rPr>
        <w:t>公共事务</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2.承担农技、农机、畜牧、水利水产等方面的技术推广、信息服务、水土保持、灾害防治、土地规模经营管理、农产品质量安全监管，农业综合服务等工作。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承办</w:t>
      </w:r>
      <w:r>
        <w:rPr>
          <w:rFonts w:hint="eastAsia" w:ascii="Times New Roman" w:hAnsi="Times New Roman" w:eastAsia="方正仿宋_GBK" w:cs="Times New Roman"/>
          <w:i w:val="0"/>
          <w:iCs w:val="0"/>
          <w:caps w:val="0"/>
          <w:color w:val="333333"/>
          <w:spacing w:val="0"/>
          <w:sz w:val="32"/>
          <w:szCs w:val="32"/>
          <w:shd w:val="clear" w:fill="FFFFFF"/>
          <w:lang w:val="en-US" w:eastAsia="zh-CN"/>
        </w:rPr>
        <w:t>镇党</w:t>
      </w:r>
      <w:r>
        <w:rPr>
          <w:rFonts w:hint="default" w:ascii="Times New Roman" w:hAnsi="Times New Roman" w:eastAsia="方正仿宋_GBK" w:cs="Times New Roman"/>
          <w:i w:val="0"/>
          <w:iCs w:val="0"/>
          <w:caps w:val="0"/>
          <w:color w:val="333333"/>
          <w:spacing w:val="0"/>
          <w:sz w:val="32"/>
          <w:szCs w:val="32"/>
          <w:shd w:val="clear" w:fill="FFFFFF"/>
        </w:rPr>
        <w:t>委、</w:t>
      </w:r>
      <w:r>
        <w:rPr>
          <w:rFonts w:hint="eastAsia" w:ascii="Times New Roman" w:hAnsi="Times New Roman" w:eastAsia="方正仿宋_GBK" w:cs="Times New Roman"/>
          <w:i w:val="0"/>
          <w:iCs w:val="0"/>
          <w:caps w:val="0"/>
          <w:color w:val="333333"/>
          <w:spacing w:val="0"/>
          <w:sz w:val="32"/>
          <w:szCs w:val="32"/>
          <w:shd w:val="clear" w:fill="FFFFFF"/>
          <w:lang w:val="en-US" w:eastAsia="zh-CN"/>
        </w:rPr>
        <w:t>镇</w:t>
      </w:r>
      <w:r>
        <w:rPr>
          <w:rFonts w:hint="default" w:ascii="Times New Roman" w:hAnsi="Times New Roman" w:eastAsia="方正仿宋_GBK" w:cs="Times New Roman"/>
          <w:i w:val="0"/>
          <w:iCs w:val="0"/>
          <w:caps w:val="0"/>
          <w:color w:val="333333"/>
          <w:spacing w:val="0"/>
          <w:sz w:val="32"/>
          <w:szCs w:val="32"/>
          <w:shd w:val="clear" w:fill="FFFFFF"/>
        </w:rPr>
        <w:t>政府交办的其他工作。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镇农业服务中心（特色产业发展中心）为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镇人民政府下属二级单位。本单位有</w:t>
      </w:r>
      <w:r>
        <w:rPr>
          <w:rFonts w:hint="eastAsia" w:ascii="Times New Roman" w:hAnsi="Times New Roman" w:eastAsia="方正仿宋_GBK" w:cs="Times New Roman"/>
          <w:i w:val="0"/>
          <w:iCs w:val="0"/>
          <w:caps w:val="0"/>
          <w:color w:val="333333"/>
          <w:spacing w:val="0"/>
          <w:sz w:val="32"/>
          <w:szCs w:val="32"/>
          <w:shd w:val="clear" w:fill="FFFFFF"/>
          <w:lang w:val="en-US" w:eastAsia="zh-CN"/>
        </w:rPr>
        <w:t>事业</w:t>
      </w:r>
      <w:r>
        <w:rPr>
          <w:rFonts w:hint="default" w:ascii="Times New Roman" w:hAnsi="Times New Roman" w:eastAsia="方正仿宋_GBK" w:cs="Times New Roman"/>
          <w:i w:val="0"/>
          <w:iCs w:val="0"/>
          <w:caps w:val="0"/>
          <w:color w:val="333333"/>
          <w:spacing w:val="0"/>
          <w:sz w:val="32"/>
          <w:szCs w:val="32"/>
          <w:shd w:val="clear" w:fill="FFFFFF"/>
        </w:rPr>
        <w:t>编制人员</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名</w:t>
      </w:r>
      <w:r>
        <w:rPr>
          <w:rFonts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314.87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314.87</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101.42</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按照政府过紧日子要求，各项运转经费减少，且</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有人员退休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，相应人员支出减少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314.87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16.7</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4.93</w:t>
      </w:r>
      <w:r>
        <w:rPr>
          <w:rFonts w:hint="default" w:ascii="Times New Roman" w:hAnsi="Times New Roman" w:eastAsia="方正仿宋_GBK" w:cs="Times New Roman"/>
          <w:i w:val="0"/>
          <w:iCs w:val="0"/>
          <w:caps w:val="0"/>
          <w:color w:val="333333"/>
          <w:spacing w:val="0"/>
          <w:sz w:val="32"/>
          <w:szCs w:val="32"/>
          <w:u w:val="none"/>
          <w:shd w:val="clear" w:fill="FFFFFF"/>
        </w:rPr>
        <w:t>万元，农林水支出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288.73万元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101.42</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30.62</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70.80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314.87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314.87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101.42</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95.22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30.62</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是人员经费及公用经费减少等，主要用于保障在职人员工资福利及社会保险缴费，离休人员离休费，退休人员补助等，保障部门正常运转的各项商品服务支出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219.65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70.80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部分农林水项目减少，相应支出减少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镇农业服务中心（特色产业发展中心）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万元，与2023年持平；公务接待费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是本单位为事业单位，不在机关运行经费统计范围之内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219.65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w:t>
      </w:r>
      <w:bookmarkStart w:id="0" w:name="_GoBack"/>
      <w:bookmarkEnd w:id="0"/>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曾怡       </w:t>
      </w:r>
      <w:r>
        <w:rPr>
          <w:rFonts w:hint="eastAsia" w:ascii="方正仿宋_GBK" w:hAnsi="方正仿宋_GBK" w:eastAsia="方正仿宋_GBK" w:cs="方正仿宋_GBK"/>
          <w:sz w:val="32"/>
          <w:szCs w:val="32"/>
          <w:lang w:eastAsia="zh-CN"/>
        </w:rPr>
        <w:t>联系方式：</w:t>
      </w:r>
      <w:r>
        <w:rPr>
          <w:rFonts w:hint="default" w:ascii="Times New Roman" w:hAnsi="Times New Roman" w:eastAsia="方正仿宋_GBK" w:cs="Times New Roman"/>
          <w:sz w:val="32"/>
          <w:szCs w:val="32"/>
          <w:lang w:val="en-US" w:eastAsia="zh-CN"/>
        </w:rPr>
        <w:t>02376</w:t>
      </w:r>
      <w:r>
        <w:rPr>
          <w:rFonts w:hint="eastAsia" w:ascii="Times New Roman" w:hAnsi="Times New Roman" w:eastAsia="方正仿宋_GBK" w:cs="Times New Roman"/>
          <w:sz w:val="32"/>
          <w:szCs w:val="32"/>
          <w:lang w:val="en-US" w:eastAsia="zh-CN"/>
        </w:rPr>
        <w:t>643180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D47753A"/>
    <w:rsid w:val="10EA445F"/>
    <w:rsid w:val="14D1325F"/>
    <w:rsid w:val="198F6E75"/>
    <w:rsid w:val="1B1625F6"/>
    <w:rsid w:val="1C365209"/>
    <w:rsid w:val="1D87091B"/>
    <w:rsid w:val="1DC44A3C"/>
    <w:rsid w:val="2340333C"/>
    <w:rsid w:val="23A30B7F"/>
    <w:rsid w:val="25170A28"/>
    <w:rsid w:val="3AC739EF"/>
    <w:rsid w:val="44AC4783"/>
    <w:rsid w:val="47E12F43"/>
    <w:rsid w:val="490E5B0E"/>
    <w:rsid w:val="4E0D644A"/>
    <w:rsid w:val="5BB170CB"/>
    <w:rsid w:val="5F424B60"/>
    <w:rsid w:val="67C47E6E"/>
    <w:rsid w:val="68480129"/>
    <w:rsid w:val="710F3952"/>
    <w:rsid w:val="71774FB6"/>
    <w:rsid w:val="735F34F3"/>
    <w:rsid w:val="768E4735"/>
    <w:rsid w:val="7BAF3E73"/>
    <w:rsid w:val="7F7B055E"/>
    <w:rsid w:val="7FBD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2024-04-07T06:39:21Z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D8068FAE1BA249889643B3796C3899B0</vt:lpwstr>
  </property>
</Properties>
</file>