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镇财政办公室202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财政</w:t>
      </w:r>
      <w:r>
        <w:rPr>
          <w:rFonts w:hint="default" w:ascii="Times New Roman" w:hAnsi="Times New Roman" w:eastAsia="方正仿宋_GBK" w:cs="Times New Roman"/>
          <w:i w:val="0"/>
          <w:iCs w:val="0"/>
          <w:caps w:val="0"/>
          <w:color w:val="333333"/>
          <w:spacing w:val="0"/>
          <w:sz w:val="32"/>
          <w:szCs w:val="32"/>
          <w:shd w:val="clear" w:fill="FFFFFF"/>
        </w:rPr>
        <w:t>方面相关的事务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创新经济社会发展环境，为经济社会发展提供良好发展空间和便捷服务，重点履行社会管理和公共服务职能，促进辖区物质文明、精神文明和政治文明建设协调发展。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承办镇党委、镇政府交办的其他工作。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镇财政办公室为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参公</w:t>
      </w:r>
      <w:r>
        <w:rPr>
          <w:rFonts w:hint="default" w:ascii="Times New Roman" w:hAnsi="Times New Roman" w:eastAsia="方正仿宋_GBK" w:cs="Times New Roman"/>
          <w:i w:val="0"/>
          <w:iCs w:val="0"/>
          <w:caps w:val="0"/>
          <w:color w:val="333333"/>
          <w:spacing w:val="0"/>
          <w:sz w:val="32"/>
          <w:szCs w:val="32"/>
          <w:shd w:val="clear" w:fill="FFFFFF"/>
        </w:rPr>
        <w:t>事业编制人员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5.67</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本年度在职人员工资福利待遇预算更加精确，人员支出预算较去年减少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65.67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48.17</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8.47</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4.25</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万元，项目支出</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65.67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65.67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65.67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本年度在职人员工资福利待遇预算更加精确，人员支出预算较去年减少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保障在职人员工资福利及社会保险缴费，离休人员离休费，退休人员补助等</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本单位2024年无项目支出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镇财政办公室</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lang w:eastAsia="zh-CN"/>
        </w:rPr>
        <w:t>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7.07</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办公费用</w:t>
      </w:r>
      <w:bookmarkStart w:id="0" w:name="_GoBack"/>
      <w:bookmarkEnd w:id="0"/>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eastAsia="zh-CN"/>
        </w:rPr>
        <w:t>镇财政办公室</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w:t>
      </w:r>
      <w:r>
        <w:rPr>
          <w:rFonts w:hint="eastAsia" w:ascii="Times New Roman" w:hAnsi="Times New Roman" w:eastAsia="方正仿宋_GBK" w:cs="Times New Roman"/>
          <w:sz w:val="32"/>
          <w:szCs w:val="32"/>
          <w:lang w:val="en-US" w:eastAsia="zh-CN"/>
        </w:rPr>
        <w:t>643180</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4D1325F"/>
    <w:rsid w:val="16087C8B"/>
    <w:rsid w:val="198F6E75"/>
    <w:rsid w:val="1B1625F6"/>
    <w:rsid w:val="1C365209"/>
    <w:rsid w:val="1D87091B"/>
    <w:rsid w:val="2340333C"/>
    <w:rsid w:val="31D5720A"/>
    <w:rsid w:val="44AC4783"/>
    <w:rsid w:val="47E12F43"/>
    <w:rsid w:val="490E5B0E"/>
    <w:rsid w:val="4E0D644A"/>
    <w:rsid w:val="55E77242"/>
    <w:rsid w:val="5BB170CB"/>
    <w:rsid w:val="5F424B60"/>
    <w:rsid w:val="67C47E6E"/>
    <w:rsid w:val="68480129"/>
    <w:rsid w:val="6D2540EF"/>
    <w:rsid w:val="710F3952"/>
    <w:rsid w:val="71774FB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2024-04-07T03:25:33Z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D1A3FD6E146749FE8260A21E587D9569</vt:lpwstr>
  </property>
</Properties>
</file>