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重庆市秀山土家族苗族自治县里仁镇人民政府</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部门</w:t>
      </w:r>
      <w:r>
        <w:rPr>
          <w:rStyle w:val="9"/>
          <w:rFonts w:ascii="黑体" w:hAnsi="黑体" w:eastAsia="黑体" w:cs="黑体"/>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ascii="楷体" w:hAnsi="楷体" w:eastAsia="楷体" w:cs="楷体"/>
          <w:sz w:val="32"/>
          <w:szCs w:val="32"/>
          <w:shd w:val="clear" w:color="auto" w:fill="FFFFFF"/>
        </w:rPr>
      </w:pPr>
      <w:r>
        <w:rPr>
          <w:rStyle w:val="9"/>
          <w:rFonts w:ascii="楷体" w:hAnsi="楷体" w:eastAsia="楷体" w:cs="楷体"/>
          <w:sz w:val="32"/>
          <w:szCs w:val="32"/>
          <w:shd w:val="clear" w:color="auto" w:fill="FFFFFF"/>
        </w:rPr>
        <w:t>（一）职能职责</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textAlignment w:val="auto"/>
        <w:rPr>
          <w:rStyle w:val="9"/>
          <w:rFonts w:hint="default" w:ascii="楷体" w:hAnsi="楷体" w:eastAsia="楷体" w:cs="楷体"/>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乡镇党政</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"http://www.so.com/s?q=%E6%9C%BA%E6%9E%84&amp;ie=utf-8&amp;src=internal_wenda_recommend_textn"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机构</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具有</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"http://www.so.com/s?q=%E5%85%9A%E5%A7%94&amp;ie=utf-8&amp;src=internal_wenda_recommend_textn"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党委</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"http://www.so.com/s?q=%E6%94%BF%E5%BA%9C&amp;ie=utf-8&amp;src=internal_wenda_recommend_textn"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政府</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两种</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"http://www.so.com/s?q=%E8%81%8C%E8%83%BD&amp;ie=utf-8&amp;src=internal_wenda_recommend_textn"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职能</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，党委</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"http://www.so.com/s?q=%E9%A2%86%E5%AF%BC&amp;ie=utf-8&amp;src=internal_wenda_recommend_textn"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领导</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政府工作，主要是</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"http://www.so.com/s?q=%E6%94%BF%E6%B2%BB%E6%80%9D%E6%83%B3&amp;ie=utf-8&amp;src=internal_wenda_recommend_textn"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政治思想</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和方针</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"http://www.so.com/s?q=%E6%94%BF%E7%AD%96&amp;ie=utf-8&amp;src=internal_wenda_recommend_textn"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政策</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的领导，</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"http://www.so.com/s?q=%E5%B9%B2%E9%83%A8&amp;ie=utf-8&amp;src=internal_wenda_recommend_textn"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干部</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的选拔，考核和监督，</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"http://www.so.com/s?q=%E7%BB%8F%E6%B5%8E&amp;ie=utf-8&amp;src=internal_wenda_recommend_textn"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经济</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和行政工作中重大问题的</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"http://www.so.com/s?q=%E5%86%B3%E7%AD%96&amp;ie=utf-8&amp;src=internal_wenda_recommend_textn"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决策</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"http://www.so.com/s?q=%E4%B9%A1%E6%94%BF%E5%BA%9C&amp;ie=utf-8&amp;src=internal_wenda_recommend_textn"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乡镇政府</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"http://www.so.com/s?q=%E5%9F%BA%E5%B1%82&amp;ie=utf-8&amp;src=internal_wenda_recommend_textn"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基层</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"http://www.so.com/s?q=%E5%9B%BD%E5%AE%B6%E8%A1%8C%E6%94%BF%E6%9C%BA%E5%85%B3&amp;ie=utf-8&amp;src=internal_wenda_recommend_textn"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国家行政机关</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，行使本</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"http://www.so.com/s?q=%E8%A1%8C%E6%94%BF%E5%8C%BA&amp;ie=utf-8&amp;src=internal_wenda_recommend_textn"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行政区</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"http://www.so.com/s?q=%E8%A1%8C%E6%94%BF%E8%81%8C%E8%83%BD&amp;ie=utf-8&amp;src=internal_wenda_recommend_textn"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行政职能</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0"/>
          <w:szCs w:val="30"/>
          <w:shd w:val="clear" w:color="auto" w:fill="FFFFFF"/>
          <w:lang w:eastAsia="zh-CN"/>
        </w:rPr>
        <w:br w:type="textWrapping"/>
      </w:r>
      <w:r>
        <w:rPr>
          <w:rFonts w:hint="eastAsia" w:ascii="方正仿宋_GBK" w:hAnsi="方正仿宋_GBK" w:eastAsia="方正仿宋_GBK" w:cs="方正仿宋_GBK"/>
          <w:sz w:val="30"/>
          <w:szCs w:val="30"/>
          <w:shd w:val="clear" w:color="auto" w:fill="FFFFFF"/>
          <w:lang w:val="en-US" w:eastAsia="zh-CN"/>
        </w:rPr>
        <w:t xml:space="preserve">     </w:t>
      </w:r>
      <w:r>
        <w:rPr>
          <w:rFonts w:hint="eastAsia" w:ascii="Times New Roman" w:hAnsi="Times New Roman" w:eastAsia="方正仿宋_GBK" w:cs="Times New Roman"/>
          <w:sz w:val="32"/>
          <w:szCs w:val="32"/>
          <w:shd w:val="clear" w:color="auto" w:fill="FFFFFF"/>
          <w:lang w:val="en-US" w:eastAsia="zh-CN"/>
        </w:rPr>
        <w:t>1.党</w:t>
      </w:r>
      <w:r>
        <w:rPr>
          <w:rFonts w:hint="eastAsia" w:ascii="方正仿宋_GBK" w:hAnsi="方正仿宋_GBK" w:eastAsia="方正仿宋_GBK" w:cs="方正仿宋_GBK"/>
          <w:sz w:val="32"/>
          <w:szCs w:val="32"/>
          <w:shd w:val="clear" w:color="auto" w:fill="FFFFFF"/>
          <w:lang w:eastAsia="zh-CN"/>
        </w:rPr>
        <w:t>委工作职责：（</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）保证党的路线、</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"http://www.so.com/s?q=%E6%96%B9%E9%92%88&amp;ie=utf-8&amp;src=internal_wenda_recommend_textn"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方针</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、政策的坚决贯彻执行。（</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）保证监督职能。（</w:t>
      </w:r>
      <w:r>
        <w:rPr>
          <w:rFonts w:hint="eastAsia" w:ascii="Times New Roman" w:hAnsi="Times New Roman" w:eastAsia="方正仿宋_GBK" w:cs="Times New Roman"/>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）教育和管理职能。（</w:t>
      </w:r>
      <w:r>
        <w:rPr>
          <w:rFonts w:hint="eastAsia"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服从和服务于经济建设的职能。（</w:t>
      </w:r>
      <w:r>
        <w:rPr>
          <w:rFonts w:hint="eastAsia" w:ascii="Times New Roman" w:hAnsi="Times New Roman" w:eastAsia="方正仿宋_GBK" w:cs="Times New Roman"/>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eastAsia="zh-CN"/>
        </w:rPr>
        <w:t>）负责抓好本镇党建工作、群团工作、精神文明建设工作、新闻宣传工作。（</w:t>
      </w:r>
      <w:r>
        <w:rPr>
          <w:rFonts w:hint="eastAsia" w:ascii="Times New Roman" w:hAnsi="Times New Roman" w:eastAsia="方正仿宋_GBK" w:cs="Times New Roman"/>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lang w:eastAsia="zh-CN"/>
        </w:rPr>
        <w:t>）完成县委、</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"http://www.so.com/s?q=%E5%B8%82%E6%94%BF%E5%BA%9C&amp;ie=utf-8&amp;src=internal_wenda_recommend_textn"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县政府</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交给的其他工作任务。</w:t>
      </w:r>
      <w:r>
        <w:rPr>
          <w:rFonts w:hint="eastAsia" w:ascii="方正仿宋_GBK" w:hAnsi="方正仿宋_GBK" w:eastAsia="方正仿宋_GBK" w:cs="方正仿宋_GBK"/>
          <w:sz w:val="32"/>
          <w:szCs w:val="32"/>
          <w:shd w:val="clear" w:color="auto" w:fill="FFFFFF"/>
          <w:lang w:eastAsia="zh-CN"/>
        </w:rPr>
        <w:br w:type="textWrapping"/>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政府职能：（</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）制定和</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"http://www.so.com/s?q=%E7%BB%84%E7%BB%87&amp;ie=utf-8&amp;src=internal_wenda_recommend_textn"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组织</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实施经济、科技和</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"http://www.so.com/s?q=%E7%A4%BE%E4%BC%9A%E5%8F%91%E5%B1%95&amp;ie=utf-8&amp;src=internal_wenda_recommend_textn"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社会发展</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"http://www.so.com/s?q=%E8%AE%A1%E5%88%92&amp;ie=utf-8&amp;src=internal_wenda_recommend_textn"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计划</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，制定</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"http://www.so.com/s?q=%E8%B5%84%E6%BA%90%E5%BC%80%E5%8F%91&amp;ie=utf-8&amp;src=internal_wenda_recommend_textn"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资源开发</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技术改造和</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"http://www.so.com/s?q=%E4%BA%A7%E4%B8%9A%E7%BB%93%E6%9E%84&amp;ie=utf-8&amp;src=internal_wenda_recommend_textn"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产业结构</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调整方案，组织指导好各业生产，搞好商品流通，协调好本镇与外</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"http://www.so.com/s?q=%E5%9C%B0%E5%8C%BA&amp;ie=utf-8&amp;src=internal_wenda_recommend_textn"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地区</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的经济交流与合作，抓好招商引资，</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"http://www.so.com/s?q=%E4%BA%BA%E6%89%8D&amp;ie=utf-8&amp;src=internal_wenda_recommend_textn"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人才</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"http://www.so.com/s?q=%E5%BC%95%E8%BF%9B%E9%A1%B9%E7%9B%AE&amp;ie=utf-8&amp;src=internal_wenda_recommend_textn"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引进项目</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开发，不断培育</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"http://www.so.com/s?q=%E5%B8%82%E5%9C%BA%E4%BD%93%E7%B3%BB&amp;ie=utf-8&amp;src=internal_wenda_recommend_textn"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市场体系</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，组织经济运行，促进经济发展。（</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）制定并组织实施村镇建设</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"http://www.so.com/s?q=%E8%A7%84%E5%88%92&amp;ie=utf-8&amp;src=internal_wenda_recommend_textn"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规划</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，部署重点工程建设，地方道路建设及</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"http://www.so.com/s?q=%E5%85%AC%E5%85%B1%E8%AE%BE%E6%96%BD&amp;ie=utf-8&amp;src=internal_wenda_recommend_textn"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公共设施</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"http://www.so.com/s?q=%E6%B0%B4%E5%88%A9%E8%AE%BE%E6%96%BD&amp;ie=utf-8&amp;src=internal_wenda_recommend_textn"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水利设施</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的管理，负责</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"http://www.so.com/s?q=%E5%9C%9F%E5%9C%B0&amp;ie=utf-8&amp;src=internal_wenda_recommend_textn"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土地</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、林木、水等自然资源和</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"http://www.so.com/s?q=%E7%94%9F%E6%80%81%E7%8E%AF%E5%A2%83&amp;ie=utf-8&amp;src=internal_wenda_recommend_textn"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生态环境</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的保护，做好护林防火工作。（</w:t>
      </w:r>
      <w:r>
        <w:rPr>
          <w:rFonts w:hint="eastAsia" w:ascii="Times New Roman" w:hAnsi="Times New Roman" w:eastAsia="方正仿宋_GBK" w:cs="Times New Roman"/>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）负责本行政区域内的</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"http://www.so.com/s?q=%E6%B0%91%E6%94%BF&amp;ie=utf-8&amp;src=internal_wenda_recommend_textn"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民政</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"http://www.so.com/s?q=%E8%AE%A1%E5%88%92%E7%94%9F%E8%82%B2&amp;ie=utf-8&amp;src=internal_wenda_recommend_textn"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计划生育</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、文化教育、卫生、体育等</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"http://www.so.com/s?q=%E7%A4%BE%E4%BC%9A&amp;ie=utf-8&amp;src=internal_wenda_recommend_textn"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社会</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"http://www.so.com/s?q=%E5%85%AC%E7%9B%8A%E4%BA%8B%E4%B8%9A&amp;ie=utf-8&amp;src=internal_wenda_recommend_textn"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公益事业</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的综合性工作，维护一切经济单位和个人的正当经济</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"http://www.so.com/s?q=%E6%9D%83%E7%9B%8A&amp;ie=utf-8&amp;src=internal_wenda_recommend_textn"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权益</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，取缔非法</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"http://www.so.com/s?q=%E7%BB%8F%E6%B5%8E%E6%B4%BB%E5%8A%A8&amp;ie=utf-8&amp;src=internal_wenda_recommend_textn"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经济活动</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，调解和处理</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"http://www.so.com/s?q=%E6%B0%91%E4%BA%8B%E7%BA%A0%E7%BA%B7&amp;ie=utf-8&amp;src=internal_wenda_recommend_textn"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民事纠纷</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，打击刑事犯罪维护社会稳定。（</w:t>
      </w:r>
      <w:r>
        <w:rPr>
          <w:rFonts w:hint="eastAsia"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）按计划组织</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"http://www.so.com/s?q=%E6%9C%AC%E7%BA%A7%E8%B4%A2%E6%94%BF%E6%94%B6%E5%85%A5&amp;ie=utf-8&amp;src=internal_wenda_recommend_textn"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本级财政收入</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"http://www.so.com/s?q=%E5%9C%B0%E6%96%B9%E7%A8%8E&amp;ie=utf-8&amp;src=internal_wenda_recommend_textn"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地方税</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的征收，完成</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"http://www.so.com/s?q=%E5%9B%BD%E5%AE%B6%E8%B4%A2%E6%94%BF&amp;ie=utf-8&amp;src=internal_wenda_recommend_textn"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国家财政</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计划，不断培植</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"http://www.so.com/s?q=%E7%A8%8E%E6%BA%90&amp;ie=utf-8&amp;src=internal_wenda_recommend_textn"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税源</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，管好</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"http://www.so.com/s?q=%E8%B4%A2%E6%94%BF%E8%B5%84%E9%87%91&amp;ie=utf-8&amp;src=internal_wenda_recommend_textn"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财政资金</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，增强财政实力。（</w:t>
      </w:r>
      <w:r>
        <w:rPr>
          <w:rFonts w:hint="eastAsia" w:ascii="Times New Roman" w:hAnsi="Times New Roman" w:eastAsia="方正仿宋_GBK" w:cs="Times New Roman"/>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eastAsia="zh-CN"/>
        </w:rPr>
        <w:t>）抓好精神文明建设，丰富</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"http://www.so.com/s?q=%E7%BE%A4%E4%BC%97%E6%96%87%E5%8C%96&amp;ie=utf-8&amp;src=internal_wenda_recommend_textn"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群众文化</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生活，提倡移风易俗，反对封建迷信，破除陈规陋习，树立</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"http://www.so.com/s?q=%E7%A4%BE%E4%BC%9A%E4%B8%BB%E4%B9%89&amp;ie=utf-8&amp;src=internal_wenda_recommend_textn"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社会主义</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新风尚。（</w:t>
      </w:r>
      <w:r>
        <w:rPr>
          <w:rFonts w:hint="eastAsia" w:ascii="Times New Roman" w:hAnsi="Times New Roman" w:eastAsia="方正仿宋_GBK" w:cs="Times New Roman"/>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lang w:eastAsia="zh-CN"/>
        </w:rPr>
        <w:t>）完成上级政府交办的其它</w:t>
      </w:r>
      <w:r>
        <w:rPr>
          <w:rFonts w:hint="eastAsia" w:ascii="方正仿宋_GBK" w:hAnsi="方正仿宋_GBK" w:eastAsia="方正仿宋_GBK" w:cs="方正仿宋_GBK"/>
          <w:sz w:val="32"/>
          <w:szCs w:val="32"/>
          <w:shd w:val="clear" w:color="auto" w:fill="FFFFFF"/>
          <w:lang w:eastAsia="zh-CN"/>
        </w:rPr>
        <w:fldChar w:fldCharType="begin"/>
      </w:r>
      <w:r>
        <w:rPr>
          <w:rFonts w:hint="eastAsia" w:ascii="方正仿宋_GBK" w:hAnsi="方正仿宋_GBK" w:eastAsia="方正仿宋_GBK" w:cs="方正仿宋_GBK"/>
          <w:sz w:val="32"/>
          <w:szCs w:val="32"/>
          <w:shd w:val="clear" w:color="auto" w:fill="FFFFFF"/>
          <w:lang w:eastAsia="zh-CN"/>
        </w:rPr>
        <w:instrText xml:space="preserve"> HYPERLINK "http://www.so.com/s?q=%E4%BA%8B%E9%A1%B9&amp;ie=utf-8&amp;src=internal_wenda_recommend_textn" \t "https://wenda.so.com/q/_blank" </w:instrText>
      </w:r>
      <w:r>
        <w:rPr>
          <w:rFonts w:hint="eastAsia" w:ascii="方正仿宋_GBK" w:hAnsi="方正仿宋_GBK" w:eastAsia="方正仿宋_GBK" w:cs="方正仿宋_GBK"/>
          <w:sz w:val="32"/>
          <w:szCs w:val="32"/>
          <w:shd w:val="clear" w:color="auto" w:fill="FFFFFF"/>
          <w:lang w:eastAsia="zh-CN"/>
        </w:rPr>
        <w:fldChar w:fldCharType="separate"/>
      </w:r>
      <w:r>
        <w:rPr>
          <w:rFonts w:hint="eastAsia" w:ascii="方正仿宋_GBK" w:hAnsi="方正仿宋_GBK" w:eastAsia="方正仿宋_GBK" w:cs="方正仿宋_GBK"/>
          <w:sz w:val="32"/>
          <w:szCs w:val="32"/>
          <w:shd w:val="clear" w:color="auto" w:fill="FFFFFF"/>
          <w:lang w:eastAsia="zh-CN"/>
        </w:rPr>
        <w:t>事项</w:t>
      </w:r>
      <w:r>
        <w:rPr>
          <w:rFonts w:hint="eastAsia" w:ascii="方正仿宋_GBK" w:hAnsi="方正仿宋_GBK" w:eastAsia="方正仿宋_GBK" w:cs="方正仿宋_GBK"/>
          <w:sz w:val="32"/>
          <w:szCs w:val="32"/>
          <w:shd w:val="clear" w:color="auto" w:fill="FFFFFF"/>
          <w:lang w:eastAsia="zh-CN"/>
        </w:rPr>
        <w:fldChar w:fldCharType="end"/>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党政综合办事机构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党政办公室、社会治安综合治理委员会办公室、经济发展办公室、社会事务办公室。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党政综合办事机构职责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）党政办公室主要承担党的建设、目标管理、文秘等方面职责；负责应急、机要、保密、信息及办公自动化建设等工作；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经济发展办公室主要承担经济发展规划与指导服务、社会经济统计、农村经营管理、扶贫开发、商业网点建设、第三产业的发展及行政管理、科技工作和科技普及等工作。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）社会事务办公室主要承担民政、教育、卫生、人口和计划生育、文化教育、广播电视、社会救济、残疾人事业、劳动和社会保障、新农村合作医疗、劳务输出、社会管理等方面的职责；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）社会治安综合管理办公室主要承担政法、社会治安综合治理、安全稳定、信访等方面的职责；</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党委、武装部、工会、团委、妇联等及其职责按照有关章程规定设置和明确。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事业单位</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00" w:afterAutospacing="0" w:line="560" w:lineRule="exact"/>
        <w:ind w:left="0" w:leftChars="0" w:right="0" w:rightChars="0"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秀山土家族苗族自治县里仁镇农业服务中心、秀山土家族苗族自治县里仁镇文化服务中心、秀山土家族苗族自治县里仁镇财政办、秀山土家族苗族自治县里仁镇人力资源和社会保障服务中心。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部门</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1978.35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收、支与2023年度相比，增加57.96万元，增长3.0%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我单位落实乡村振兴政策，加大对黄精、山银花产业项目管护及农田水利设施维护投入。</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1978.35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与2023年度相比，增加92.44万元，增长4.9%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我单位落实乡村振兴政策，加大对黄精、山银花产业项目管护及农田水利设施维护投入。</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1978.35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1978.35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与2023年度相比，增加57.96万元，增长3.0%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我单位落实乡村振兴政策，加大对黄精、山银花产业项目管护及农田水利设施维护投入。</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974.64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1003.71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方正仿宋_GBK" w:hAnsi="方正仿宋_GBK" w:eastAsia="方正仿宋_GBK" w:cs="方正仿宋_GBK"/>
          <w:sz w:val="32"/>
          <w:szCs w:val="32"/>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 w:cs="方正仿宋"/>
          <w:i w:val="0"/>
          <w:caps w:val="0"/>
          <w:color w:val="333333"/>
          <w:spacing w:val="0"/>
          <w:sz w:val="32"/>
          <w:szCs w:val="32"/>
          <w:shd w:val="clear" w:fill="FFFFFF"/>
          <w:lang w:val="en-US" w:eastAsia="zh-CN"/>
        </w:rPr>
        <w:t>2024年预算内资金支付效率高，年终无结转结余。</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1978.35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财政拨款收、支总计各增加57.96万元，增长3.0%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我单位落实乡村振兴政策，加大对黄精、山银花产业项目管护及农田水利设施维护投入。</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1978.35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与2023年度相比，增加94.44万元，增长5.0%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我单位落实乡村振兴政策，加大对黄精、山银花产业项目管护及农田水利设施维护投入。</w:t>
      </w:r>
      <w:r>
        <w:rPr>
          <w:rFonts w:hint="default" w:ascii="Times New Roman" w:hAnsi="Times New Roman" w:eastAsia="方正仿宋_GBK"/>
          <w:sz w:val="32"/>
          <w:szCs w:val="32"/>
          <w:shd w:val="clear" w:color="auto" w:fill="FFFFFF"/>
        </w:rPr>
        <w:t>较年初预算数增加575.04万元，增长41.0%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年中追加里仁镇</w:t>
      </w:r>
      <w:r>
        <w:rPr>
          <w:rFonts w:hint="eastAsia"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年上川村吊瓜集散分拨中心建设项目-渝财行政</w:t>
      </w:r>
      <w:r>
        <w:rPr>
          <w:rFonts w:hint="eastAsia" w:ascii="Times New Roman" w:hAnsi="Times New Roman" w:eastAsia="方正仿宋_GBK"/>
          <w:sz w:val="32"/>
          <w:szCs w:val="32"/>
          <w:shd w:val="clear" w:color="auto" w:fill="FFFFFF"/>
          <w:lang w:eastAsia="zh-CN"/>
        </w:rPr>
        <w:t>〔2024〕22</w:t>
      </w:r>
      <w:r>
        <w:rPr>
          <w:rFonts w:hint="eastAsia" w:ascii="方正仿宋_GBK" w:hAnsi="方正仿宋_GBK" w:eastAsia="方正仿宋_GBK" w:cs="方正仿宋_GBK"/>
          <w:sz w:val="32"/>
          <w:szCs w:val="32"/>
          <w:shd w:val="clear" w:color="auto" w:fill="FFFFFF"/>
          <w:lang w:eastAsia="zh-CN"/>
        </w:rPr>
        <w:t>号、里仁镇南庄村</w:t>
      </w:r>
      <w:r>
        <w:rPr>
          <w:rFonts w:hint="eastAsia"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年庭院经济发展项目[-]-渝财农</w:t>
      </w:r>
      <w:r>
        <w:rPr>
          <w:rFonts w:hint="eastAsia" w:ascii="Times New Roman" w:hAnsi="Times New Roman" w:eastAsia="方正仿宋_GBK"/>
          <w:sz w:val="32"/>
          <w:szCs w:val="32"/>
          <w:shd w:val="clear" w:color="auto" w:fill="FFFFFF"/>
          <w:lang w:eastAsia="zh-CN"/>
        </w:rPr>
        <w:t>〔2023〕146</w:t>
      </w:r>
      <w:r>
        <w:rPr>
          <w:rFonts w:hint="eastAsia" w:ascii="方正仿宋_GBK" w:hAnsi="方正仿宋_GBK" w:eastAsia="方正仿宋_GBK" w:cs="方正仿宋_GBK"/>
          <w:sz w:val="32"/>
          <w:szCs w:val="32"/>
          <w:shd w:val="clear" w:color="auto" w:fill="FFFFFF"/>
          <w:lang w:eastAsia="zh-CN"/>
        </w:rPr>
        <w:t>号、里仁镇</w:t>
      </w:r>
      <w:r>
        <w:rPr>
          <w:rFonts w:hint="eastAsia"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年易地扶贫搬迁集中安置点基础设施建设项目[-]-渝财农</w:t>
      </w:r>
      <w:r>
        <w:rPr>
          <w:rFonts w:hint="eastAsia" w:ascii="Times New Roman" w:hAnsi="Times New Roman" w:eastAsia="方正仿宋_GBK"/>
          <w:sz w:val="32"/>
          <w:szCs w:val="32"/>
          <w:shd w:val="clear" w:color="auto" w:fill="FFFFFF"/>
          <w:lang w:eastAsia="zh-CN"/>
        </w:rPr>
        <w:t>〔2023〕146</w:t>
      </w:r>
      <w:r>
        <w:rPr>
          <w:rFonts w:hint="eastAsia" w:ascii="方正仿宋_GBK" w:hAnsi="方正仿宋_GBK" w:eastAsia="方正仿宋_GBK" w:cs="方正仿宋_GBK"/>
          <w:sz w:val="32"/>
          <w:szCs w:val="32"/>
          <w:shd w:val="clear" w:color="auto" w:fill="FFFFFF"/>
          <w:lang w:eastAsia="zh-CN"/>
        </w:rPr>
        <w:t>号</w:t>
      </w:r>
      <w:r>
        <w:rPr>
          <w:rFonts w:hint="eastAsia" w:ascii="方正仿宋_GBK" w:hAnsi="方正仿宋_GBK" w:eastAsia="方正仿宋_GBK" w:cs="方正仿宋_GBK"/>
          <w:sz w:val="32"/>
          <w:szCs w:val="32"/>
          <w:lang w:val="en-US" w:eastAsia="zh-CN"/>
        </w:rPr>
        <w:t>等项目指标。</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lang w:eastAsia="zh-CN"/>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1978.35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与2023年度相比，增加59.96万元，增长3.1%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我单位落实乡村振兴政策，加大对黄精、山银花产业项目管护及农田水利设施维护投入。</w:t>
      </w:r>
      <w:r>
        <w:rPr>
          <w:rFonts w:hint="default" w:ascii="Times New Roman" w:hAnsi="Times New Roman" w:eastAsia="方正仿宋_GBK"/>
          <w:sz w:val="32"/>
          <w:szCs w:val="32"/>
          <w:shd w:val="clear" w:color="auto" w:fill="FFFFFF"/>
        </w:rPr>
        <w:t>较年初预算数增加575.04万元，增长41.0%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年中追加里仁镇</w:t>
      </w:r>
      <w:r>
        <w:rPr>
          <w:rFonts w:hint="eastAsia"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年上川村吊瓜集散分拨中心建设项目-渝财行政</w:t>
      </w:r>
      <w:r>
        <w:rPr>
          <w:rFonts w:hint="eastAsia" w:ascii="Times New Roman" w:hAnsi="Times New Roman" w:eastAsia="方正仿宋_GBK"/>
          <w:sz w:val="32"/>
          <w:szCs w:val="32"/>
          <w:shd w:val="clear" w:color="auto" w:fill="FFFFFF"/>
          <w:lang w:eastAsia="zh-CN"/>
        </w:rPr>
        <w:t>〔2024〕22</w:t>
      </w:r>
      <w:r>
        <w:rPr>
          <w:rFonts w:hint="eastAsia" w:ascii="方正仿宋_GBK" w:hAnsi="方正仿宋_GBK" w:eastAsia="方正仿宋_GBK" w:cs="方正仿宋_GBK"/>
          <w:sz w:val="32"/>
          <w:szCs w:val="32"/>
          <w:shd w:val="clear" w:color="auto" w:fill="FFFFFF"/>
          <w:lang w:eastAsia="zh-CN"/>
        </w:rPr>
        <w:t>号、里仁镇南庄村</w:t>
      </w:r>
      <w:r>
        <w:rPr>
          <w:rFonts w:hint="eastAsia"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年庭院经济发展项目[-]-渝财农</w:t>
      </w:r>
      <w:r>
        <w:rPr>
          <w:rFonts w:hint="eastAsia" w:ascii="Times New Roman" w:hAnsi="Times New Roman" w:eastAsia="方正仿宋_GBK"/>
          <w:sz w:val="32"/>
          <w:szCs w:val="32"/>
          <w:shd w:val="clear" w:color="auto" w:fill="FFFFFF"/>
          <w:lang w:eastAsia="zh-CN"/>
        </w:rPr>
        <w:t>〔2023〕146</w:t>
      </w:r>
      <w:r>
        <w:rPr>
          <w:rFonts w:hint="eastAsia" w:ascii="方正仿宋_GBK" w:hAnsi="方正仿宋_GBK" w:eastAsia="方正仿宋_GBK" w:cs="方正仿宋_GBK"/>
          <w:sz w:val="32"/>
          <w:szCs w:val="32"/>
          <w:shd w:val="clear" w:color="auto" w:fill="FFFFFF"/>
          <w:lang w:eastAsia="zh-CN"/>
        </w:rPr>
        <w:t>号、里仁镇</w:t>
      </w:r>
      <w:r>
        <w:rPr>
          <w:rFonts w:hint="eastAsia"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年易地扶贫搬迁集中安置点基础设施建设项目[-]-渝财农</w:t>
      </w:r>
      <w:r>
        <w:rPr>
          <w:rFonts w:hint="eastAsia" w:ascii="Times New Roman" w:hAnsi="Times New Roman" w:eastAsia="方正仿宋_GBK"/>
          <w:sz w:val="32"/>
          <w:szCs w:val="32"/>
          <w:shd w:val="clear" w:color="auto" w:fill="FFFFFF"/>
          <w:lang w:eastAsia="zh-CN"/>
        </w:rPr>
        <w:t>〔2023〕146</w:t>
      </w:r>
      <w:r>
        <w:rPr>
          <w:rFonts w:hint="eastAsia" w:ascii="方正仿宋_GBK" w:hAnsi="方正仿宋_GBK" w:eastAsia="方正仿宋_GBK" w:cs="方正仿宋_GBK"/>
          <w:sz w:val="32"/>
          <w:szCs w:val="32"/>
          <w:shd w:val="clear" w:color="auto" w:fill="FFFFFF"/>
          <w:lang w:eastAsia="zh-CN"/>
        </w:rPr>
        <w:t>号</w:t>
      </w:r>
      <w:r>
        <w:rPr>
          <w:rFonts w:hint="eastAsia" w:ascii="方正仿宋_GBK" w:hAnsi="方正仿宋_GBK" w:eastAsia="方正仿宋_GBK" w:cs="方正仿宋_GBK"/>
          <w:sz w:val="32"/>
          <w:szCs w:val="32"/>
          <w:lang w:val="en-US" w:eastAsia="zh-CN"/>
        </w:rPr>
        <w:t>等项目指标。</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523.20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较年初预算数增加27.95万元，增长5.6%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巩固脱贫攻坚成果衔接乡村振兴等项目推进，政务服务保障及相关办公、宣传等支出增加。</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33.60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较年初预算数增加1.10万元，增长3.4%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年初民族风俗活动举办及送文化下乡活动，相关策划、推广与设备投入增加。</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190.77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较年初预算数增加10.46万元，增长5.8%</w:t>
      </w:r>
      <w:r>
        <w:rPr>
          <w:rFonts w:ascii="方正仿宋_GBK" w:hAnsi="方正仿宋_GBK" w:eastAsia="方正仿宋_GBK" w:cs="方正仿宋_GBK"/>
          <w:sz w:val="32"/>
          <w:szCs w:val="32"/>
          <w:shd w:val="clear" w:color="auto" w:fill="FFFFFF"/>
        </w:rPr>
        <w:t>，主要原因是强化脱贫人口动态帮扶</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相关补助与服务投入增加</w:t>
      </w:r>
      <w:r>
        <w:rPr>
          <w:rFonts w:hint="eastAsia" w:ascii="方正仿宋_GBK" w:hAnsi="方正仿宋_GBK" w:eastAsia="方正仿宋_GBK" w:cs="方正仿宋_GBK"/>
          <w:sz w:val="32"/>
          <w:szCs w:val="32"/>
          <w:shd w:val="clear" w:color="auto" w:fill="FFFFFF"/>
          <w:lang w:eastAsia="zh-CN"/>
        </w:rPr>
        <w:t>。</w:t>
      </w:r>
    </w:p>
    <w:p>
      <w:pPr>
        <w:pStyle w:val="7"/>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57.62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较年初预算数增加1.08万元，增长1.9%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开展医保政策宣传工作，相关宣传物料制作、活动组织等费用投入增加</w:t>
      </w:r>
      <w:r>
        <w:rPr>
          <w:rFonts w:hint="eastAsia" w:ascii="Times New Roman" w:hAnsi="Times New Roman" w:eastAsia="方正仿宋_GBK"/>
          <w:sz w:val="32"/>
          <w:szCs w:val="32"/>
          <w:shd w:val="clear" w:color="auto" w:fill="FFFFFF"/>
          <w:lang w:eastAsia="zh-CN"/>
        </w:rPr>
        <w:t>。</w:t>
      </w:r>
    </w:p>
    <w:p>
      <w:pPr>
        <w:pStyle w:val="7"/>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20.32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较年初预算数减少8.27万元，下降28.9%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我单位严格按照过紧日子要求，创建节约型政府，减少公共开支。</w:t>
      </w:r>
    </w:p>
    <w:p>
      <w:pPr>
        <w:pStyle w:val="7"/>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955.29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较年初预算数增加417.34万元，增长77.6%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年中追加里仁镇</w:t>
      </w:r>
      <w:r>
        <w:rPr>
          <w:rFonts w:hint="eastAsia"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年上川村吊瓜集散分拨中心建设项目-渝财行政</w:t>
      </w:r>
      <w:r>
        <w:rPr>
          <w:rFonts w:hint="eastAsia" w:ascii="Times New Roman" w:hAnsi="Times New Roman" w:eastAsia="方正仿宋_GBK"/>
          <w:sz w:val="32"/>
          <w:szCs w:val="32"/>
          <w:shd w:val="clear" w:color="auto" w:fill="FFFFFF"/>
          <w:lang w:eastAsia="zh-CN"/>
        </w:rPr>
        <w:t>〔2024〕22号、里仁镇南庄村2024年庭院经济发展项目[-]-渝财农</w:t>
      </w:r>
      <w:r>
        <w:rPr>
          <w:rFonts w:hint="eastAsia" w:ascii="Times New Roman" w:hAnsi="Times New Roman" w:eastAsia="方正仿宋_GBK"/>
          <w:sz w:val="32"/>
          <w:szCs w:val="32"/>
          <w:shd w:val="clear" w:color="auto" w:fill="FFFFFF"/>
          <w:lang w:val="en-US" w:eastAsia="zh-CN"/>
        </w:rPr>
        <w:t>〔2023〕146号等项目指标。</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lang w:val="en-US" w:eastAsia="zh-CN"/>
        </w:rPr>
        <w:t>（7）商业服务业</w:t>
      </w:r>
      <w:r>
        <w:rPr>
          <w:rFonts w:ascii="方正仿宋_GBK" w:hAnsi="方正仿宋_GBK" w:eastAsia="方正仿宋_GBK" w:cs="方正仿宋_GBK"/>
          <w:sz w:val="32"/>
          <w:szCs w:val="32"/>
          <w:shd w:val="clear" w:color="auto" w:fill="FFFFFF"/>
        </w:rPr>
        <w:t>等支出</w:t>
      </w:r>
      <w:r>
        <w:rPr>
          <w:rFonts w:hint="default" w:ascii="Times New Roman" w:hAnsi="Times New Roman" w:eastAsia="方正仿宋_GBK"/>
          <w:sz w:val="32"/>
          <w:szCs w:val="32"/>
          <w:shd w:val="clear" w:color="auto" w:fill="FFFFFF"/>
        </w:rPr>
        <w:t>110.00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较年初预算数增加110.00万元，增长100.0%</w:t>
      </w:r>
      <w:r>
        <w:rPr>
          <w:rFonts w:ascii="方正仿宋_GBK" w:hAnsi="方正仿宋_GBK" w:eastAsia="方正仿宋_GBK" w:cs="方正仿宋_GBK"/>
          <w:sz w:val="32"/>
          <w:szCs w:val="32"/>
          <w:shd w:val="clear" w:color="auto" w:fill="FFFFFF"/>
        </w:rPr>
        <w:t>，主要原因是2023年中央县域商业建设行动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水果集散分拨中心项目</w:t>
      </w:r>
      <w:r>
        <w:rPr>
          <w:rFonts w:hint="eastAsia" w:ascii="方正仿宋_GBK" w:hAnsi="方正仿宋_GBK" w:eastAsia="方正仿宋_GBK" w:cs="方正仿宋_GBK"/>
          <w:sz w:val="32"/>
          <w:szCs w:val="32"/>
          <w:shd w:val="clear" w:color="auto" w:fill="FFFFFF"/>
          <w:lang w:eastAsia="zh-CN"/>
        </w:rPr>
        <w:t>投入增加。</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25.00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年中追加</w:t>
      </w:r>
      <w:r>
        <w:rPr>
          <w:rFonts w:hint="eastAsia" w:ascii="Times New Roman" w:hAnsi="Times New Roman" w:eastAsia="方正仿宋_GBK" w:cs="Times New Roman"/>
          <w:sz w:val="32"/>
          <w:szCs w:val="32"/>
          <w:shd w:val="clear" w:color="auto" w:fill="FFFFFF"/>
          <w:lang w:val="en-US" w:eastAsia="zh-CN"/>
        </w:rPr>
        <w:t>2023年</w:t>
      </w:r>
      <w:r>
        <w:rPr>
          <w:rFonts w:hint="eastAsia" w:ascii="方正仿宋_GBK" w:hAnsi="方正仿宋_GBK" w:eastAsia="方正仿宋_GBK" w:cs="方正仿宋_GBK"/>
          <w:sz w:val="32"/>
          <w:szCs w:val="32"/>
          <w:lang w:eastAsia="zh-CN"/>
        </w:rPr>
        <w:t>耕地恢复补足工作奖补资金项目指标。</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62.56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较年初预算数增加3.26万元，增长5.5%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年中追加农村危房改造项目项目指标。</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w:t>
      </w:r>
      <w:r>
        <w:rPr>
          <w:rFonts w:hint="eastAsia" w:ascii="Times New Roman" w:hAnsi="Times New Roman" w:eastAsia="方正仿宋" w:cs="方正仿宋"/>
          <w:b w:val="0"/>
          <w:bCs w:val="0"/>
          <w:i w:val="0"/>
          <w:caps w:val="0"/>
          <w:color w:val="333333"/>
          <w:spacing w:val="0"/>
          <w:sz w:val="32"/>
          <w:szCs w:val="32"/>
          <w:shd w:val="clear" w:fill="FFFFFF"/>
          <w:lang w:val="en-US" w:eastAsia="zh-CN"/>
        </w:rPr>
        <w:t>年预算内资金支付效率高，无结转结余。</w:t>
      </w:r>
    </w:p>
    <w:p>
      <w:pPr>
        <w:pStyle w:val="12"/>
        <w:keepNext w:val="0"/>
        <w:keepLines w:val="0"/>
        <w:pageBreakBefore w:val="0"/>
        <w:widowControl/>
        <w:kinsoku/>
        <w:wordWrap/>
        <w:overflowPunct/>
        <w:topLinePunct w:val="0"/>
        <w:autoSpaceDE w:val="0"/>
        <w:autoSpaceDN/>
        <w:bidi w:val="0"/>
        <w:adjustRightInd/>
        <w:snapToGrid/>
        <w:spacing w:line="596" w:lineRule="exact"/>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974.64</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826.24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与2023年度相比，增加12.99万元，增长1.6%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 w:cs="方正仿宋"/>
          <w:b w:val="0"/>
          <w:bCs w:val="0"/>
          <w:i w:val="0"/>
          <w:caps w:val="0"/>
          <w:color w:val="333333"/>
          <w:spacing w:val="0"/>
          <w:sz w:val="32"/>
          <w:szCs w:val="32"/>
          <w:shd w:val="clear" w:fill="FFFFFF"/>
          <w:lang w:val="en-US" w:eastAsia="zh-CN"/>
        </w:rPr>
        <w:t>人员增加，人员政策性增资。</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sz w:val="32"/>
          <w:szCs w:val="32"/>
          <w:shd w:val="clear" w:color="auto" w:fill="FFFFFF"/>
          <w:lang w:val="en-US" w:eastAsia="zh-CN"/>
        </w:rPr>
        <w:t>基本工资、津贴补贴、社会保障缴费等。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148.40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与2023年度相比，增加30.65万元，增长26.0%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巩固脱贫攻坚成果衔接乡村振兴等项目推进，政务服务保障及相关办公、宣传等支出增加。</w:t>
      </w:r>
      <w:r>
        <w:rPr>
          <w:rFonts w:ascii="方正仿宋_GBK" w:hAnsi="方正仿宋_GBK" w:eastAsia="方正仿宋_GBK" w:cs="方正仿宋_GBK"/>
          <w:sz w:val="32"/>
          <w:szCs w:val="32"/>
          <w:shd w:val="clear" w:color="auto" w:fill="FFFFFF"/>
        </w:rPr>
        <w:t>公用经费用途主要包括</w:t>
      </w:r>
      <w:r>
        <w:rPr>
          <w:rFonts w:hint="eastAsia" w:ascii="方正仿宋" w:hAnsi="方正仿宋" w:eastAsia="方正仿宋" w:cs="方正仿宋"/>
          <w:color w:val="auto"/>
          <w:sz w:val="32"/>
          <w:szCs w:val="32"/>
          <w:highlight w:val="none"/>
          <w:shd w:val="clear" w:color="auto" w:fill="FFFFFF"/>
          <w:lang w:val="en-US" w:eastAsia="zh-CN"/>
        </w:rPr>
        <w:t>办公费、印刷费、电费、水费、食堂费用等。</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与2023年度相比，减少2.00万元，下降100.0%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本年度按实际需要，所需政府性基金项目相较上年度有所减少</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与2023年度相比，减少2.00万元，下降100.0%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本年度按实际需要，所需政府性基金项目相较上年度有所减少</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638" w:leftChars="266" w:firstLine="0" w:firstLineChars="0"/>
        <w:textAlignment w:val="auto"/>
        <w:rPr>
          <w:rStyle w:val="9"/>
          <w:rFonts w:hint="default" w:ascii="黑体" w:hAnsi="黑体" w:eastAsia="黑体" w:cs="黑体"/>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9.83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较年初预算数增加0.83万元，增长9.2%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年度内乡村振兴项目调研、应急事务处置等公务活动增多，导致公务用车运行维护超出预期</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较上年支出数增加6.01万元，增长157.3%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default" w:ascii="Times New Roman" w:hAnsi="Times New Roman" w:eastAsia="方正仿宋_GBK"/>
          <w:sz w:val="32"/>
          <w:szCs w:val="32"/>
          <w:shd w:val="clear" w:color="auto" w:fill="FFFFFF"/>
        </w:rPr>
        <w:t>年度内乡村振兴项目调研、应急事务处置等公务活动增多，导致公务用车运行维护</w:t>
      </w:r>
      <w:r>
        <w:rPr>
          <w:rFonts w:hint="eastAsia" w:ascii="Times New Roman" w:hAnsi="Times New Roman" w:eastAsia="方正仿宋_GBK"/>
          <w:sz w:val="32"/>
          <w:szCs w:val="32"/>
          <w:shd w:val="clear" w:color="auto" w:fill="FFFFFF"/>
          <w:lang w:eastAsia="zh-CN"/>
        </w:rPr>
        <w:t>增加</w:t>
      </w:r>
      <w:r>
        <w:rPr>
          <w:rFonts w:hint="default" w:ascii="Times New Roman" w:hAnsi="Times New Roman" w:eastAsia="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8"/>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较年初预算数</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18"/>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Fonts w:hint="default" w:ascii="方正仿宋_GBK" w:hAnsi="方正仿宋_GBK" w:eastAsia="方正仿宋_GBK" w:cs="方正仿宋_GBK"/>
          <w:sz w:val="32"/>
          <w:szCs w:val="32"/>
        </w:rPr>
      </w:pPr>
      <w:r>
        <w:rPr>
          <w:rFonts w:hint="default" w:ascii="Times New Roman" w:hAnsi="Times New Roman" w:eastAsia="方正仿宋_GBK" w:cs="Times New Roman"/>
          <w:b w:val="0"/>
          <w:bCs w:val="0"/>
          <w:sz w:val="32"/>
          <w:szCs w:val="32"/>
          <w:shd w:val="clear" w:color="auto" w:fill="FFFFFF"/>
        </w:rPr>
        <w:t>公务车购置费0.00万元，较年初预算数</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9.83</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sz w:val="32"/>
          <w:szCs w:val="32"/>
          <w:shd w:val="clear" w:color="auto" w:fill="FFFFFF"/>
        </w:rPr>
        <w:t>公务用车燃料费、维修费、保险费等</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较年初预算数增加0.83万元，增长9.2%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年度内乡村振兴项目调研、应急事务处置等公务活动增多，导致公务用车运行维护费用</w:t>
      </w:r>
      <w:r>
        <w:rPr>
          <w:rFonts w:hint="eastAsia" w:ascii="Times New Roman" w:hAnsi="Times New Roman" w:eastAsia="方正仿宋_GBK"/>
          <w:sz w:val="32"/>
          <w:szCs w:val="32"/>
          <w:shd w:val="clear" w:color="auto" w:fill="FFFFFF"/>
          <w:lang w:eastAsia="zh-CN"/>
        </w:rPr>
        <w:t>增加。</w:t>
      </w:r>
      <w:r>
        <w:rPr>
          <w:rFonts w:hint="default" w:ascii="Times New Roman" w:hAnsi="Times New Roman" w:eastAsia="方正仿宋_GBK"/>
          <w:sz w:val="32"/>
          <w:szCs w:val="32"/>
          <w:shd w:val="clear" w:color="auto" w:fill="FFFFFF"/>
        </w:rPr>
        <w:t>较上年支出数增加6.01万元，增长157.3%</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年度内乡村振兴项目调研、应急事务处置等公务活动增多，导致公务用车运行维护费用</w:t>
      </w:r>
      <w:r>
        <w:rPr>
          <w:rFonts w:hint="eastAsia" w:ascii="Times New Roman" w:hAnsi="Times New Roman" w:eastAsia="方正仿宋_GBK"/>
          <w:sz w:val="32"/>
          <w:szCs w:val="32"/>
          <w:shd w:val="clear" w:color="auto" w:fill="FFFFFF"/>
          <w:lang w:eastAsia="zh-CN"/>
        </w:rPr>
        <w:t>增加。</w:t>
      </w:r>
    </w:p>
    <w:p>
      <w:pPr>
        <w:pStyle w:val="18"/>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b w:val="0"/>
          <w:bCs w:val="0"/>
          <w:sz w:val="32"/>
          <w:szCs w:val="32"/>
          <w:shd w:val="clear" w:color="auto" w:fill="FFFFFF"/>
        </w:rPr>
        <w:t>公务接待费0.00万元，较年初预算数</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sz w:val="32"/>
          <w:szCs w:val="32"/>
          <w:shd w:val="clear" w:color="auto" w:fill="FFFFFF"/>
          <w:lang w:eastAsia="zh-CN"/>
        </w:rPr>
        <w:t>我单位会议费在机关食堂列支。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与2023年度相比，增加1.33万元，增长55.2%</w:t>
      </w:r>
      <w:r>
        <w:rPr>
          <w:rFonts w:ascii="方正仿宋_GBK" w:hAnsi="方正仿宋_GBK" w:eastAsia="方正仿宋_GBK" w:cs="方正仿宋_GBK"/>
          <w:sz w:val="32"/>
          <w:szCs w:val="32"/>
          <w:shd w:val="clear" w:color="auto" w:fill="FFFFFF"/>
        </w:rPr>
        <w:t>，主要原因是部分培训费因实际开支与差旅费重合，且本单位培训均按照上级要求执行。本年度差旅费支出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与2023年度相比，减少1.98万元，下降100.0%</w:t>
      </w:r>
      <w:r>
        <w:rPr>
          <w:rFonts w:ascii="方正仿宋_GBK" w:hAnsi="方正仿宋_GBK" w:eastAsia="方正仿宋_GBK" w:cs="方正仿宋_GBK"/>
          <w:sz w:val="32"/>
          <w:szCs w:val="32"/>
          <w:shd w:val="clear" w:color="auto" w:fill="FFFFFF"/>
        </w:rPr>
        <w:t>，主要原因是部分培训费因实际开支与差旅费重合，且本单位培训均按照上级要求执行。</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131.45</w:t>
      </w:r>
      <w:r>
        <w:rPr>
          <w:rFonts w:ascii="方正仿宋_GBK" w:hAnsi="方正仿宋_GBK" w:eastAsia="方正仿宋_GBK" w:cs="方正仿宋_GBK"/>
          <w:sz w:val="32"/>
          <w:szCs w:val="32"/>
          <w:shd w:val="clear" w:color="auto" w:fill="FFFFFF"/>
        </w:rPr>
        <w:t>万元，机关运行经费主要用于开支</w:t>
      </w:r>
      <w:r>
        <w:rPr>
          <w:rFonts w:hint="eastAsia" w:ascii="Times New Roman" w:hAnsi="Times New Roman" w:eastAsia="方正仿宋_GBK" w:cs="Times New Roman"/>
          <w:sz w:val="32"/>
          <w:szCs w:val="32"/>
          <w:shd w:val="clear" w:color="auto" w:fill="FFFFFF"/>
          <w:lang w:eastAsia="zh-CN"/>
        </w:rPr>
        <w:t>机关食堂生活</w:t>
      </w:r>
      <w:r>
        <w:rPr>
          <w:rFonts w:hint="default" w:ascii="Times New Roman" w:hAnsi="Times New Roman" w:eastAsia="方正仿宋_GBK" w:cs="Times New Roman"/>
          <w:sz w:val="32"/>
          <w:szCs w:val="32"/>
          <w:shd w:val="clear" w:color="auto" w:fill="FFFFFF"/>
        </w:rPr>
        <w:t>费、公务车运行维护费、印刷费、水电费、维修费等费用</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较上年支出数增加34.16万元，增长35.1%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年度公务活动增多增加公务车运行维护费、印刷费，同时机关设施日常维修需求上升。</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电脑、打印机等办公设备。</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7"/>
        <w:numPr>
          <w:ilvl w:val="0"/>
          <w:numId w:val="0"/>
        </w:numPr>
        <w:shd w:val="clear" w:color="auto" w:fill="FFFFFF"/>
        <w:ind w:firstLine="643" w:firstLineChars="200"/>
        <w:rPr>
          <w:rStyle w:val="9"/>
          <w:rFonts w:hint="eastAsia" w:ascii="黑体" w:hAnsi="黑体" w:eastAsia="黑体" w:cs="黑体"/>
          <w:sz w:val="32"/>
          <w:szCs w:val="32"/>
          <w:shd w:val="clear" w:color="auto" w:fill="FFFFFF"/>
        </w:rPr>
      </w:pPr>
      <w:r>
        <w:rPr>
          <w:rStyle w:val="9"/>
          <w:rFonts w:ascii="黑体" w:hAnsi="黑体" w:eastAsia="黑体" w:cs="黑体"/>
          <w:sz w:val="32"/>
          <w:szCs w:val="32"/>
          <w:shd w:val="clear" w:color="auto" w:fill="FFFFFF"/>
        </w:rPr>
        <w:t>五、</w:t>
      </w:r>
      <w:r>
        <w:rPr>
          <w:rStyle w:val="9"/>
          <w:rFonts w:hint="eastAsia" w:ascii="黑体" w:hAnsi="黑体" w:eastAsia="黑体" w:cs="黑体"/>
          <w:sz w:val="32"/>
          <w:szCs w:val="32"/>
          <w:shd w:val="clear" w:color="auto" w:fill="FFFFFF"/>
        </w:rPr>
        <w:t>预算绩效管理情况说明</w:t>
      </w:r>
    </w:p>
    <w:p>
      <w:pPr>
        <w:pStyle w:val="12"/>
        <w:autoSpaceDE w:val="0"/>
        <w:ind w:firstLine="640"/>
        <w:rPr>
          <w:rFonts w:hint="default"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eastAsia="zh-CN" w:bidi="ar"/>
        </w:rPr>
        <w:t>部门</w:t>
      </w:r>
      <w:r>
        <w:rPr>
          <w:rFonts w:hint="eastAsia" w:ascii="楷体" w:hAnsi="楷体" w:eastAsia="楷体" w:cs="楷体"/>
          <w:b/>
          <w:bCs/>
          <w:sz w:val="32"/>
          <w:szCs w:val="32"/>
          <w:shd w:val="clear" w:color="auto" w:fill="FFFFFF"/>
          <w:lang w:bidi="ar"/>
        </w:rPr>
        <w:t>自评情况</w:t>
      </w:r>
    </w:p>
    <w:p>
      <w:pPr>
        <w:pStyle w:val="13"/>
        <w:keepNext w:val="0"/>
        <w:keepLines w:val="0"/>
        <w:pageBreakBefore w:val="0"/>
        <w:widowControl/>
        <w:kinsoku/>
        <w:wordWrap/>
        <w:overflowPunct/>
        <w:topLinePunct w:val="0"/>
        <w:autoSpaceDE w:val="0"/>
        <w:autoSpaceDN/>
        <w:bidi w:val="0"/>
        <w:adjustRightInd/>
        <w:snapToGrid/>
        <w:spacing w:before="0" w:beforeAutospacing="0" w:after="100" w:afterAutospacing="0" w:line="560" w:lineRule="exact"/>
        <w:ind w:left="0" w:leftChars="0" w:right="0" w:rightChars="0" w:firstLine="640" w:firstLineChars="200"/>
        <w:jc w:val="left"/>
        <w:textAlignment w:val="auto"/>
        <w:outlineLvl w:val="9"/>
        <w:rPr>
          <w:rFonts w:hint="eastAsia" w:ascii="方正仿宋_GBK" w:hAnsi="方正仿宋_GBK" w:eastAsia="方正仿宋_GBK" w:cs="方正仿宋_GBK"/>
          <w:sz w:val="28"/>
          <w:szCs w:val="28"/>
          <w:shd w:val="clear" w:color="auto" w:fill="FFFFFF"/>
          <w:lang w:bidi="ar"/>
        </w:rPr>
      </w:pPr>
      <w:r>
        <w:rPr>
          <w:rFonts w:hint="eastAsia" w:ascii="方正仿宋" w:hAnsi="方正仿宋" w:eastAsia="方正仿宋" w:cs="方正仿宋"/>
          <w:color w:val="auto"/>
          <w:sz w:val="32"/>
          <w:szCs w:val="32"/>
          <w:highlight w:val="none"/>
          <w:shd w:val="clear" w:color="auto" w:fill="FFFFFF"/>
          <w:lang w:val="en-US" w:eastAsia="zh-CN"/>
        </w:rPr>
        <w:t>根据预算绩效管理要求，我部门对</w:t>
      </w:r>
      <w:r>
        <w:rPr>
          <w:rFonts w:hint="eastAsia" w:ascii="Times New Roman" w:hAnsi="Times New Roman" w:eastAsia="方正仿宋_GBK" w:cs="Times New Roman"/>
          <w:sz w:val="32"/>
          <w:szCs w:val="32"/>
          <w:shd w:val="clear" w:color="auto" w:fill="FFFFFF"/>
          <w:lang w:val="en-US" w:eastAsia="zh-CN" w:bidi="ar-SA"/>
        </w:rPr>
        <w:t>0</w:t>
      </w:r>
      <w:r>
        <w:rPr>
          <w:rFonts w:hint="eastAsia" w:ascii="方正仿宋" w:hAnsi="方正仿宋" w:eastAsia="方正仿宋" w:cs="方正仿宋"/>
          <w:color w:val="auto"/>
          <w:sz w:val="32"/>
          <w:szCs w:val="32"/>
          <w:highlight w:val="none"/>
          <w:shd w:val="clear" w:color="auto" w:fill="FFFFFF"/>
          <w:lang w:val="en-US" w:eastAsia="zh-CN"/>
        </w:rPr>
        <w:t>个一级项目、69个二级项目开展了绩效自评，涉及财政拨款项目支出资金</w:t>
      </w:r>
      <w:r>
        <w:rPr>
          <w:rFonts w:hint="default" w:ascii="Times New Roman" w:hAnsi="Times New Roman" w:eastAsia="方正仿宋_GBK" w:cs="Times New Roman"/>
          <w:kern w:val="2"/>
          <w:sz w:val="32"/>
          <w:szCs w:val="32"/>
          <w:lang w:val="en-US" w:eastAsia="zh-CN" w:bidi="ar-SA"/>
        </w:rPr>
        <w:t>1003.71</w:t>
      </w:r>
      <w:r>
        <w:rPr>
          <w:rFonts w:hint="eastAsia" w:ascii="Times New Roman" w:hAnsi="Times New Roman" w:eastAsia="方正仿宋_GBK" w:cs="Times New Roman"/>
          <w:kern w:val="2"/>
          <w:sz w:val="32"/>
          <w:szCs w:val="32"/>
          <w:lang w:val="en-US" w:eastAsia="zh-CN" w:bidi="ar-SA"/>
        </w:rPr>
        <w:t xml:space="preserve"> </w:t>
      </w:r>
      <w:r>
        <w:rPr>
          <w:rFonts w:hint="eastAsia" w:ascii="Times New Roman" w:hAnsi="Times New Roman" w:eastAsia="方正仿宋_GBK" w:cs="Times New Roman"/>
          <w:sz w:val="32"/>
          <w:szCs w:val="32"/>
          <w:shd w:val="clear" w:color="auto" w:fill="FFFFFF"/>
          <w:lang w:val="en-US" w:eastAsia="zh-CN" w:bidi="ar-SA"/>
        </w:rPr>
        <w:t>万</w:t>
      </w:r>
      <w:r>
        <w:rPr>
          <w:rFonts w:hint="eastAsia" w:ascii="方正仿宋" w:hAnsi="方正仿宋" w:eastAsia="方正仿宋" w:cs="方正仿宋"/>
          <w:color w:val="auto"/>
          <w:sz w:val="32"/>
          <w:szCs w:val="32"/>
          <w:highlight w:val="none"/>
          <w:shd w:val="clear" w:color="auto" w:fill="FFFFFF"/>
          <w:lang w:val="en-US" w:eastAsia="zh-CN"/>
        </w:rPr>
        <w:t>元。</w:t>
      </w:r>
      <w:r>
        <w:rPr>
          <w:rFonts w:hint="eastAsia" w:ascii="Times New Roman" w:hAnsi="Times New Roman" w:eastAsia="方正仿宋_GBK" w:cs="Times New Roman"/>
          <w:kern w:val="2"/>
          <w:sz w:val="32"/>
          <w:szCs w:val="32"/>
          <w:lang w:val="en-US" w:eastAsia="zh-CN" w:bidi="ar-SA"/>
        </w:rPr>
        <w:t>本部门2024年度部门整体绩效自评表详见附件1，2024年项目支出绩效自评表（二级项目）详见附件2。</w:t>
      </w:r>
    </w:p>
    <w:p>
      <w:pPr>
        <w:pStyle w:val="12"/>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我单位对乡镇环保专项项目开展了绩效评价，涉及财政拨款项目资金50万元，评价得分100分，评价等次为优，绩效评价未发现问题；对秀山县2024年里仁镇上川村吊瓜基地灌溉配套设施建设项目[-]-秀委农办发〔2024〕123号项目开展了绩效评价，涉及财政拨款项目资金15万元，评价得分100分，评价等次为优，绩效评价未发现问题，绩效评价发现绩效目标设置存在使用定性指标较难评价的问题，今后工作将进一步优化绩效指标设置，是评价更具可衡量性。</w:t>
      </w:r>
    </w:p>
    <w:p>
      <w:pPr>
        <w:pStyle w:val="12"/>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县财政局未委托第三方对我部门开展绩效评价。</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lang w:eastAsia="zh-CN"/>
        </w:rPr>
        <w:t>六</w:t>
      </w:r>
      <w:r>
        <w:rPr>
          <w:rStyle w:val="9"/>
          <w:rFonts w:ascii="黑体" w:hAnsi="黑体" w:eastAsia="黑体" w:cs="黑体"/>
          <w:sz w:val="32"/>
          <w:szCs w:val="32"/>
          <w:shd w:val="clear" w:color="auto" w:fill="FFFFFF"/>
        </w:rPr>
        <w:t>、专业名词解释</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Style w:val="9"/>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lang w:eastAsia="zh-CN"/>
        </w:rPr>
        <w:t>七</w:t>
      </w:r>
      <w:r>
        <w:rPr>
          <w:rStyle w:val="9"/>
          <w:rFonts w:ascii="黑体" w:hAnsi="黑体" w:eastAsia="黑体" w:cs="黑体"/>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eastAsia="zh-CN"/>
        </w:rPr>
        <w:t>白皓</w:t>
      </w:r>
      <w:r>
        <w:rPr>
          <w:rFonts w:hint="default" w:ascii="Times New Roman" w:hAnsi="Times New Roman" w:eastAsia="方正仿宋_GBK" w:cs="Times New Roman"/>
          <w:sz w:val="32"/>
          <w:szCs w:val="32"/>
          <w:shd w:val="clear" w:color="auto" w:fill="FFFFFF"/>
          <w:lang w:val="en-US" w:eastAsia="zh-CN"/>
        </w:rPr>
        <w:t>023-76618875</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lang w:val="en-US" w:eastAsia="zh-CN"/>
        </w:rPr>
      </w:pP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shd w:val="clear" w:color="auto" w:fill="FFFFFF"/>
          <w:lang w:val="en-US" w:eastAsia="zh-CN"/>
        </w:rPr>
      </w:pPr>
    </w:p>
    <w:tbl>
      <w:tblPr>
        <w:tblStyle w:val="10"/>
        <w:tblpPr w:leftFromText="180" w:rightFromText="180" w:vertAnchor="text" w:horzAnchor="page" w:tblpXSpec="center" w:tblpY="595"/>
        <w:tblOverlap w:val="never"/>
        <w:tblW w:w="83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74"/>
        <w:gridCol w:w="799"/>
        <w:gridCol w:w="174"/>
        <w:gridCol w:w="471"/>
        <w:gridCol w:w="254"/>
        <w:gridCol w:w="1006"/>
        <w:gridCol w:w="81"/>
        <w:gridCol w:w="482"/>
        <w:gridCol w:w="517"/>
        <w:gridCol w:w="328"/>
        <w:gridCol w:w="470"/>
        <w:gridCol w:w="844"/>
        <w:gridCol w:w="470"/>
        <w:gridCol w:w="455"/>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jc w:val="center"/>
        </w:trPr>
        <w:tc>
          <w:tcPr>
            <w:tcW w:w="834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K" w:hAnsi="方正仿宋_GBK" w:eastAsia="方正仿宋_GBK" w:cs="方正仿宋_GBK"/>
                <w:kern w:val="2"/>
                <w:sz w:val="36"/>
                <w:szCs w:val="36"/>
                <w:lang w:val="en-US" w:eastAsia="zh-CN" w:bidi="ar-SA"/>
              </w:rPr>
            </w:pPr>
            <w:r>
              <w:rPr>
                <w:rFonts w:hint="eastAsia" w:ascii="方正仿宋_GBK" w:hAnsi="方正仿宋_GBK" w:eastAsia="方正仿宋_GBK" w:cs="方正仿宋_GBK"/>
                <w:kern w:val="2"/>
                <w:sz w:val="36"/>
                <w:szCs w:val="36"/>
                <w:lang w:val="en-US" w:eastAsia="zh-CN" w:bidi="ar-SA"/>
              </w:rPr>
              <w:t>附件1</w:t>
            </w:r>
          </w:p>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方正小标宋_GBK" w:hAnsi="方正小标宋_GBK" w:eastAsia="方正小标宋_GBK" w:cs="方正小标宋_GBK"/>
                <w:b w:val="0"/>
                <w:bCs/>
                <w:i w:val="0"/>
                <w:color w:val="000000"/>
                <w:kern w:val="0"/>
                <w:sz w:val="40"/>
                <w:szCs w:val="40"/>
                <w:u w:val="none"/>
                <w:lang w:val="en-US" w:eastAsia="zh-CN" w:bidi="ar"/>
              </w:rPr>
              <w:t>里仁镇人民政府2024年度部门整体绩效自评表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主管部门</w:t>
            </w:r>
            <w:r>
              <w:rPr>
                <w:rFonts w:hint="eastAsia" w:ascii="宋体" w:hAnsi="宋体" w:eastAsia="宋体" w:cs="宋体"/>
                <w:b/>
                <w:i w:val="0"/>
                <w:color w:val="000000"/>
                <w:kern w:val="0"/>
                <w:sz w:val="22"/>
                <w:szCs w:val="22"/>
                <w:u w:val="none"/>
                <w:lang w:val="en-US" w:eastAsia="zh-CN" w:bidi="ar"/>
              </w:rPr>
              <w:t>：</w:t>
            </w:r>
          </w:p>
        </w:tc>
        <w:tc>
          <w:tcPr>
            <w:tcW w:w="1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r>
              <w:rPr>
                <w:rFonts w:hint="eastAsia" w:ascii="Times New Roman" w:hAnsi="Times New Roman" w:cs="Times New Roman"/>
                <w:i w:val="0"/>
                <w:color w:val="000000"/>
                <w:kern w:val="0"/>
                <w:sz w:val="22"/>
                <w:szCs w:val="22"/>
                <w:u w:val="none"/>
                <w:lang w:val="en-US" w:eastAsia="zh-CN" w:bidi="ar"/>
              </w:rPr>
              <w:t>20</w:t>
            </w:r>
            <w:r>
              <w:rPr>
                <w:rFonts w:hint="default" w:ascii="Times New Roman" w:hAnsi="Times New Roman" w:eastAsia="宋体" w:cs="Times New Roman"/>
                <w:i w:val="0"/>
                <w:color w:val="000000"/>
                <w:kern w:val="0"/>
                <w:sz w:val="22"/>
                <w:szCs w:val="22"/>
                <w:u w:val="none"/>
                <w:lang w:val="en-US" w:eastAsia="zh-CN" w:bidi="ar"/>
              </w:rPr>
              <w:t>-</w:t>
            </w:r>
            <w:r>
              <w:rPr>
                <w:rStyle w:val="19"/>
                <w:lang w:val="en-US" w:eastAsia="zh-CN" w:bidi="ar"/>
              </w:rPr>
              <w:t>秀山土家族苗族自治县里仁镇人民政府</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部门编号</w:t>
            </w:r>
            <w:r>
              <w:rPr>
                <w:rFonts w:hint="eastAsia" w:ascii="宋体" w:hAnsi="宋体" w:eastAsia="宋体" w:cs="宋体"/>
                <w:b/>
                <w:i w:val="0"/>
                <w:color w:val="000000"/>
                <w:kern w:val="0"/>
                <w:sz w:val="22"/>
                <w:szCs w:val="22"/>
                <w:u w:val="none"/>
                <w:lang w:val="en-US" w:eastAsia="zh-CN" w:bidi="ar"/>
              </w:rPr>
              <w:t>：</w:t>
            </w:r>
          </w:p>
        </w:tc>
        <w:tc>
          <w:tcPr>
            <w:tcW w:w="1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820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部门联系人</w:t>
            </w:r>
          </w:p>
        </w:tc>
        <w:tc>
          <w:tcPr>
            <w:tcW w:w="41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lang w:eastAsia="zh-CN"/>
              </w:rPr>
            </w:pPr>
            <w:r>
              <w:rPr>
                <w:rFonts w:hint="eastAsia" w:cs="宋体"/>
                <w:i w:val="0"/>
                <w:color w:val="000000"/>
                <w:sz w:val="22"/>
                <w:szCs w:val="22"/>
                <w:u w:val="none"/>
                <w:lang w:eastAsia="zh-CN"/>
              </w:rPr>
              <w:t>白皓</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w:t>
            </w:r>
            <w:r>
              <w:rPr>
                <w:rFonts w:hint="eastAsia" w:cs="宋体"/>
                <w:b/>
                <w:i w:val="0"/>
                <w:color w:val="000000"/>
                <w:kern w:val="0"/>
                <w:sz w:val="22"/>
                <w:szCs w:val="22"/>
                <w:u w:val="none"/>
                <w:lang w:val="en-US" w:eastAsia="zh-CN" w:bidi="ar"/>
              </w:rPr>
              <w:t>电话</w:t>
            </w:r>
            <w:r>
              <w:rPr>
                <w:rFonts w:hint="eastAsia" w:ascii="宋体" w:hAnsi="宋体" w:eastAsia="宋体" w:cs="宋体"/>
                <w:b/>
                <w:i w:val="0"/>
                <w:color w:val="000000"/>
                <w:kern w:val="0"/>
                <w:sz w:val="22"/>
                <w:szCs w:val="22"/>
                <w:u w:val="none"/>
                <w:lang w:val="en-US" w:eastAsia="zh-CN" w:bidi="ar"/>
              </w:rPr>
              <w:t>：</w:t>
            </w:r>
          </w:p>
        </w:tc>
        <w:tc>
          <w:tcPr>
            <w:tcW w:w="2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023-766</w:t>
            </w:r>
            <w:r>
              <w:rPr>
                <w:rFonts w:hint="eastAsia" w:ascii="Times New Roman" w:hAnsi="Times New Roman" w:cs="Times New Roman"/>
                <w:i w:val="0"/>
                <w:color w:val="000000"/>
                <w:kern w:val="0"/>
                <w:sz w:val="22"/>
                <w:szCs w:val="22"/>
                <w:u w:val="none"/>
                <w:lang w:val="en-US" w:eastAsia="zh-CN" w:bidi="ar"/>
              </w:rPr>
              <w:t>18875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jc w:val="center"/>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14,033,136.71</w:t>
            </w:r>
          </w:p>
        </w:tc>
        <w:tc>
          <w:tcPr>
            <w:tcW w:w="1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22,283,126.46</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19,783,526.46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14,033,136.71</w:t>
            </w:r>
          </w:p>
        </w:tc>
        <w:tc>
          <w:tcPr>
            <w:tcW w:w="1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22,283,126.46</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19,783,526.46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88.78</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jc w:val="center"/>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14,033,136.71</w:t>
            </w:r>
          </w:p>
        </w:tc>
        <w:tc>
          <w:tcPr>
            <w:tcW w:w="1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22,283,126.46</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19,783,526.46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88.78</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834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24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5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0" w:hRule="atLeast"/>
          <w:jc w:val="center"/>
        </w:trPr>
        <w:tc>
          <w:tcPr>
            <w:tcW w:w="241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按时提交并公开预决算报告；严格按照相关国库集中支付制度的要求，确保拨付完成率达百分之百。除涉密信息外，政府预决算向社会公开，“三公”经费预决算金额只减不增；全面实施预算绩效管理。</w:t>
            </w:r>
          </w:p>
        </w:tc>
        <w:tc>
          <w:tcPr>
            <w:tcW w:w="234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按时提交并公开预决算报告；严格按照相关国库集中支付制度的要求，确保拨付完成率达百分之百。除涉密信息外，政府预决算向社会公开，“三公”经费预决算金额只减不增；全面实施预算绩效管理。</w:t>
            </w:r>
          </w:p>
        </w:tc>
        <w:tc>
          <w:tcPr>
            <w:tcW w:w="358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重点项目建设个数</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88.78</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86.4</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8.64</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预决算及时编制率</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政府预决算公开率（除涉密信息外）</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总体说明</w:t>
            </w:r>
          </w:p>
        </w:tc>
        <w:tc>
          <w:tcPr>
            <w:tcW w:w="737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p>
      <w:pPr>
        <w:pStyle w:val="12"/>
        <w:autoSpaceDE w:val="0"/>
        <w:spacing w:line="596" w:lineRule="exact"/>
        <w:ind w:firstLine="640"/>
        <w:jc w:val="both"/>
        <w:rPr>
          <w:rStyle w:val="9"/>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9"/>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9"/>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9"/>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9"/>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9"/>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9"/>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9"/>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9"/>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9"/>
          <w:rFonts w:ascii="方正仿宋_GBK" w:hAnsi="方正仿宋_GBK" w:eastAsia="方正仿宋_GBK" w:cs="方正仿宋_GBK"/>
          <w:sz w:val="32"/>
          <w:szCs w:val="32"/>
          <w:shd w:val="clear" w:color="auto" w:fill="FFFF00"/>
        </w:rPr>
      </w:pPr>
    </w:p>
    <w:p>
      <w:pPr>
        <w:pStyle w:val="12"/>
        <w:autoSpaceDE w:val="0"/>
        <w:spacing w:line="596" w:lineRule="exact"/>
        <w:ind w:firstLine="640"/>
        <w:jc w:val="both"/>
        <w:rPr>
          <w:rStyle w:val="9"/>
          <w:rFonts w:ascii="方正仿宋_GBK" w:hAnsi="方正仿宋_GBK" w:eastAsia="方正仿宋_GBK" w:cs="方正仿宋_GBK"/>
          <w:sz w:val="32"/>
          <w:szCs w:val="32"/>
          <w:shd w:val="clear" w:color="auto" w:fill="FFFF00"/>
        </w:rPr>
      </w:pPr>
    </w:p>
    <w:tbl>
      <w:tblPr>
        <w:tblStyle w:val="10"/>
        <w:tblpPr w:leftFromText="180" w:rightFromText="180" w:vertAnchor="text" w:horzAnchor="page" w:tblpX="289" w:tblpY="1235"/>
        <w:tblOverlap w:val="never"/>
        <w:tblW w:w="113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2"/>
        <w:gridCol w:w="1484"/>
        <w:gridCol w:w="2068"/>
        <w:gridCol w:w="874"/>
        <w:gridCol w:w="805"/>
        <w:gridCol w:w="1117"/>
        <w:gridCol w:w="1032"/>
        <w:gridCol w:w="1105"/>
        <w:gridCol w:w="922"/>
        <w:gridCol w:w="683"/>
        <w:gridCol w:w="7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9" w:hRule="atLeast"/>
        </w:trPr>
        <w:tc>
          <w:tcPr>
            <w:tcW w:w="11340" w:type="dxa"/>
            <w:gridSpan w:val="11"/>
            <w:tcBorders>
              <w:bottom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K" w:hAnsi="方正仿宋_GBK" w:eastAsia="方正仿宋_GBK" w:cs="方正仿宋_GBK"/>
                <w:kern w:val="2"/>
                <w:sz w:val="36"/>
                <w:szCs w:val="36"/>
                <w:lang w:val="en-US" w:eastAsia="zh-CN" w:bidi="ar-SA"/>
              </w:rPr>
            </w:pPr>
            <w:r>
              <w:rPr>
                <w:rFonts w:hint="eastAsia" w:ascii="方正仿宋_GBK" w:hAnsi="方正仿宋_GBK" w:eastAsia="方正仿宋_GBK" w:cs="方正仿宋_GBK"/>
                <w:kern w:val="2"/>
                <w:sz w:val="36"/>
                <w:szCs w:val="36"/>
                <w:lang w:val="en-US" w:eastAsia="zh-CN" w:bidi="ar-SA"/>
              </w:rPr>
              <w:t>附件</w:t>
            </w:r>
            <w:r>
              <w:rPr>
                <w:rFonts w:hint="default" w:ascii="方正仿宋_GBK" w:hAnsi="方正仿宋_GBK" w:eastAsia="方正仿宋_GBK" w:cs="方正仿宋_GBK"/>
                <w:kern w:val="2"/>
                <w:sz w:val="36"/>
                <w:szCs w:val="36"/>
                <w:lang w:val="en-US" w:eastAsia="zh-CN" w:bidi="ar-SA"/>
              </w:rPr>
              <w:t>2</w:t>
            </w:r>
          </w:p>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方正小标宋_GBK" w:hAnsi="方正小标宋_GBK" w:eastAsia="方正小标宋_GBK" w:cs="方正小标宋_GBK"/>
                <w:b w:val="0"/>
                <w:bCs/>
                <w:i w:val="0"/>
                <w:color w:val="000000"/>
                <w:kern w:val="0"/>
                <w:sz w:val="40"/>
                <w:szCs w:val="40"/>
                <w:u w:val="none"/>
                <w:lang w:val="en-US" w:eastAsia="zh-CN" w:bidi="ar"/>
              </w:rPr>
              <w:t>2024年度项目支出绩效自评表（二级项目）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2" w:hRule="atLeast"/>
        </w:trPr>
        <w:tc>
          <w:tcPr>
            <w:tcW w:w="532"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序号</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项目名称</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指标名称</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指标性质</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指标值</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计量单位</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指标权重</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全年完成值</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指标得分</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说明</w:t>
            </w:r>
          </w:p>
        </w:tc>
        <w:tc>
          <w:tcPr>
            <w:tcW w:w="71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自评得分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0" w:hRule="atLeast"/>
        </w:trPr>
        <w:tc>
          <w:tcPr>
            <w:tcW w:w="532" w:type="dxa"/>
            <w:vMerge w:val="restart"/>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乡镇环保专项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服务村居个数</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20.00 </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20.00 </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718" w:type="dxa"/>
            <w:vMerge w:val="restart"/>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0" w:hRule="atLeast"/>
        </w:trPr>
        <w:tc>
          <w:tcPr>
            <w:tcW w:w="532" w:type="dxa"/>
            <w:vMerge w:val="continue"/>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资金及时支付率</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40.00 </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40 .00</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718" w:type="dxa"/>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0" w:hRule="atLeast"/>
        </w:trPr>
        <w:tc>
          <w:tcPr>
            <w:tcW w:w="532" w:type="dxa"/>
            <w:vMerge w:val="continue"/>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经费标准</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万元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40.00 </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50</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40.00 </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718" w:type="dxa"/>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0" w:hRule="atLeast"/>
        </w:trPr>
        <w:tc>
          <w:tcPr>
            <w:tcW w:w="532" w:type="dxa"/>
            <w:vMerge w:val="restart"/>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秀山县2024年里仁镇上川村吊瓜基地灌溉配套设施建设项目[-]-秀委农办发〔2024〕123号</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受益农户数量</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户</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20.00 </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20.00</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718" w:type="dxa"/>
            <w:vMerge w:val="restart"/>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0" w:hRule="atLeast"/>
        </w:trPr>
        <w:tc>
          <w:tcPr>
            <w:tcW w:w="532" w:type="dxa"/>
            <w:vMerge w:val="continue"/>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0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资金支付率</w:t>
            </w:r>
          </w:p>
        </w:tc>
        <w:tc>
          <w:tcPr>
            <w:tcW w:w="87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90</w:t>
            </w:r>
          </w:p>
        </w:tc>
        <w:tc>
          <w:tcPr>
            <w:tcW w:w="11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3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40.00</w:t>
            </w:r>
          </w:p>
        </w:tc>
        <w:tc>
          <w:tcPr>
            <w:tcW w:w="11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90</w:t>
            </w:r>
          </w:p>
        </w:tc>
        <w:tc>
          <w:tcPr>
            <w:tcW w:w="92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40.00</w:t>
            </w:r>
          </w:p>
        </w:tc>
        <w:tc>
          <w:tcPr>
            <w:tcW w:w="68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718" w:type="dxa"/>
            <w:vMerge w:val="continue"/>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38" w:hRule="atLeast"/>
        </w:trPr>
        <w:tc>
          <w:tcPr>
            <w:tcW w:w="532" w:type="dxa"/>
            <w:vMerge w:val="continue"/>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1484" w:type="dxa"/>
            <w:vMerge w:val="continue"/>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068" w:type="dxa"/>
            <w:tcBorders>
              <w:top w:val="single" w:color="auto" w:sz="4" w:space="0"/>
              <w:left w:val="single" w:color="auto"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楷体_GBK" w:hAnsi="方正楷体_GBK" w:eastAsia="方正楷体_GBK" w:cs="方正楷体_GBK"/>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带动低收入户增收金额</w:t>
            </w:r>
          </w:p>
        </w:tc>
        <w:tc>
          <w:tcPr>
            <w:tcW w:w="874"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楷体_GBK" w:hAnsi="方正楷体_GBK" w:eastAsia="方正楷体_GBK" w:cs="方正楷体_GBK"/>
                <w:kern w:val="2"/>
                <w:sz w:val="20"/>
                <w:szCs w:val="20"/>
                <w:lang w:val="en-US" w:eastAsia="zh-CN" w:bidi="ar-SA"/>
              </w:rPr>
            </w:pPr>
            <w:r>
              <w:rPr>
                <w:rFonts w:hint="eastAsia" w:ascii="方正楷体_GBK" w:hAnsi="方正楷体_GBK" w:eastAsia="方正楷体_GBK" w:cs="方正楷体_GBK"/>
                <w:kern w:val="2"/>
                <w:sz w:val="20"/>
                <w:szCs w:val="20"/>
                <w:lang w:val="en-US" w:eastAsia="zh-CN" w:bidi="ar-SA"/>
              </w:rPr>
              <w:t>≥</w:t>
            </w:r>
          </w:p>
        </w:tc>
        <w:tc>
          <w:tcPr>
            <w:tcW w:w="805" w:type="dxa"/>
            <w:tcBorders>
              <w:top w:val="single" w:color="auto" w:sz="4" w:space="0"/>
              <w:left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楷体_GBK" w:hAnsi="方正楷体_GBK" w:eastAsia="方正楷体_GBK" w:cs="方正楷体_GBK"/>
                <w:kern w:val="2"/>
                <w:sz w:val="20"/>
                <w:szCs w:val="20"/>
                <w:lang w:val="en-US" w:eastAsia="zh-CN" w:bidi="ar-SA"/>
              </w:rPr>
            </w:pPr>
            <w:r>
              <w:rPr>
                <w:rFonts w:hint="eastAsia" w:ascii="方正楷体_GBK" w:hAnsi="方正楷体_GBK" w:eastAsia="方正楷体_GBK" w:cs="方正楷体_GBK"/>
                <w:kern w:val="2"/>
                <w:sz w:val="20"/>
                <w:szCs w:val="20"/>
                <w:lang w:val="en-US" w:eastAsia="zh-CN" w:bidi="ar-SA"/>
              </w:rPr>
              <w:t>2</w:t>
            </w:r>
          </w:p>
        </w:tc>
        <w:tc>
          <w:tcPr>
            <w:tcW w:w="1117"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楷体_GBK" w:hAnsi="方正楷体_GBK" w:eastAsia="方正楷体_GBK" w:cs="方正楷体_GBK"/>
                <w:kern w:val="2"/>
                <w:sz w:val="20"/>
                <w:szCs w:val="20"/>
                <w:lang w:val="en-US" w:eastAsia="zh-CN" w:bidi="ar-SA"/>
              </w:rPr>
            </w:pPr>
            <w:r>
              <w:rPr>
                <w:rFonts w:hint="eastAsia" w:ascii="方正楷体_GBK" w:hAnsi="方正楷体_GBK" w:eastAsia="方正楷体_GBK" w:cs="方正楷体_GBK"/>
                <w:kern w:val="2"/>
                <w:sz w:val="20"/>
                <w:szCs w:val="20"/>
                <w:lang w:val="en-US" w:eastAsia="zh-CN" w:bidi="ar-SA"/>
              </w:rPr>
              <w:t>万元</w:t>
            </w:r>
          </w:p>
        </w:tc>
        <w:tc>
          <w:tcPr>
            <w:tcW w:w="1032"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40.00</w:t>
            </w:r>
          </w:p>
        </w:tc>
        <w:tc>
          <w:tcPr>
            <w:tcW w:w="1105" w:type="dxa"/>
            <w:tcBorders>
              <w:top w:val="single" w:color="auto" w:sz="4" w:space="0"/>
              <w:left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922"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楷体_GBK" w:hAnsi="方正楷体_GBK" w:eastAsia="方正楷体_GBK" w:cs="方正楷体_GBK"/>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40.00</w:t>
            </w:r>
          </w:p>
        </w:tc>
        <w:tc>
          <w:tcPr>
            <w:tcW w:w="683" w:type="dxa"/>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楷体_GBK" w:hAnsi="方正楷体_GBK" w:eastAsia="方正楷体_GBK" w:cs="方正楷体_GBK"/>
                <w:kern w:val="2"/>
                <w:sz w:val="20"/>
                <w:szCs w:val="20"/>
                <w:lang w:val="en-US" w:eastAsia="zh-CN" w:bidi="ar-SA"/>
              </w:rPr>
            </w:pPr>
          </w:p>
        </w:tc>
        <w:tc>
          <w:tcPr>
            <w:tcW w:w="718" w:type="dxa"/>
            <w:vMerge w:val="continue"/>
            <w:tcBorders>
              <w:top w:val="single" w:color="000000" w:sz="4" w:space="0"/>
              <w:lef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r>
    </w:tbl>
    <w:p>
      <w:pPr>
        <w:pStyle w:val="12"/>
        <w:autoSpaceDE w:val="0"/>
        <w:spacing w:line="596" w:lineRule="exact"/>
        <w:ind w:left="0" w:leftChars="0" w:firstLine="0" w:firstLineChars="0"/>
        <w:jc w:val="both"/>
        <w:rPr>
          <w:rStyle w:val="9"/>
          <w:rFonts w:hint="eastAsia" w:ascii="方正仿宋_GBK" w:hAnsi="方正仿宋_GBK" w:eastAsia="方正仿宋_GBK" w:cs="方正仿宋_GBK"/>
          <w:sz w:val="32"/>
          <w:szCs w:val="32"/>
          <w:shd w:val="clear" w:color="auto" w:fill="FFFF00"/>
          <w:lang w:val="en-US" w:eastAsia="zh-CN"/>
        </w:rPr>
        <w:sectPr>
          <w:footerReference r:id="rId4" w:type="default"/>
          <w:pgSz w:w="11915" w:h="16840"/>
          <w:pgMar w:top="1440" w:right="1800" w:bottom="1440" w:left="1800" w:header="851" w:footer="992" w:gutter="0"/>
          <w:pgNumType w:fmt="numberInDash"/>
          <w:cols w:space="0" w:num="1"/>
          <w:rtlGutter w:val="0"/>
          <w:docGrid w:type="lines" w:linePitch="312" w:charSpace="0"/>
        </w:sectPr>
      </w:pPr>
      <w:bookmarkStart w:id="0" w:name="_GoBack"/>
      <w:bookmarkEnd w:id="0"/>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秀山土家族苗族自治县里仁镇人民政府</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1,978.35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955.29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1,978.35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1,978.35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1,978.35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秀山土家族苗族自治县里仁镇人民政府</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1,978.35</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1,978.35</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491.56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491.56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465.87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465.87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955.29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955.29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536.61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536.61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244.40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244.40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秀山土家族苗族自治县里仁镇人民政府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1,978.35</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974.64</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1,003.71</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491.56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465.87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465.87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465.87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189.67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75.30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955.29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817.44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536.61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536.61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382.08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244.40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244.40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秀山土家族苗族自治县里仁镇人民政府</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1,978.35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1,978.35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1,978.35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秀山土家族苗族自治县里仁镇人民政府</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1,978.35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974.64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1,003.71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465.87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465.87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465.87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190.77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189.67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955.29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817.44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137.85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137.85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536.61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382.08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244.40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秀山土家族苗族自治县里仁镇人民政府</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795.55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147.62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180.21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826.24</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秀山土家族苗族自治县里仁镇人民政府</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秀山土家族苗族自治县里仁镇人民政府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秀山土家族苗族自治县里仁镇人民政府</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131.45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127.46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117340"/>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80D310D"/>
    <w:rsid w:val="29310A5F"/>
    <w:rsid w:val="29C37A35"/>
    <w:rsid w:val="2A076083"/>
    <w:rsid w:val="2A73162E"/>
    <w:rsid w:val="2B167953"/>
    <w:rsid w:val="2B200583"/>
    <w:rsid w:val="2B220436"/>
    <w:rsid w:val="2B737FF3"/>
    <w:rsid w:val="2B8209DE"/>
    <w:rsid w:val="2C6762A3"/>
    <w:rsid w:val="2C935BAA"/>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4167E6"/>
    <w:rsid w:val="4DAC4ACA"/>
    <w:rsid w:val="4DBE01D2"/>
    <w:rsid w:val="4E5E357E"/>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3A0946"/>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8">
    <w:name w:val="Normal (Web)"/>
    <w:basedOn w:val="1"/>
    <w:qFormat/>
    <w:uiPriority w:val="0"/>
    <w:pPr>
      <w:spacing w:before="100" w:beforeLines="0" w:beforeAutospacing="1" w:after="100" w:afterLines="0" w:afterAutospacing="1"/>
    </w:pPr>
  </w:style>
  <w:style w:type="character" w:customStyle="1" w:styleId="19">
    <w:name w:val="font71"/>
    <w:basedOn w:val="8"/>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0</TotalTime>
  <ScaleCrop>false</ScaleCrop>
  <LinksUpToDate>false</LinksUpToDate>
  <CharactersWithSpaces>26302</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king</cp:lastModifiedBy>
  <dcterms:modified xsi:type="dcterms:W3CDTF">2025-10-14T03:22:12Z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y fmtid="{D5CDD505-2E9C-101B-9397-08002B2CF9AE}" pid="3" name="ICV">
    <vt:lpwstr>BB46EABDBB2749749395447164B066B3_12</vt:lpwstr>
  </property>
</Properties>
</file>