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方正小标宋_GBK" w:hAnsi="方正小标宋_GBK" w:eastAsia="方正小标宋_GBK" w:cs="方正小标宋_GBK"/>
          <w:w w:val="90"/>
          <w:sz w:val="44"/>
          <w:szCs w:val="44"/>
        </w:rPr>
        <w:t>秀山土家族苗族自治县龙池镇综合行政执法大队</w:t>
      </w:r>
      <w:r>
        <w:rPr>
          <w:rFonts w:hint="default" w:ascii="方正小标宋_GBK" w:hAnsi="方正小标宋_GBK" w:eastAsia="方正小标宋_GBK" w:cs="方正小标宋_GBK"/>
          <w:sz w:val="44"/>
          <w:szCs w:val="44"/>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综合行政执法大队。主要职责：集中行使乡镇依法承担和单位授权或委托的各项行政执法权，制止、打击各类行政违法行为，协助、配合县级有关单位及其派驻机构开展联合执法。</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2023年度收入总计33.47万元，支出总计33.47</w:t>
      </w:r>
      <w:r>
        <w:rPr>
          <w:rFonts w:hint="default" w:ascii="Times New Roman" w:hAnsi="Times New Roman" w:eastAsia="方正仿宋_GBK" w:cs="Times New Roman"/>
          <w:sz w:val="32"/>
          <w:szCs w:val="32"/>
          <w:shd w:val="clear" w:color="auto" w:fill="FFFFFF"/>
        </w:rPr>
        <w:t>万元。收支较上年决算数增加33.47万元，增长100.00%，主要原因是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2023年度收入合计33.47万元，较上年决算数增加33.47万元，增长100.00%，主要原因是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其中：财政拨款收入33.47</w:t>
      </w:r>
      <w:r>
        <w:rPr>
          <w:rFonts w:hint="default" w:ascii="Times New Roman" w:hAnsi="Times New Roman" w:eastAsia="方正仿宋_GBK" w:cs="Times New Roman"/>
          <w:sz w:val="32"/>
          <w:szCs w:val="32"/>
          <w:shd w:val="clear" w:color="auto" w:fill="FFFFFF"/>
        </w:rPr>
        <w:t>万元，占100.00</w:t>
      </w:r>
      <w:r>
        <w:rPr>
          <w:rFonts w:hint="default" w:ascii="Times New Roman" w:hAnsi="Times New Roman" w:eastAsia="方正仿宋_GBK" w:cs="Times New Roman"/>
          <w:sz w:val="32"/>
          <w:szCs w:val="32"/>
          <w:shd w:val="clear" w:color="auto" w:fill="FFFFFF"/>
        </w:rPr>
        <w:t>%；事业收入0.00</w:t>
      </w:r>
      <w:r>
        <w:rPr>
          <w:rFonts w:hint="default" w:ascii="Times New Roman" w:hAnsi="Times New Roman" w:eastAsia="方正仿宋_GBK" w:cs="Times New Roman"/>
          <w:sz w:val="32"/>
          <w:szCs w:val="32"/>
          <w:shd w:val="clear" w:color="auto" w:fill="FFFFFF"/>
        </w:rPr>
        <w:t>万元，占0.00%；经营收入0.00</w:t>
      </w:r>
      <w:r>
        <w:rPr>
          <w:rFonts w:hint="default" w:ascii="Times New Roman" w:hAnsi="Times New Roman" w:eastAsia="方正仿宋_GBK" w:cs="Times New Roman"/>
          <w:sz w:val="32"/>
          <w:szCs w:val="32"/>
          <w:shd w:val="clear" w:color="auto" w:fill="FFFFFF"/>
        </w:rPr>
        <w:t>万元，占0.00%；其他收入0.00</w:t>
      </w:r>
      <w:r>
        <w:rPr>
          <w:rFonts w:hint="default" w:ascii="Times New Roman" w:hAnsi="Times New Roman" w:eastAsia="方正仿宋_GBK" w:cs="Times New Roman"/>
          <w:sz w:val="32"/>
          <w:szCs w:val="32"/>
          <w:shd w:val="clear" w:color="auto" w:fill="FFFFFF"/>
        </w:rPr>
        <w:t>万元，占0.00%。此外，使用非财政拨款结余和专用结余0.00</w:t>
      </w:r>
      <w:r>
        <w:rPr>
          <w:rFonts w:hint="default" w:ascii="Times New Roman" w:hAnsi="Times New Roman" w:eastAsia="方正仿宋_GBK" w:cs="Times New Roman"/>
          <w:sz w:val="32"/>
          <w:szCs w:val="32"/>
          <w:shd w:val="clear" w:color="auto" w:fill="FFFFFF"/>
        </w:rPr>
        <w:t>万元，年初结转和结余0.00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2023年度支出合计33.47</w:t>
      </w:r>
      <w:r>
        <w:rPr>
          <w:rFonts w:hint="default" w:ascii="Times New Roman" w:hAnsi="Times New Roman" w:eastAsia="方正仿宋_GBK" w:cs="Times New Roman"/>
          <w:sz w:val="32"/>
          <w:szCs w:val="32"/>
          <w:shd w:val="clear" w:color="auto" w:fill="FFFFFF"/>
        </w:rPr>
        <w:t>万元，较上年决算数增加33.47万元，增长100.00%，主要原因是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其中：基本支出33.47</w:t>
      </w:r>
      <w:r>
        <w:rPr>
          <w:rFonts w:hint="default" w:ascii="Times New Roman" w:hAnsi="Times New Roman" w:eastAsia="方正仿宋_GBK" w:cs="Times New Roman"/>
          <w:sz w:val="32"/>
          <w:szCs w:val="32"/>
          <w:shd w:val="clear" w:color="auto" w:fill="FFFFFF"/>
        </w:rPr>
        <w:t>万元，占100.00%；项目支出0.00</w:t>
      </w:r>
      <w:r>
        <w:rPr>
          <w:rFonts w:hint="default" w:ascii="Times New Roman" w:hAnsi="Times New Roman" w:eastAsia="方正仿宋_GBK" w:cs="Times New Roman"/>
          <w:sz w:val="32"/>
          <w:szCs w:val="32"/>
          <w:shd w:val="clear" w:color="auto" w:fill="FFFFFF"/>
        </w:rPr>
        <w:t>万元，占0.00%；经营支出0.00</w:t>
      </w:r>
      <w:r>
        <w:rPr>
          <w:rFonts w:hint="default" w:ascii="Times New Roman" w:hAnsi="Times New Roman" w:eastAsia="方正仿宋_GBK" w:cs="Times New Roman"/>
          <w:sz w:val="32"/>
          <w:szCs w:val="32"/>
          <w:shd w:val="clear" w:color="auto" w:fill="FFFFFF"/>
        </w:rPr>
        <w:t>万元，占0.00%。此外，结余分配0.00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val="en-US" w:eastAsia="zh-CN"/>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本年度预算支付完毕。</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2023年度财政拨款收、支总计33.47万元。与2022年相比，财政拨款收、支总计各增加33.47万元，增长100.00%。主要原因是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1.收入情况。2023年度一般公共预算财政拨款收入33.47</w:t>
      </w:r>
      <w:r>
        <w:rPr>
          <w:rFonts w:hint="default" w:ascii="Times New Roman" w:hAnsi="Times New Roman" w:eastAsia="方正仿宋_GBK" w:cs="Times New Roman"/>
          <w:sz w:val="32"/>
          <w:szCs w:val="32"/>
          <w:shd w:val="clear" w:color="auto" w:fill="FFFFFF"/>
        </w:rPr>
        <w:t>万元，较上年决算数增加33.47万元，增长100.00%。主要原因是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snapToGrid w:val="0"/>
        <w:spacing w:before="0" w:beforeAutospacing="0" w:after="0" w:afterAutospacing="0" w:line="600" w:lineRule="exact"/>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较年初预算数减少3.40万元，下降9.22%。主要原因是</w:t>
      </w:r>
      <w:r>
        <w:rPr>
          <w:rFonts w:hint="eastAsia" w:ascii="Times New Roman" w:hAnsi="Times New Roman" w:eastAsia="方正仿宋_GBK" w:cs="Times New Roman"/>
          <w:sz w:val="32"/>
          <w:szCs w:val="32"/>
          <w:shd w:val="clear" w:color="auto" w:fill="FFFFFF"/>
          <w:lang w:val="en-US" w:eastAsia="zh-CN"/>
        </w:rPr>
        <w:t>落实政府过紧日子要求。</w:t>
      </w:r>
      <w:r>
        <w:rPr>
          <w:rFonts w:hint="default" w:ascii="Times New Roman" w:hAnsi="Times New Roman" w:eastAsia="方正仿宋_GBK" w:cs="Times New Roman"/>
          <w:sz w:val="32"/>
          <w:szCs w:val="32"/>
          <w:shd w:val="clear" w:color="auto" w:fill="FFFFFF"/>
        </w:rPr>
        <w:t>此外，年初财政拨款结转和结余0.00万元。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2.支出情况。2023年度一般公共预算财政拨款支出</w:t>
      </w:r>
      <w:r>
        <w:rPr>
          <w:rFonts w:hint="default" w:ascii="Times New Roman" w:hAnsi="Times New Roman" w:eastAsia="方正仿宋_GBK" w:cs="Times New Roman"/>
          <w:sz w:val="32"/>
          <w:szCs w:val="32"/>
        </w:rPr>
        <w:t>33.47</w:t>
      </w:r>
      <w:r>
        <w:rPr>
          <w:rFonts w:hint="default" w:ascii="Times New Roman" w:hAnsi="Times New Roman" w:eastAsia="方正仿宋_GBK" w:cs="Times New Roman"/>
          <w:sz w:val="32"/>
          <w:szCs w:val="32"/>
          <w:shd w:val="clear" w:color="auto" w:fill="FFFFFF"/>
        </w:rPr>
        <w:t>万元，较上年决算数增加33.47万元，增长100.00%。主要原因是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snapToGrid w:val="0"/>
        <w:spacing w:before="0" w:beforeAutospacing="0" w:after="0" w:afterAutospacing="0" w:line="60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较年初预算数减少3.70万元，下降9.95%。主要原因是</w:t>
      </w:r>
      <w:r>
        <w:rPr>
          <w:rFonts w:hint="eastAsia" w:ascii="Times New Roman" w:hAnsi="Times New Roman" w:eastAsia="方正仿宋_GBK" w:cs="Times New Roman"/>
          <w:color w:val="auto"/>
          <w:sz w:val="32"/>
          <w:szCs w:val="32"/>
          <w:shd w:val="clear" w:color="auto" w:fill="FFFFFF"/>
          <w:lang w:val="en-US" w:eastAsia="zh-CN"/>
        </w:rPr>
        <w:t>落实政府过紧日子要求。</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3.结转结余情况。2023年度年末一般公共预算财政拨款结转和结余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本年度预算支付完毕。</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sz w:val="32"/>
          <w:szCs w:val="32"/>
          <w:shd w:val="clear" w:color="auto" w:fill="FFFFFF"/>
        </w:rPr>
        <w:t xml:space="preserve"> 4.比较情况。本单位2023年度一般公共预算财政拨款支出主要用于以下几个方面：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14.29</w:t>
      </w:r>
      <w:r>
        <w:rPr>
          <w:rFonts w:hint="default" w:ascii="Times New Roman" w:hAnsi="Times New Roman" w:eastAsia="方正仿宋_GBK" w:cs="Times New Roman"/>
          <w:sz w:val="32"/>
          <w:szCs w:val="32"/>
          <w:shd w:val="clear" w:color="auto" w:fill="FFFFFF"/>
        </w:rPr>
        <w:t>%，较年初预算数无增减，主</w:t>
      </w:r>
      <w:r>
        <w:rPr>
          <w:rFonts w:hint="default" w:ascii="Times New Roman" w:hAnsi="Times New Roman" w:eastAsia="方正仿宋_GBK" w:cs="Times New Roman"/>
          <w:color w:val="auto"/>
          <w:sz w:val="32"/>
          <w:szCs w:val="32"/>
          <w:shd w:val="clear" w:color="auto" w:fill="FFFFFF"/>
        </w:rPr>
        <w:t>要原因是</w:t>
      </w:r>
      <w:r>
        <w:rPr>
          <w:rFonts w:hint="eastAsia" w:ascii="Times New Roman" w:hAnsi="Times New Roman" w:eastAsia="方正仿宋_GBK" w:cs="Times New Roman"/>
          <w:color w:val="auto"/>
          <w:sz w:val="32"/>
          <w:szCs w:val="32"/>
          <w:shd w:val="clear" w:color="auto" w:fill="FFFFFF"/>
          <w:lang w:val="en-US" w:eastAsia="zh-CN"/>
        </w:rPr>
        <w:t>人员无变动。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4.14</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人员无变动。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24.51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73.23</w:t>
      </w:r>
      <w:r>
        <w:rPr>
          <w:rFonts w:hint="default" w:ascii="Times New Roman" w:hAnsi="Times New Roman" w:eastAsia="方正仿宋_GBK" w:cs="Times New Roman"/>
          <w:sz w:val="32"/>
          <w:szCs w:val="32"/>
          <w:shd w:val="clear" w:color="auto" w:fill="FFFFFF"/>
        </w:rPr>
        <w:t>%，较年初预算数减少3.70万元，下降13.12%，主要原因是</w:t>
      </w:r>
      <w:r>
        <w:rPr>
          <w:rFonts w:hint="eastAsia" w:ascii="Times New Roman" w:hAnsi="Times New Roman" w:eastAsia="方正仿宋_GBK" w:cs="Times New Roman"/>
          <w:color w:val="auto"/>
          <w:sz w:val="32"/>
          <w:szCs w:val="32"/>
          <w:shd w:val="clear" w:color="auto" w:fill="FFFFFF"/>
          <w:lang w:val="en-US" w:eastAsia="zh-CN"/>
        </w:rPr>
        <w:t>落实政府过紧日子要求。</w:t>
      </w:r>
    </w:p>
    <w:p>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8.34</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人员无变动。</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2023年度一般公共财政拨款基本支出33.47</w:t>
      </w:r>
      <w:r>
        <w:rPr>
          <w:rFonts w:hint="default" w:ascii="Times New Roman" w:hAnsi="Times New Roman" w:eastAsia="方正仿宋_GBK" w:cs="Times New Roman"/>
          <w:sz w:val="32"/>
          <w:szCs w:val="32"/>
          <w:shd w:val="clear" w:color="auto" w:fill="FFFFFF"/>
        </w:rPr>
        <w:t>万元。其中：人员经费30.26</w:t>
      </w:r>
      <w:r>
        <w:rPr>
          <w:rFonts w:hint="default" w:ascii="Times New Roman" w:hAnsi="Times New Roman" w:eastAsia="方正仿宋_GBK" w:cs="Times New Roman"/>
          <w:sz w:val="32"/>
          <w:szCs w:val="32"/>
          <w:shd w:val="clear" w:color="auto" w:fill="FFFFFF"/>
        </w:rPr>
        <w:t>万元，较上年决算数增加30.26万元，增长100.00%，主要原因是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w:t>
      </w:r>
      <w:r>
        <w:rPr>
          <w:rFonts w:hint="eastAsia" w:ascii="Times New Roman" w:hAnsi="Times New Roman" w:eastAsia="方正仿宋_GBK" w:cs="Times New Roman"/>
          <w:sz w:val="32"/>
          <w:szCs w:val="32"/>
          <w:shd w:val="clear" w:color="auto" w:fill="FFFFFF"/>
          <w:lang w:val="en-US" w:eastAsia="zh-CN"/>
        </w:rPr>
        <w:t>工资福利支出</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公用经费3.21</w:t>
      </w:r>
      <w:r>
        <w:rPr>
          <w:rFonts w:hint="default" w:ascii="Times New Roman" w:hAnsi="Times New Roman" w:eastAsia="方正仿宋_GBK" w:cs="Times New Roman"/>
          <w:sz w:val="32"/>
          <w:szCs w:val="32"/>
          <w:shd w:val="clear" w:color="auto" w:fill="FFFFFF"/>
        </w:rPr>
        <w:t>万元，较上年决算数增加3.21万元，增长100.00%，主要原因是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val="en-US" w:eastAsia="zh-CN"/>
        </w:rPr>
        <w:t>办公费、水电费、通信费等</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（一）“三公”经费支出总体情况说明</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三公</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经费支出共计0.00万元，较年初预算数无增减，主要原因是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本单位为下属二级单位，未单列“三公”经费支出。</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本单位为下属二级单位，未单列“三公”经费支出。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本单位无因公出国（境）情况</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本单位无因公出国（境）情况</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本单位未购置公务车</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本单位未购置公务车</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本单位无公务车</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本单位无公务车</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本单位无公务接待</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本单位无公务接待</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无会议费开支</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万元，较上年决算数增加0.10万元，增长100.00%，主要原因是</w:t>
      </w:r>
      <w:r>
        <w:rPr>
          <w:rFonts w:hint="eastAsia" w:ascii="Times New Roman" w:hAnsi="Times New Roman" w:eastAsia="方正仿宋_GBK" w:cs="Times New Roman"/>
          <w:sz w:val="32"/>
          <w:szCs w:val="32"/>
          <w:shd w:val="clear" w:color="auto" w:fill="FFFFFF"/>
          <w:lang w:val="en-US" w:eastAsia="zh-CN"/>
        </w:rPr>
        <w:t>行政执法培训增加。</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2023年度本单位机关运行经费支出0.00万元。按照部门决算列报口径，我单位不在机关运行经费统计范围之内。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val="en-US"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本单位是秀山县龙池镇人民政府下属二级单位，项目预算由本级统筹管理，本单位无财政拨款项目预算和支出，故未组织开展项目绩效自评。</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本单位是秀山县龙池镇人民政府下属二级单位，项目预算由本级统筹管理，本单位无财政拨款项目预算和支出，故未组织开展项目绩效评价。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bookmarkStart w:id="0" w:name="_GoBack"/>
      <w:bookmarkEnd w:id="0"/>
    </w:p>
    <w:p>
      <w:pPr>
        <w:pStyle w:val="11"/>
        <w:autoSpaceDE w:val="0"/>
        <w:ind w:firstLine="643"/>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6"/>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6"/>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color w:val="333333"/>
          <w:kern w:val="2"/>
          <w:sz w:val="32"/>
          <w:szCs w:val="32"/>
        </w:rPr>
      </w:pPr>
      <w:r>
        <w:rPr>
          <w:rFonts w:hint="eastAsia" w:ascii="方正仿宋_GBK" w:hAnsi="方正仿宋_GBK" w:eastAsia="方正仿宋_GBK" w:cs="方正仿宋_GBK"/>
          <w:color w:val="333333"/>
          <w:kern w:val="2"/>
          <w:sz w:val="32"/>
          <w:szCs w:val="32"/>
        </w:rPr>
        <w:t>吴浩宇</w:t>
      </w:r>
      <w:r>
        <w:rPr>
          <w:rFonts w:hint="default" w:ascii="Times New Roman" w:hAnsi="Times New Roman" w:eastAsia="方正仿宋_GBK" w:cs="Times New Roman"/>
          <w:color w:val="333333"/>
          <w:kern w:val="2"/>
          <w:sz w:val="32"/>
          <w:szCs w:val="32"/>
        </w:rPr>
        <w:t xml:space="preserve">  023-</w:t>
      </w:r>
      <w:r>
        <w:rPr>
          <w:rFonts w:hint="eastAsia" w:ascii="Times New Roman" w:hAnsi="Times New Roman" w:eastAsia="方正仿宋_GBK" w:cs="Times New Roman"/>
          <w:color w:val="333333"/>
          <w:kern w:val="2"/>
          <w:sz w:val="32"/>
          <w:szCs w:val="32"/>
        </w:rPr>
        <w:t>76623008</w:t>
      </w:r>
    </w:p>
    <w:p>
      <w:pPr>
        <w:pStyle w:val="11"/>
        <w:autoSpaceDE w:val="0"/>
        <w:ind w:firstLine="0" w:firstLineChars="0"/>
        <w:rPr>
          <w:rStyle w:val="8"/>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重庆市秀山土家族苗族自治县龙池镇综合行政执法大队</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33.47</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33.47</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33.47</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重庆市秀山土家族苗族自治县龙池镇综合行政执法大队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33.47</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33.47</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重庆市秀山土家族苗族自治县龙池镇综合行政执法大队</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重庆市秀山土家族苗族自治县龙池镇综合行政执法大队</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30.26</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重庆市秀山土家族苗族自治县龙池镇综合行政执法大队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重庆市秀山土家族苗族自治县龙池镇综合行政执法大队</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2E2A3F"/>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2D646A"/>
    <w:rsid w:val="1B6F15B6"/>
    <w:rsid w:val="1BAA2EDC"/>
    <w:rsid w:val="1C197851"/>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824135"/>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3D2646"/>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B97573"/>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816B3A"/>
    <w:rsid w:val="48225EF7"/>
    <w:rsid w:val="488F422B"/>
    <w:rsid w:val="48E36915"/>
    <w:rsid w:val="48EB6572"/>
    <w:rsid w:val="495C4A24"/>
    <w:rsid w:val="497135DF"/>
    <w:rsid w:val="4A263DF2"/>
    <w:rsid w:val="4A6F6675"/>
    <w:rsid w:val="4B135857"/>
    <w:rsid w:val="4B7951CB"/>
    <w:rsid w:val="4B7C315C"/>
    <w:rsid w:val="4DA507E4"/>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C4445C"/>
    <w:rsid w:val="6A6C7940"/>
    <w:rsid w:val="6AAD2300"/>
    <w:rsid w:val="6B474EF5"/>
    <w:rsid w:val="6C0A5AC5"/>
    <w:rsid w:val="6C560CAE"/>
    <w:rsid w:val="6C576495"/>
    <w:rsid w:val="6D903FF5"/>
    <w:rsid w:val="6DA955B8"/>
    <w:rsid w:val="6DE346AB"/>
    <w:rsid w:val="6DE5391A"/>
    <w:rsid w:val="6EFD1324"/>
    <w:rsid w:val="6F24761E"/>
    <w:rsid w:val="6F5A53AC"/>
    <w:rsid w:val="6FAC003D"/>
    <w:rsid w:val="6FE55E12"/>
    <w:rsid w:val="6FFB2E76"/>
    <w:rsid w:val="70297679"/>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4</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2024-10-10T02:51:27Z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