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F671F">
      <w:pPr>
        <w:pStyle w:val="11"/>
        <w:keepNext w:val="0"/>
        <w:keepLines w:val="0"/>
        <w:pageBreakBefore w:val="0"/>
        <w:widowControl/>
        <w:kinsoku/>
        <w:wordWrap/>
        <w:overflowPunct/>
        <w:topLinePunct w:val="0"/>
        <w:autoSpaceDN/>
        <w:bidi w:val="0"/>
        <w:adjustRightInd/>
        <w:spacing w:before="0" w:beforeAutospacing="0" w:after="0" w:afterAutospacing="0" w:line="596" w:lineRule="exact"/>
        <w:jc w:val="center"/>
        <w:textAlignment w:val="auto"/>
        <w:rPr>
          <w:rFonts w:ascii="方正小标宋_GBK" w:hAnsi="方正小标宋_GBK" w:eastAsia="方正小标宋_GBK" w:cs="方正小标宋_GBK"/>
          <w:spacing w:val="-20"/>
          <w:w w:val="90"/>
          <w:sz w:val="44"/>
          <w:szCs w:val="44"/>
        </w:rPr>
      </w:pPr>
      <w:r>
        <w:rPr>
          <w:rFonts w:ascii="方正小标宋_GBK" w:hAnsi="方正小标宋_GBK" w:eastAsia="方正小标宋_GBK" w:cs="方正小标宋_GBK"/>
          <w:spacing w:val="-20"/>
          <w:w w:val="90"/>
          <w:sz w:val="44"/>
          <w:szCs w:val="44"/>
        </w:rPr>
        <w:t>秀山土家族苗族自治县乌杨街道社区卫生服务中心</w:t>
      </w:r>
    </w:p>
    <w:p w14:paraId="5CE02820">
      <w:pPr>
        <w:pStyle w:val="11"/>
        <w:keepNext w:val="0"/>
        <w:keepLines w:val="0"/>
        <w:pageBreakBefore w:val="0"/>
        <w:widowControl/>
        <w:kinsoku/>
        <w:wordWrap/>
        <w:overflowPunct/>
        <w:topLinePunct w:val="0"/>
        <w:autoSpaceDN/>
        <w:bidi w:val="0"/>
        <w:adjustRightInd/>
        <w:spacing w:before="0" w:beforeAutospacing="0" w:after="0" w:afterAutospacing="0" w:line="596" w:lineRule="exact"/>
        <w:jc w:val="center"/>
        <w:textAlignment w:val="auto"/>
        <w:rPr>
          <w:rFonts w:ascii="方正小标宋_GBK" w:hAnsi="方正小标宋_GBK" w:eastAsia="方正小标宋_GBK" w:cs="方正小标宋_GBK"/>
          <w:sz w:val="44"/>
          <w:szCs w:val="44"/>
          <w:shd w:val="clear" w:color="auto" w:fill="FFFFFF"/>
        </w:rPr>
      </w:pPr>
      <w:r>
        <w:rPr>
          <w:rFonts w:hint="default" w:ascii="Times New Roman" w:hAnsi="Times New Roman" w:eastAsia="方正小标宋_GBK" w:cs="Times New Roman"/>
          <w:sz w:val="44"/>
          <w:szCs w:val="44"/>
          <w:shd w:val="clear" w:color="auto" w:fill="FFFFFF"/>
        </w:rPr>
        <w:t>2024</w:t>
      </w:r>
      <w:r>
        <w:rPr>
          <w:rFonts w:ascii="方正小标宋_GBK" w:hAnsi="方正小标宋_GBK" w:eastAsia="方正小标宋_GBK" w:cs="方正小标宋_GBK"/>
          <w:sz w:val="44"/>
          <w:szCs w:val="44"/>
          <w:shd w:val="clear" w:color="auto" w:fill="FFFFFF"/>
        </w:rPr>
        <w:t>年度决算公开说明</w:t>
      </w:r>
    </w:p>
    <w:p w14:paraId="173FD3CF">
      <w:pPr>
        <w:pStyle w:val="11"/>
        <w:keepNext w:val="0"/>
        <w:keepLines w:val="0"/>
        <w:pageBreakBefore w:val="0"/>
        <w:widowControl/>
        <w:kinsoku/>
        <w:wordWrap/>
        <w:overflowPunct/>
        <w:topLinePunct w:val="0"/>
        <w:autoSpaceDN/>
        <w:bidi w:val="0"/>
        <w:adjustRightInd/>
        <w:spacing w:before="0" w:beforeAutospacing="0" w:after="0" w:afterAutospacing="0" w:line="596" w:lineRule="exact"/>
        <w:jc w:val="center"/>
        <w:textAlignment w:val="auto"/>
        <w:rPr>
          <w:rFonts w:hint="default" w:ascii="方正小标宋_GBK" w:hAnsi="方正小标宋_GBK" w:eastAsia="方正小标宋_GBK" w:cs="方正小标宋_GBK"/>
          <w:sz w:val="44"/>
          <w:szCs w:val="44"/>
          <w:shd w:val="clear" w:color="auto" w:fill="FFFFFF"/>
        </w:rPr>
      </w:pPr>
    </w:p>
    <w:p w14:paraId="591F299B">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6"/>
          <w:rFonts w:hint="default" w:ascii="Times New Roman" w:hAnsi="Times New Roman" w:eastAsia="方正黑体_GBK" w:cs="Times New Roman"/>
          <w:b w:val="0"/>
          <w:bCs/>
          <w:sz w:val="32"/>
          <w:szCs w:val="32"/>
          <w:shd w:val="clear" w:color="auto" w:fill="FFFFFF"/>
        </w:rPr>
      </w:pPr>
      <w:r>
        <w:rPr>
          <w:rStyle w:val="16"/>
          <w:rFonts w:hint="default" w:ascii="Times New Roman" w:hAnsi="Times New Roman" w:eastAsia="方正黑体_GBK" w:cs="Times New Roman"/>
          <w:b w:val="0"/>
          <w:bCs/>
          <w:sz w:val="32"/>
          <w:szCs w:val="32"/>
          <w:shd w:val="clear" w:color="auto" w:fill="FFFFFF"/>
        </w:rPr>
        <w:t>一、</w:t>
      </w:r>
      <w:r>
        <w:rPr>
          <w:rStyle w:val="16"/>
          <w:rFonts w:hint="default" w:ascii="Times New Roman" w:hAnsi="Times New Roman" w:eastAsia="方正黑体_GBK" w:cs="Times New Roman"/>
          <w:b w:val="0"/>
          <w:bCs/>
          <w:sz w:val="32"/>
          <w:szCs w:val="32"/>
          <w:shd w:val="clear" w:color="auto" w:fill="FFFFFF"/>
          <w:lang w:eastAsia="zh-CN"/>
        </w:rPr>
        <w:t>单位</w:t>
      </w:r>
      <w:r>
        <w:rPr>
          <w:rStyle w:val="16"/>
          <w:rFonts w:hint="default" w:ascii="Times New Roman" w:hAnsi="Times New Roman" w:eastAsia="方正黑体_GBK" w:cs="Times New Roman"/>
          <w:b w:val="0"/>
          <w:bCs/>
          <w:sz w:val="32"/>
          <w:szCs w:val="32"/>
          <w:shd w:val="clear" w:color="auto" w:fill="FFFFFF"/>
        </w:rPr>
        <w:t>基本情况</w:t>
      </w:r>
    </w:p>
    <w:p w14:paraId="4461782F">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楷体_GBK" w:cs="Times New Roman"/>
          <w:sz w:val="32"/>
          <w:szCs w:val="32"/>
          <w:lang w:val="en-US" w:eastAsia="zh-CN"/>
        </w:rPr>
      </w:pPr>
      <w:r>
        <w:rPr>
          <w:rFonts w:hint="default" w:ascii="Times New Roman" w:hAnsi="Times New Roman" w:eastAsia="方正楷体_GBK" w:cs="Times New Roman"/>
          <w:sz w:val="32"/>
          <w:szCs w:val="32"/>
          <w:lang w:eastAsia="zh-CN"/>
        </w:rPr>
        <w:t>（一）</w:t>
      </w:r>
      <w:r>
        <w:rPr>
          <w:rFonts w:hint="default" w:ascii="Times New Roman" w:hAnsi="Times New Roman" w:eastAsia="方正楷体_GBK" w:cs="Times New Roman"/>
          <w:sz w:val="32"/>
          <w:szCs w:val="32"/>
        </w:rPr>
        <w:t>职能职责</w:t>
      </w:r>
    </w:p>
    <w:p w14:paraId="3A8C3308">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属基层医疗卫生机构，为非盈利性医疗机构，应当为居民提供基本医疗和基本公共卫生服务。基层医疗卫生机构应当使用与其能力相适应的技术、设备和药物，按照规范诊疗程序开展常见病、多发病的诊疗和部分疾病的康复、护理，提供中医药诊疗、双向转诊、现场急诊急救等医疗服务。本单位为社区卫生服务中心，应当履行以下公共卫生职责：</w:t>
      </w:r>
    </w:p>
    <w:p w14:paraId="6A59BB52">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1.根据国家和本市规定收集、报送辖区内卫生健康信息，建立和管理居民健康档案，提出改进辖区公共卫生状况的建议；</w:t>
      </w:r>
    </w:p>
    <w:p w14:paraId="12EA28CE">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2.开展健康教育，普及健康知识；</w:t>
      </w:r>
    </w:p>
    <w:p w14:paraId="6B37A31B">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3.协助开展传染病以及地方病、寄生虫病的预防控制，配合开展爱国卫生工作；</w:t>
      </w:r>
    </w:p>
    <w:p w14:paraId="4EFA8F36">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4.做好高危人群、重点慢性病患者的筛查和病例管理；</w:t>
      </w:r>
    </w:p>
    <w:p w14:paraId="2FF13E79">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5.提供心理健康指导服务，实施精神病社区管理；</w:t>
      </w:r>
    </w:p>
    <w:p w14:paraId="4A45FCC9">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6.为妇女、儿童、老年人、残疾人等重点人群提供保健和康复服务；</w:t>
      </w:r>
    </w:p>
    <w:p w14:paraId="37D366DE">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7.提供计划生育技术服务，协助处置辖区内突发公共卫生事件等；</w:t>
      </w:r>
    </w:p>
    <w:p w14:paraId="4261D7E4">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8.按要求提供其他公共卫生服务。</w:t>
      </w:r>
    </w:p>
    <w:p w14:paraId="34836AC7">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（二）机构设置</w:t>
      </w:r>
    </w:p>
    <w:p w14:paraId="4AB7090A">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本单位下设办公室、财务室、医务科、</w:t>
      </w:r>
      <w:r>
        <w:rPr>
          <w:rFonts w:hint="default" w:ascii="Times New Roman" w:hAnsi="Times New Roman" w:eastAsia="方正仿宋_GBK" w:cs="Times New Roman"/>
          <w:sz w:val="32"/>
          <w:szCs w:val="32"/>
          <w:lang w:eastAsia="zh-CN"/>
        </w:rPr>
        <w:t>护理部</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内儿科</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中医科、外妇肛肠科</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公共卫生科、</w:t>
      </w:r>
      <w:r>
        <w:rPr>
          <w:rFonts w:hint="default" w:ascii="Times New Roman" w:hAnsi="Times New Roman" w:eastAsia="方正仿宋_GBK" w:cs="Times New Roman"/>
          <w:sz w:val="32"/>
          <w:szCs w:val="32"/>
        </w:rPr>
        <w:t>门诊部、医技科、库房、药房、收费室。</w:t>
      </w:r>
    </w:p>
    <w:p w14:paraId="12D99334">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6"/>
          <w:rFonts w:hint="default" w:ascii="Times New Roman" w:hAnsi="Times New Roman" w:eastAsia="方正黑体_GBK" w:cs="Times New Roman"/>
          <w:b w:val="0"/>
          <w:bCs/>
          <w:sz w:val="32"/>
          <w:szCs w:val="32"/>
          <w:shd w:val="clear" w:color="auto" w:fill="FFFFFF"/>
        </w:rPr>
      </w:pPr>
      <w:r>
        <w:rPr>
          <w:rStyle w:val="16"/>
          <w:rFonts w:hint="default" w:ascii="Times New Roman" w:hAnsi="Times New Roman" w:eastAsia="方正黑体_GBK" w:cs="Times New Roman"/>
          <w:b w:val="0"/>
          <w:bCs/>
          <w:sz w:val="32"/>
          <w:szCs w:val="32"/>
          <w:shd w:val="clear" w:color="auto" w:fill="FFFFFF"/>
        </w:rPr>
        <w:t>二、</w:t>
      </w:r>
      <w:r>
        <w:rPr>
          <w:rStyle w:val="16"/>
          <w:rFonts w:hint="default" w:ascii="Times New Roman" w:hAnsi="Times New Roman" w:eastAsia="方正黑体_GBK" w:cs="Times New Roman"/>
          <w:b w:val="0"/>
          <w:bCs/>
          <w:sz w:val="32"/>
          <w:szCs w:val="32"/>
          <w:shd w:val="clear" w:color="auto" w:fill="FFFFFF"/>
          <w:lang w:eastAsia="zh-CN"/>
        </w:rPr>
        <w:t>单位</w:t>
      </w:r>
      <w:r>
        <w:rPr>
          <w:rStyle w:val="16"/>
          <w:rFonts w:hint="default" w:ascii="Times New Roman" w:hAnsi="Times New Roman" w:eastAsia="方正黑体_GBK" w:cs="Times New Roman"/>
          <w:b w:val="0"/>
          <w:bCs/>
          <w:sz w:val="32"/>
          <w:szCs w:val="32"/>
          <w:shd w:val="clear" w:color="auto" w:fill="FFFFFF"/>
        </w:rPr>
        <w:t>决算</w:t>
      </w:r>
      <w:r>
        <w:rPr>
          <w:rStyle w:val="16"/>
          <w:rFonts w:hint="default" w:ascii="Times New Roman" w:hAnsi="Times New Roman" w:eastAsia="方正黑体_GBK" w:cs="Times New Roman"/>
          <w:b w:val="0"/>
          <w:bCs/>
          <w:sz w:val="32"/>
          <w:szCs w:val="32"/>
          <w:shd w:val="clear" w:color="auto" w:fill="FFFFFF"/>
          <w:lang w:eastAsia="zh-CN"/>
        </w:rPr>
        <w:t>收支</w:t>
      </w:r>
      <w:r>
        <w:rPr>
          <w:rStyle w:val="16"/>
          <w:rFonts w:hint="default" w:ascii="Times New Roman" w:hAnsi="Times New Roman" w:eastAsia="方正黑体_GBK" w:cs="Times New Roman"/>
          <w:b w:val="0"/>
          <w:bCs/>
          <w:sz w:val="32"/>
          <w:szCs w:val="32"/>
          <w:shd w:val="clear" w:color="auto" w:fill="FFFFFF"/>
        </w:rPr>
        <w:t>情况说明</w:t>
      </w:r>
    </w:p>
    <w:p w14:paraId="151DAF15">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（一）收入支出决算总体情况说明</w:t>
      </w:r>
    </w:p>
    <w:p w14:paraId="11379590">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年度收入总计</w:t>
      </w:r>
      <w:r>
        <w:rPr>
          <w:rFonts w:hint="default" w:ascii="Times New Roman" w:hAnsi="Times New Roman" w:eastAsia="方正仿宋_GBK" w:cs="Times New Roman"/>
          <w:sz w:val="32"/>
          <w:szCs w:val="32"/>
          <w:lang w:val="en-US" w:eastAsia="zh-CN"/>
        </w:rPr>
        <w:t>1175.27</w:t>
      </w:r>
      <w:r>
        <w:rPr>
          <w:rFonts w:hint="default" w:ascii="Times New Roman" w:hAnsi="Times New Roman" w:eastAsia="方正仿宋_GBK" w:cs="Times New Roman"/>
          <w:sz w:val="32"/>
          <w:szCs w:val="32"/>
        </w:rPr>
        <w:t>万元，收</w:t>
      </w:r>
      <w:r>
        <w:rPr>
          <w:rFonts w:hint="default" w:ascii="Times New Roman" w:hAnsi="Times New Roman" w:eastAsia="方正仿宋_GBK" w:cs="Times New Roman"/>
          <w:sz w:val="32"/>
          <w:szCs w:val="32"/>
          <w:lang w:eastAsia="zh-CN"/>
        </w:rPr>
        <w:t>入</w:t>
      </w:r>
      <w:r>
        <w:rPr>
          <w:rFonts w:hint="default" w:ascii="Times New Roman" w:hAnsi="Times New Roman" w:eastAsia="方正仿宋_GBK" w:cs="Times New Roman"/>
          <w:sz w:val="32"/>
          <w:szCs w:val="32"/>
        </w:rPr>
        <w:t>较上年决算数</w:t>
      </w:r>
      <w:r>
        <w:rPr>
          <w:rFonts w:hint="default" w:ascii="Times New Roman" w:hAnsi="Times New Roman" w:eastAsia="方正仿宋_GBK" w:cs="Times New Roman"/>
          <w:sz w:val="32"/>
          <w:szCs w:val="32"/>
          <w:lang w:eastAsia="zh-CN"/>
        </w:rPr>
        <w:t>减少</w:t>
      </w:r>
      <w:r>
        <w:rPr>
          <w:rFonts w:hint="default" w:ascii="Times New Roman" w:hAnsi="Times New Roman" w:eastAsia="方正仿宋_GBK" w:cs="Times New Roman"/>
          <w:sz w:val="32"/>
          <w:szCs w:val="32"/>
          <w:lang w:val="en-US" w:eastAsia="zh-CN"/>
        </w:rPr>
        <w:t>381.83</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降低</w:t>
      </w:r>
      <w:r>
        <w:rPr>
          <w:rFonts w:hint="default" w:ascii="Times New Roman" w:hAnsi="Times New Roman" w:eastAsia="方正仿宋_GBK" w:cs="Times New Roman"/>
          <w:sz w:val="32"/>
          <w:szCs w:val="32"/>
          <w:lang w:val="en-US" w:eastAsia="zh-CN"/>
        </w:rPr>
        <w:t>24.5%，主要原因为基本公共卫生财政拨款不及时，县妇幼保健院预防接种门诊开诊，预防接种收入及儿童保健辅助检查收入降低。</w:t>
      </w:r>
      <w:r>
        <w:rPr>
          <w:rFonts w:hint="default" w:ascii="Times New Roman" w:hAnsi="Times New Roman" w:eastAsia="方正仿宋_GBK" w:cs="Times New Roman"/>
          <w:sz w:val="32"/>
          <w:szCs w:val="32"/>
        </w:rPr>
        <w:t>支出总计</w:t>
      </w:r>
      <w:r>
        <w:rPr>
          <w:rFonts w:hint="default" w:ascii="Times New Roman" w:hAnsi="Times New Roman" w:eastAsia="方正仿宋_GBK" w:cs="Times New Roman"/>
          <w:sz w:val="32"/>
          <w:szCs w:val="32"/>
          <w:lang w:val="en-US" w:eastAsia="zh-CN"/>
        </w:rPr>
        <w:t>1175.27</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较上年决算数</w:t>
      </w:r>
      <w:r>
        <w:rPr>
          <w:rFonts w:hint="default" w:ascii="Times New Roman" w:hAnsi="Times New Roman" w:eastAsia="方正仿宋_GBK" w:cs="Times New Roman"/>
          <w:sz w:val="32"/>
          <w:szCs w:val="32"/>
          <w:lang w:eastAsia="zh-CN"/>
        </w:rPr>
        <w:t>减少</w:t>
      </w:r>
      <w:r>
        <w:rPr>
          <w:rFonts w:hint="default" w:ascii="Times New Roman" w:hAnsi="Times New Roman" w:eastAsia="方正仿宋_GBK" w:cs="Times New Roman"/>
          <w:sz w:val="32"/>
          <w:szCs w:val="32"/>
          <w:lang w:val="en-US" w:eastAsia="zh-CN"/>
        </w:rPr>
        <w:t>381.83</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降低</w:t>
      </w:r>
      <w:r>
        <w:rPr>
          <w:rFonts w:hint="default" w:ascii="Times New Roman" w:hAnsi="Times New Roman" w:eastAsia="方正仿宋_GBK" w:cs="Times New Roman"/>
          <w:sz w:val="32"/>
          <w:szCs w:val="32"/>
          <w:lang w:val="en-US" w:eastAsia="zh-CN"/>
        </w:rPr>
        <w:t>24.5%</w:t>
      </w:r>
      <w:r>
        <w:rPr>
          <w:rFonts w:hint="default" w:ascii="Times New Roman" w:hAnsi="Times New Roman" w:eastAsia="方正仿宋_GBK" w:cs="Times New Roman"/>
          <w:sz w:val="32"/>
          <w:szCs w:val="32"/>
        </w:rPr>
        <w:t>。主要原因是本单位</w:t>
      </w:r>
      <w:r>
        <w:rPr>
          <w:rFonts w:hint="default" w:ascii="Times New Roman" w:hAnsi="Times New Roman" w:eastAsia="方正仿宋_GBK" w:cs="Times New Roman"/>
          <w:sz w:val="32"/>
          <w:szCs w:val="32"/>
          <w:lang w:eastAsia="zh-CN"/>
        </w:rPr>
        <w:t>以收定支进行核算总收入降低，相应总支出随之降低。</w:t>
      </w:r>
    </w:p>
    <w:p w14:paraId="290A2606">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b w:val="0"/>
          <w:bCs w:val="0"/>
          <w:sz w:val="32"/>
          <w:szCs w:val="32"/>
          <w:lang w:val="en-US" w:eastAsia="zh-CN"/>
        </w:rPr>
        <w:t>1</w:t>
      </w:r>
      <w:r>
        <w:rPr>
          <w:rFonts w:hint="default" w:ascii="Times New Roman" w:hAnsi="Times New Roman" w:eastAsia="方正仿宋_GBK" w:cs="Times New Roman"/>
          <w:b w:val="0"/>
          <w:bCs w:val="0"/>
          <w:sz w:val="32"/>
          <w:szCs w:val="32"/>
        </w:rPr>
        <w:t>.收入情况。</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年度收入合计</w:t>
      </w:r>
      <w:r>
        <w:rPr>
          <w:rFonts w:hint="default" w:ascii="Times New Roman" w:hAnsi="Times New Roman" w:eastAsia="方正仿宋_GBK" w:cs="Times New Roman"/>
          <w:sz w:val="32"/>
          <w:szCs w:val="32"/>
          <w:lang w:val="en-US" w:eastAsia="zh-CN"/>
        </w:rPr>
        <w:t>1138.32</w:t>
      </w:r>
      <w:r>
        <w:rPr>
          <w:rFonts w:hint="default" w:ascii="Times New Roman" w:hAnsi="Times New Roman" w:eastAsia="方正仿宋_GBK" w:cs="Times New Roman"/>
          <w:sz w:val="32"/>
          <w:szCs w:val="32"/>
        </w:rPr>
        <w:t>万元，较上年决算数</w:t>
      </w:r>
      <w:r>
        <w:rPr>
          <w:rFonts w:hint="default" w:ascii="Times New Roman" w:hAnsi="Times New Roman" w:eastAsia="方正仿宋_GBK" w:cs="Times New Roman"/>
          <w:sz w:val="32"/>
          <w:szCs w:val="32"/>
          <w:lang w:eastAsia="zh-CN"/>
        </w:rPr>
        <w:t>降低</w:t>
      </w:r>
      <w:r>
        <w:rPr>
          <w:rFonts w:hint="default" w:ascii="Times New Roman" w:hAnsi="Times New Roman" w:eastAsia="方正仿宋_GBK" w:cs="Times New Roman"/>
          <w:sz w:val="32"/>
          <w:szCs w:val="32"/>
          <w:lang w:val="en-US" w:eastAsia="zh-CN"/>
        </w:rPr>
        <w:t>396.48</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降低</w:t>
      </w:r>
      <w:r>
        <w:rPr>
          <w:rFonts w:hint="default" w:ascii="Times New Roman" w:hAnsi="Times New Roman" w:eastAsia="方正仿宋_GBK" w:cs="Times New Roman"/>
          <w:sz w:val="32"/>
          <w:szCs w:val="32"/>
          <w:lang w:val="en-US" w:eastAsia="zh-CN"/>
        </w:rPr>
        <w:t>25.8</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主要原因为基本公共卫生财政拨款不及时，县妇幼保健院预防接种门诊开诊，预防接种收入及儿童保健辅助检查收入降低。</w:t>
      </w:r>
      <w:r>
        <w:rPr>
          <w:rFonts w:hint="default" w:ascii="Times New Roman" w:hAnsi="Times New Roman" w:eastAsia="方正仿宋_GBK" w:cs="Times New Roman"/>
          <w:sz w:val="32"/>
          <w:szCs w:val="32"/>
        </w:rPr>
        <w:t>其中：财政拨款收入</w:t>
      </w:r>
      <w:r>
        <w:rPr>
          <w:rFonts w:hint="default" w:ascii="Times New Roman" w:hAnsi="Times New Roman" w:eastAsia="方正仿宋_GBK" w:cs="Times New Roman"/>
          <w:sz w:val="32"/>
          <w:szCs w:val="32"/>
          <w:lang w:val="en-US" w:eastAsia="zh-CN"/>
        </w:rPr>
        <w:t>380.59</w:t>
      </w:r>
      <w:r>
        <w:rPr>
          <w:rFonts w:hint="default" w:ascii="Times New Roman" w:hAnsi="Times New Roman" w:eastAsia="方正仿宋_GBK" w:cs="Times New Roman"/>
          <w:sz w:val="32"/>
          <w:szCs w:val="32"/>
        </w:rPr>
        <w:t>万元，占</w:t>
      </w:r>
      <w:r>
        <w:rPr>
          <w:rFonts w:hint="default" w:ascii="Times New Roman" w:hAnsi="Times New Roman" w:eastAsia="方正仿宋_GBK" w:cs="Times New Roman"/>
          <w:sz w:val="32"/>
          <w:szCs w:val="32"/>
          <w:lang w:val="en-US" w:eastAsia="zh-CN"/>
        </w:rPr>
        <w:t>33.4</w:t>
      </w:r>
      <w:r>
        <w:rPr>
          <w:rFonts w:hint="default" w:ascii="Times New Roman" w:hAnsi="Times New Roman" w:eastAsia="方正仿宋_GBK" w:cs="Times New Roman"/>
          <w:sz w:val="32"/>
          <w:szCs w:val="32"/>
        </w:rPr>
        <w:t>%；事业收入</w:t>
      </w:r>
      <w:r>
        <w:rPr>
          <w:rFonts w:hint="default" w:ascii="Times New Roman" w:hAnsi="Times New Roman" w:eastAsia="方正仿宋_GBK" w:cs="Times New Roman"/>
          <w:sz w:val="32"/>
          <w:szCs w:val="32"/>
          <w:lang w:val="en-US" w:eastAsia="zh-CN"/>
        </w:rPr>
        <w:t>750.47</w:t>
      </w:r>
      <w:r>
        <w:rPr>
          <w:rFonts w:hint="default" w:ascii="Times New Roman" w:hAnsi="Times New Roman" w:eastAsia="方正仿宋_GBK" w:cs="Times New Roman"/>
          <w:sz w:val="32"/>
          <w:szCs w:val="32"/>
        </w:rPr>
        <w:t>万元，占</w:t>
      </w:r>
      <w:r>
        <w:rPr>
          <w:rFonts w:hint="default" w:ascii="Times New Roman" w:hAnsi="Times New Roman" w:eastAsia="方正仿宋_GBK" w:cs="Times New Roman"/>
          <w:sz w:val="32"/>
          <w:szCs w:val="32"/>
          <w:lang w:val="en-US" w:eastAsia="zh-CN"/>
        </w:rPr>
        <w:t>65.9</w:t>
      </w:r>
      <w:r>
        <w:rPr>
          <w:rFonts w:hint="default" w:ascii="Times New Roman" w:hAnsi="Times New Roman" w:eastAsia="方正仿宋_GBK" w:cs="Times New Roman"/>
          <w:sz w:val="32"/>
          <w:szCs w:val="32"/>
        </w:rPr>
        <w:t>%；经营收入0.00万元，占0.00%；其他收入</w:t>
      </w:r>
      <w:r>
        <w:rPr>
          <w:rFonts w:hint="default" w:ascii="Times New Roman" w:hAnsi="Times New Roman" w:eastAsia="方正仿宋_GBK" w:cs="Times New Roman"/>
          <w:sz w:val="32"/>
          <w:szCs w:val="32"/>
          <w:lang w:val="en-US" w:eastAsia="zh-CN"/>
        </w:rPr>
        <w:t>7.26</w:t>
      </w:r>
      <w:r>
        <w:rPr>
          <w:rFonts w:hint="default" w:ascii="Times New Roman" w:hAnsi="Times New Roman" w:eastAsia="方正仿宋_GBK" w:cs="Times New Roman"/>
          <w:sz w:val="32"/>
          <w:szCs w:val="32"/>
        </w:rPr>
        <w:t>万元，占</w:t>
      </w:r>
      <w:r>
        <w:rPr>
          <w:rFonts w:hint="default" w:ascii="Times New Roman" w:hAnsi="Times New Roman" w:eastAsia="方正仿宋_GBK" w:cs="Times New Roman"/>
          <w:sz w:val="32"/>
          <w:szCs w:val="32"/>
          <w:lang w:val="en-US" w:eastAsia="zh-CN"/>
        </w:rPr>
        <w:t>0.</w:t>
      </w:r>
      <w:r>
        <w:rPr>
          <w:rFonts w:hint="eastAsia" w:ascii="Times New Roman" w:hAnsi="Times New Roman" w:eastAsia="方正仿宋_GBK" w:cs="Times New Roman"/>
          <w:sz w:val="32"/>
          <w:szCs w:val="32"/>
          <w:lang w:val="en-US" w:eastAsia="zh-CN"/>
        </w:rPr>
        <w:t>7</w:t>
      </w:r>
      <w:r>
        <w:rPr>
          <w:rFonts w:hint="default" w:ascii="Times New Roman" w:hAnsi="Times New Roman" w:eastAsia="方正仿宋_GBK" w:cs="Times New Roman"/>
          <w:sz w:val="32"/>
          <w:szCs w:val="32"/>
        </w:rPr>
        <w:t>%。此外，使用非财政拨款结余和专用结余0.00万元，年初结转和结余</w:t>
      </w:r>
      <w:r>
        <w:rPr>
          <w:rFonts w:hint="default" w:ascii="Times New Roman" w:hAnsi="Times New Roman" w:eastAsia="方正仿宋_GBK" w:cs="Times New Roman"/>
          <w:sz w:val="32"/>
          <w:szCs w:val="32"/>
          <w:lang w:val="en-US" w:eastAsia="zh-CN"/>
        </w:rPr>
        <w:t>36.95</w:t>
      </w:r>
      <w:r>
        <w:rPr>
          <w:rFonts w:hint="default" w:ascii="Times New Roman" w:hAnsi="Times New Roman" w:eastAsia="方正仿宋_GBK" w:cs="Times New Roman"/>
          <w:sz w:val="32"/>
          <w:szCs w:val="32"/>
        </w:rPr>
        <w:t>万元。</w:t>
      </w:r>
    </w:p>
    <w:p w14:paraId="538E4D5C">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b w:val="0"/>
          <w:bCs w:val="0"/>
          <w:sz w:val="32"/>
          <w:szCs w:val="32"/>
          <w:lang w:val="en-US" w:eastAsia="zh-CN"/>
        </w:rPr>
        <w:t>2</w:t>
      </w:r>
      <w:r>
        <w:rPr>
          <w:rFonts w:hint="default" w:ascii="Times New Roman" w:hAnsi="Times New Roman" w:eastAsia="方正仿宋_GBK" w:cs="Times New Roman"/>
          <w:b w:val="0"/>
          <w:bCs w:val="0"/>
          <w:sz w:val="32"/>
          <w:szCs w:val="32"/>
        </w:rPr>
        <w:t>.支出情况。</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年度支出合计</w:t>
      </w:r>
      <w:r>
        <w:rPr>
          <w:rFonts w:hint="default" w:ascii="Times New Roman" w:hAnsi="Times New Roman" w:eastAsia="方正仿宋_GBK" w:cs="Times New Roman"/>
          <w:sz w:val="32"/>
          <w:szCs w:val="32"/>
          <w:lang w:val="en-US" w:eastAsia="zh-CN"/>
        </w:rPr>
        <w:t>1175.27</w:t>
      </w:r>
      <w:r>
        <w:rPr>
          <w:rFonts w:hint="default" w:ascii="Times New Roman" w:hAnsi="Times New Roman" w:eastAsia="方正仿宋_GBK" w:cs="Times New Roman"/>
          <w:sz w:val="32"/>
          <w:szCs w:val="32"/>
        </w:rPr>
        <w:t>万元，较上年决算数</w:t>
      </w:r>
      <w:r>
        <w:rPr>
          <w:rFonts w:hint="default" w:ascii="Times New Roman" w:hAnsi="Times New Roman" w:eastAsia="方正仿宋_GBK" w:cs="Times New Roman"/>
          <w:sz w:val="32"/>
          <w:szCs w:val="32"/>
          <w:lang w:eastAsia="zh-CN"/>
        </w:rPr>
        <w:t>减少</w:t>
      </w:r>
      <w:r>
        <w:rPr>
          <w:rFonts w:hint="default" w:ascii="Times New Roman" w:hAnsi="Times New Roman" w:eastAsia="方正仿宋_GBK" w:cs="Times New Roman"/>
          <w:sz w:val="32"/>
          <w:szCs w:val="32"/>
          <w:lang w:val="en-US" w:eastAsia="zh-CN"/>
        </w:rPr>
        <w:t>344.89</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降低</w:t>
      </w:r>
      <w:r>
        <w:rPr>
          <w:rFonts w:hint="default" w:ascii="Times New Roman" w:hAnsi="Times New Roman" w:eastAsia="方正仿宋_GBK" w:cs="Times New Roman"/>
          <w:sz w:val="32"/>
          <w:szCs w:val="32"/>
          <w:lang w:val="en-US" w:eastAsia="zh-CN"/>
        </w:rPr>
        <w:t>22.6</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主要原因为</w:t>
      </w:r>
      <w:r>
        <w:rPr>
          <w:rFonts w:hint="eastAsia" w:ascii="Times New Roman" w:hAnsi="Times New Roman" w:eastAsia="方正仿宋_GBK" w:cs="Times New Roman"/>
          <w:sz w:val="32"/>
          <w:szCs w:val="32"/>
          <w:lang w:val="en-US" w:eastAsia="zh-CN"/>
        </w:rPr>
        <w:t>本</w:t>
      </w:r>
      <w:r>
        <w:rPr>
          <w:rFonts w:hint="default" w:ascii="Times New Roman" w:hAnsi="Times New Roman" w:eastAsia="方正仿宋_GBK" w:cs="Times New Roman"/>
          <w:sz w:val="32"/>
          <w:szCs w:val="32"/>
          <w:lang w:val="en-US" w:eastAsia="zh-CN"/>
        </w:rPr>
        <w:t>单位</w:t>
      </w:r>
      <w:r>
        <w:rPr>
          <w:rFonts w:hint="default" w:ascii="Times New Roman" w:hAnsi="Times New Roman" w:eastAsia="方正仿宋_GBK" w:cs="Times New Roman"/>
          <w:sz w:val="32"/>
          <w:szCs w:val="32"/>
          <w:lang w:eastAsia="zh-CN"/>
        </w:rPr>
        <w:t>以收定支进行核算。由于</w:t>
      </w:r>
      <w:r>
        <w:rPr>
          <w:rFonts w:hint="default" w:ascii="Times New Roman" w:hAnsi="Times New Roman" w:eastAsia="方正仿宋_GBK" w:cs="Times New Roman"/>
          <w:sz w:val="32"/>
          <w:szCs w:val="32"/>
          <w:lang w:val="en-US" w:eastAsia="zh-CN"/>
        </w:rPr>
        <w:t>基本公共卫生财政拨款不及时，县妇幼保健院预防接种门诊开诊，预防接种收入及儿童保健辅助检查收入降低</w:t>
      </w:r>
      <w:r>
        <w:rPr>
          <w:rFonts w:hint="default" w:ascii="Times New Roman" w:hAnsi="Times New Roman" w:eastAsia="方正仿宋_GBK" w:cs="Times New Roman"/>
          <w:sz w:val="32"/>
          <w:szCs w:val="32"/>
          <w:lang w:eastAsia="zh-CN"/>
        </w:rPr>
        <w:t>导致相应总支出随之降低。</w:t>
      </w:r>
      <w:r>
        <w:rPr>
          <w:rFonts w:hint="default" w:ascii="Times New Roman" w:hAnsi="Times New Roman" w:eastAsia="方正仿宋_GBK" w:cs="Times New Roman"/>
          <w:sz w:val="32"/>
          <w:szCs w:val="32"/>
        </w:rPr>
        <w:t>其中：基本支出</w:t>
      </w:r>
      <w:r>
        <w:rPr>
          <w:rFonts w:hint="default" w:ascii="Times New Roman" w:hAnsi="Times New Roman" w:eastAsia="方正仿宋_GBK" w:cs="Times New Roman"/>
          <w:sz w:val="32"/>
          <w:szCs w:val="32"/>
          <w:lang w:val="en-US" w:eastAsia="zh-CN"/>
        </w:rPr>
        <w:t>1155.38</w:t>
      </w:r>
      <w:r>
        <w:rPr>
          <w:rFonts w:hint="default" w:ascii="Times New Roman" w:hAnsi="Times New Roman" w:eastAsia="方正仿宋_GBK" w:cs="Times New Roman"/>
          <w:sz w:val="32"/>
          <w:szCs w:val="32"/>
        </w:rPr>
        <w:t>万元，占</w:t>
      </w:r>
      <w:r>
        <w:rPr>
          <w:rFonts w:hint="eastAsia" w:ascii="Times New Roman" w:hAnsi="Times New Roman" w:eastAsia="方正仿宋_GBK" w:cs="Times New Roman"/>
          <w:sz w:val="32"/>
          <w:szCs w:val="32"/>
          <w:lang w:val="en-US" w:eastAsia="zh-CN"/>
        </w:rPr>
        <w:t>98.3</w:t>
      </w:r>
      <w:r>
        <w:rPr>
          <w:rFonts w:hint="default" w:ascii="Times New Roman" w:hAnsi="Times New Roman" w:eastAsia="方正仿宋_GBK" w:cs="Times New Roman"/>
          <w:sz w:val="32"/>
          <w:szCs w:val="32"/>
        </w:rPr>
        <w:t>%；项目支出</w:t>
      </w:r>
      <w:r>
        <w:rPr>
          <w:rFonts w:hint="default" w:ascii="Times New Roman" w:hAnsi="Times New Roman" w:eastAsia="方正仿宋_GBK" w:cs="Times New Roman"/>
          <w:sz w:val="32"/>
          <w:szCs w:val="32"/>
          <w:lang w:val="en-US" w:eastAsia="zh-CN"/>
        </w:rPr>
        <w:t>19.89</w:t>
      </w:r>
      <w:r>
        <w:rPr>
          <w:rFonts w:hint="default" w:ascii="Times New Roman" w:hAnsi="Times New Roman" w:eastAsia="方正仿宋_GBK" w:cs="Times New Roman"/>
          <w:sz w:val="32"/>
          <w:szCs w:val="32"/>
        </w:rPr>
        <w:t>万元，占</w:t>
      </w:r>
      <w:r>
        <w:rPr>
          <w:rFonts w:hint="eastAsia" w:ascii="Times New Roman" w:hAnsi="Times New Roman" w:eastAsia="方正仿宋_GBK" w:cs="Times New Roman"/>
          <w:sz w:val="32"/>
          <w:szCs w:val="32"/>
          <w:lang w:val="en-US" w:eastAsia="zh-CN"/>
        </w:rPr>
        <w:t>1.7</w:t>
      </w:r>
      <w:r>
        <w:rPr>
          <w:rFonts w:hint="default" w:ascii="Times New Roman" w:hAnsi="Times New Roman" w:eastAsia="方正仿宋_GBK" w:cs="Times New Roman"/>
          <w:sz w:val="32"/>
          <w:szCs w:val="32"/>
        </w:rPr>
        <w:t>%；经营支出0.00万元，占0.0%。此外，结余分配0.00万元。</w:t>
      </w:r>
    </w:p>
    <w:p w14:paraId="0D009486">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b w:val="0"/>
          <w:bCs w:val="0"/>
          <w:sz w:val="32"/>
          <w:szCs w:val="32"/>
          <w:lang w:val="en-US" w:eastAsia="zh-CN"/>
        </w:rPr>
        <w:t>3</w:t>
      </w:r>
      <w:r>
        <w:rPr>
          <w:rFonts w:hint="default" w:ascii="Times New Roman" w:hAnsi="Times New Roman" w:eastAsia="方正仿宋_GBK" w:cs="Times New Roman"/>
          <w:b w:val="0"/>
          <w:bCs w:val="0"/>
          <w:sz w:val="32"/>
          <w:szCs w:val="32"/>
        </w:rPr>
        <w:t>.结转结余情况</w:t>
      </w:r>
      <w:r>
        <w:rPr>
          <w:rFonts w:hint="default" w:ascii="Times New Roman" w:hAnsi="Times New Roman" w:eastAsia="方正仿宋_GBK" w:cs="Times New Roman"/>
          <w:b/>
          <w:bCs/>
          <w:sz w:val="32"/>
          <w:szCs w:val="32"/>
        </w:rPr>
        <w:t>。</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年度年末结转和结余</w:t>
      </w:r>
      <w:r>
        <w:rPr>
          <w:rFonts w:hint="default" w:ascii="Times New Roman" w:hAnsi="Times New Roman" w:eastAsia="方正仿宋_GBK" w:cs="Times New Roman"/>
          <w:sz w:val="32"/>
          <w:szCs w:val="32"/>
          <w:lang w:val="en-US" w:eastAsia="zh-CN"/>
        </w:rPr>
        <w:t>0</w:t>
      </w:r>
      <w:r>
        <w:rPr>
          <w:rFonts w:hint="default" w:ascii="Times New Roman" w:hAnsi="Times New Roman" w:eastAsia="方正仿宋_GBK" w:cs="Times New Roman"/>
          <w:sz w:val="32"/>
          <w:szCs w:val="32"/>
        </w:rPr>
        <w:t>万元，较上年决算数</w:t>
      </w:r>
      <w:r>
        <w:rPr>
          <w:rFonts w:hint="default" w:ascii="Times New Roman" w:hAnsi="Times New Roman" w:eastAsia="方正仿宋_GBK" w:cs="Times New Roman"/>
          <w:sz w:val="32"/>
          <w:szCs w:val="32"/>
          <w:lang w:eastAsia="zh-CN"/>
        </w:rPr>
        <w:t>减少</w:t>
      </w:r>
      <w:r>
        <w:rPr>
          <w:rFonts w:hint="default" w:ascii="Times New Roman" w:hAnsi="Times New Roman" w:eastAsia="方正仿宋_GBK" w:cs="Times New Roman"/>
          <w:sz w:val="32"/>
          <w:szCs w:val="32"/>
        </w:rPr>
        <w:t>36.95万元，</w:t>
      </w:r>
      <w:r>
        <w:rPr>
          <w:rFonts w:hint="default" w:ascii="Times New Roman" w:hAnsi="Times New Roman" w:eastAsia="方正仿宋_GBK" w:cs="Times New Roman"/>
          <w:sz w:val="32"/>
          <w:szCs w:val="32"/>
          <w:lang w:eastAsia="zh-CN"/>
        </w:rPr>
        <w:t>降低</w:t>
      </w:r>
      <w:r>
        <w:rPr>
          <w:rFonts w:hint="default" w:ascii="Times New Roman" w:hAnsi="Times New Roman" w:eastAsia="方正仿宋_GBK" w:cs="Times New Roman"/>
          <w:sz w:val="32"/>
          <w:szCs w:val="32"/>
          <w:lang w:val="en-US" w:eastAsia="zh-CN"/>
        </w:rPr>
        <w:t>100%</w:t>
      </w:r>
      <w:r>
        <w:rPr>
          <w:rFonts w:hint="default" w:ascii="Times New Roman" w:hAnsi="Times New Roman" w:eastAsia="方正仿宋_GBK" w:cs="Times New Roman"/>
          <w:sz w:val="32"/>
          <w:szCs w:val="32"/>
        </w:rPr>
        <w:t>，主要原因是</w:t>
      </w:r>
      <w:r>
        <w:rPr>
          <w:rFonts w:hint="default" w:ascii="Times New Roman" w:hAnsi="Times New Roman" w:eastAsia="方正仿宋_GBK" w:cs="Times New Roman"/>
          <w:sz w:val="32"/>
          <w:szCs w:val="32"/>
          <w:lang w:val="en-US" w:eastAsia="zh-CN"/>
        </w:rPr>
        <w:t>2024年基本公共卫生财政拨款不及时，未计提超额绩效及单位发展基金。</w:t>
      </w:r>
    </w:p>
    <w:p w14:paraId="53C4101C">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（二）财政拨款收入支出决算总体情况说明</w:t>
      </w:r>
    </w:p>
    <w:p w14:paraId="5F77276D">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年度财政拨款收、支总计</w:t>
      </w:r>
      <w:r>
        <w:rPr>
          <w:rFonts w:hint="default" w:ascii="Times New Roman" w:hAnsi="Times New Roman" w:eastAsia="方正仿宋_GBK" w:cs="Times New Roman"/>
          <w:sz w:val="32"/>
          <w:szCs w:val="32"/>
          <w:lang w:val="en-US" w:eastAsia="zh-CN"/>
        </w:rPr>
        <w:t>380.59</w:t>
      </w:r>
      <w:r>
        <w:rPr>
          <w:rFonts w:hint="default" w:ascii="Times New Roman" w:hAnsi="Times New Roman" w:eastAsia="方正仿宋_GBK" w:cs="Times New Roman"/>
          <w:sz w:val="32"/>
          <w:szCs w:val="32"/>
        </w:rPr>
        <w:t>万元。与202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年相比，财政拨款收、支总计各</w:t>
      </w:r>
      <w:r>
        <w:rPr>
          <w:rFonts w:hint="default" w:ascii="Times New Roman" w:hAnsi="Times New Roman" w:eastAsia="方正仿宋_GBK" w:cs="Times New Roman"/>
          <w:sz w:val="32"/>
          <w:szCs w:val="32"/>
          <w:lang w:eastAsia="zh-CN"/>
        </w:rPr>
        <w:t>降低</w:t>
      </w:r>
      <w:r>
        <w:rPr>
          <w:rFonts w:hint="default" w:ascii="Times New Roman" w:hAnsi="Times New Roman" w:eastAsia="方正仿宋_GBK" w:cs="Times New Roman"/>
          <w:sz w:val="32"/>
          <w:szCs w:val="32"/>
          <w:lang w:val="en-US" w:eastAsia="zh-CN"/>
        </w:rPr>
        <w:t>299.56</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下降</w:t>
      </w:r>
      <w:r>
        <w:rPr>
          <w:rFonts w:hint="default" w:ascii="Times New Roman" w:hAnsi="Times New Roman" w:eastAsia="方正仿宋_GBK" w:cs="Times New Roman"/>
          <w:sz w:val="32"/>
          <w:szCs w:val="32"/>
          <w:lang w:val="en-US" w:eastAsia="zh-CN"/>
        </w:rPr>
        <w:t>44</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%。主要原因</w:t>
      </w:r>
      <w:r>
        <w:rPr>
          <w:rFonts w:hint="default" w:ascii="Times New Roman" w:hAnsi="Times New Roman" w:eastAsia="方正仿宋_GBK" w:cs="Times New Roman"/>
          <w:sz w:val="32"/>
          <w:szCs w:val="32"/>
          <w:lang w:val="en-US" w:eastAsia="zh-CN"/>
        </w:rPr>
        <w:t>为基本公共卫生财政拨款不及时</w:t>
      </w:r>
      <w:r>
        <w:rPr>
          <w:rFonts w:hint="default" w:ascii="Times New Roman" w:hAnsi="Times New Roman" w:eastAsia="方正仿宋_GBK" w:cs="Times New Roman"/>
          <w:sz w:val="32"/>
          <w:szCs w:val="32"/>
        </w:rPr>
        <w:t>。</w:t>
      </w:r>
    </w:p>
    <w:p w14:paraId="19718FF0">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（三）一般公共预算财政拨款收入支出决算情况说明</w:t>
      </w:r>
    </w:p>
    <w:p w14:paraId="61A9D7E9">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val="0"/>
          <w:bCs w:val="0"/>
          <w:sz w:val="32"/>
          <w:szCs w:val="32"/>
        </w:rPr>
        <w:t>1.收入情况。</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年度一般公共预算财政拨款收入</w:t>
      </w:r>
      <w:r>
        <w:rPr>
          <w:rFonts w:hint="default" w:ascii="Times New Roman" w:hAnsi="Times New Roman" w:eastAsia="方正仿宋_GBK" w:cs="Times New Roman"/>
          <w:sz w:val="32"/>
          <w:szCs w:val="32"/>
          <w:lang w:val="en-US" w:eastAsia="zh-CN"/>
        </w:rPr>
        <w:t>250.18</w:t>
      </w:r>
      <w:r>
        <w:rPr>
          <w:rFonts w:hint="default" w:ascii="Times New Roman" w:hAnsi="Times New Roman" w:eastAsia="方正仿宋_GBK" w:cs="Times New Roman"/>
          <w:sz w:val="32"/>
          <w:szCs w:val="32"/>
        </w:rPr>
        <w:t>万元，较上年决算数</w:t>
      </w:r>
      <w:r>
        <w:rPr>
          <w:rFonts w:hint="default" w:ascii="Times New Roman" w:hAnsi="Times New Roman" w:eastAsia="方正仿宋_GBK" w:cs="Times New Roman"/>
          <w:sz w:val="32"/>
          <w:szCs w:val="32"/>
          <w:lang w:eastAsia="zh-CN"/>
        </w:rPr>
        <w:t>降低</w:t>
      </w:r>
      <w:r>
        <w:rPr>
          <w:rFonts w:hint="default" w:ascii="Times New Roman" w:hAnsi="Times New Roman" w:eastAsia="方正仿宋_GBK" w:cs="Times New Roman"/>
          <w:sz w:val="32"/>
          <w:szCs w:val="32"/>
          <w:lang w:val="en-US" w:eastAsia="zh-CN"/>
        </w:rPr>
        <w:t>429.97</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下降</w:t>
      </w:r>
      <w:r>
        <w:rPr>
          <w:rFonts w:hint="default" w:ascii="Times New Roman" w:hAnsi="Times New Roman" w:eastAsia="方正仿宋_GBK" w:cs="Times New Roman"/>
          <w:sz w:val="32"/>
          <w:szCs w:val="32"/>
          <w:lang w:val="en-US" w:eastAsia="zh-CN"/>
        </w:rPr>
        <w:t>63</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%。主要原因</w:t>
      </w:r>
      <w:r>
        <w:rPr>
          <w:rFonts w:hint="default" w:ascii="Times New Roman" w:hAnsi="Times New Roman" w:eastAsia="方正仿宋_GBK" w:cs="Times New Roman"/>
          <w:sz w:val="32"/>
          <w:szCs w:val="32"/>
          <w:lang w:val="en-US" w:eastAsia="zh-CN"/>
        </w:rPr>
        <w:t>年初预算数未包含2024年基本公共卫生财政拨款</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较年初预算数增加</w:t>
      </w:r>
      <w:r>
        <w:rPr>
          <w:rFonts w:hint="default" w:ascii="Times New Roman" w:hAnsi="Times New Roman" w:eastAsia="方正仿宋_GBK" w:cs="Times New Roman"/>
          <w:sz w:val="32"/>
          <w:szCs w:val="32"/>
          <w:lang w:val="en-US" w:eastAsia="zh-CN"/>
        </w:rPr>
        <w:t>130.41</w:t>
      </w:r>
      <w:r>
        <w:rPr>
          <w:rFonts w:hint="default" w:ascii="Times New Roman" w:hAnsi="Times New Roman" w:eastAsia="方正仿宋_GBK" w:cs="Times New Roman"/>
          <w:sz w:val="32"/>
          <w:szCs w:val="32"/>
        </w:rPr>
        <w:t>万元，增长</w:t>
      </w:r>
      <w:r>
        <w:rPr>
          <w:rFonts w:hint="default" w:ascii="Times New Roman" w:hAnsi="Times New Roman" w:eastAsia="方正仿宋_GBK" w:cs="Times New Roman"/>
          <w:sz w:val="32"/>
          <w:szCs w:val="32"/>
          <w:lang w:val="en-US" w:eastAsia="zh-CN"/>
        </w:rPr>
        <w:t>52</w:t>
      </w:r>
      <w:r>
        <w:rPr>
          <w:rFonts w:hint="eastAsia"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%。主要原因是年初预算主要</w:t>
      </w:r>
      <w:r>
        <w:rPr>
          <w:rFonts w:hint="default" w:ascii="Times New Roman" w:hAnsi="Times New Roman" w:eastAsia="方正仿宋_GBK" w:cs="Times New Roman"/>
          <w:sz w:val="32"/>
          <w:szCs w:val="32"/>
          <w:lang w:eastAsia="zh-CN"/>
        </w:rPr>
        <w:t>核算人员费用并未核算基本公共财政拨款金额</w:t>
      </w:r>
      <w:r>
        <w:rPr>
          <w:rFonts w:hint="default" w:ascii="Times New Roman" w:hAnsi="Times New Roman" w:eastAsia="方正仿宋_GBK" w:cs="Times New Roman"/>
          <w:sz w:val="32"/>
          <w:szCs w:val="32"/>
        </w:rPr>
        <w:t>，实际财政拨款收入由财政根据</w:t>
      </w:r>
      <w:r>
        <w:rPr>
          <w:rFonts w:hint="default" w:ascii="Times New Roman" w:hAnsi="Times New Roman" w:eastAsia="方正仿宋_GBK" w:cs="Times New Roman"/>
          <w:sz w:val="32"/>
          <w:szCs w:val="32"/>
          <w:lang w:eastAsia="zh-CN"/>
        </w:rPr>
        <w:t>基本公共卫生</w:t>
      </w:r>
      <w:r>
        <w:rPr>
          <w:rFonts w:hint="default" w:ascii="Times New Roman" w:hAnsi="Times New Roman" w:eastAsia="方正仿宋_GBK" w:cs="Times New Roman"/>
          <w:sz w:val="32"/>
          <w:szCs w:val="32"/>
        </w:rPr>
        <w:t>资金分配情况统一安排拨款。此外，年初财政拨款结转和结余0.00万元。</w:t>
      </w:r>
    </w:p>
    <w:p w14:paraId="18429877">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val="0"/>
          <w:bCs w:val="0"/>
          <w:sz w:val="32"/>
          <w:szCs w:val="32"/>
        </w:rPr>
        <w:t>2.支出情况。</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年度一般公共预算财政拨款支出</w:t>
      </w:r>
      <w:r>
        <w:rPr>
          <w:rFonts w:hint="default" w:ascii="Times New Roman" w:hAnsi="Times New Roman" w:eastAsia="方正仿宋_GBK" w:cs="Times New Roman"/>
          <w:sz w:val="32"/>
          <w:szCs w:val="32"/>
          <w:lang w:val="en-US" w:eastAsia="zh-CN"/>
        </w:rPr>
        <w:t>250.18</w:t>
      </w:r>
      <w:r>
        <w:rPr>
          <w:rFonts w:hint="default" w:ascii="Times New Roman" w:hAnsi="Times New Roman" w:eastAsia="方正仿宋_GBK" w:cs="Times New Roman"/>
          <w:sz w:val="32"/>
          <w:szCs w:val="32"/>
        </w:rPr>
        <w:t>万元，较上年决算数</w:t>
      </w:r>
      <w:r>
        <w:rPr>
          <w:rFonts w:hint="default" w:ascii="Times New Roman" w:hAnsi="Times New Roman" w:eastAsia="方正仿宋_GBK" w:cs="Times New Roman"/>
          <w:sz w:val="32"/>
          <w:szCs w:val="32"/>
          <w:lang w:eastAsia="zh-CN"/>
        </w:rPr>
        <w:t>减少</w:t>
      </w:r>
      <w:r>
        <w:rPr>
          <w:rFonts w:hint="default" w:ascii="Times New Roman" w:hAnsi="Times New Roman" w:eastAsia="方正仿宋_GBK" w:cs="Times New Roman"/>
          <w:sz w:val="32"/>
          <w:szCs w:val="32"/>
          <w:lang w:val="en-US" w:eastAsia="zh-CN"/>
        </w:rPr>
        <w:t>429.97</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下降</w:t>
      </w:r>
      <w:r>
        <w:rPr>
          <w:rFonts w:hint="default" w:ascii="Times New Roman" w:hAnsi="Times New Roman" w:eastAsia="方正仿宋_GBK" w:cs="Times New Roman"/>
          <w:sz w:val="32"/>
          <w:szCs w:val="32"/>
          <w:lang w:val="en-US" w:eastAsia="zh-CN"/>
        </w:rPr>
        <w:t>63</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%。主要原因</w:t>
      </w:r>
      <w:r>
        <w:rPr>
          <w:rFonts w:hint="default" w:ascii="Times New Roman" w:hAnsi="Times New Roman" w:eastAsia="方正仿宋_GBK" w:cs="Times New Roman"/>
          <w:sz w:val="32"/>
          <w:szCs w:val="32"/>
          <w:lang w:val="en-US" w:eastAsia="zh-CN"/>
        </w:rPr>
        <w:t>年初预算数未包含2024年基本公共卫生财政拨款</w:t>
      </w:r>
      <w:r>
        <w:rPr>
          <w:rFonts w:hint="default" w:ascii="Times New Roman" w:hAnsi="Times New Roman" w:eastAsia="方正仿宋_GBK" w:cs="Times New Roman"/>
          <w:sz w:val="32"/>
          <w:szCs w:val="32"/>
        </w:rPr>
        <w:t>。较年初预算数增加</w:t>
      </w:r>
      <w:r>
        <w:rPr>
          <w:rFonts w:hint="default" w:ascii="Times New Roman" w:hAnsi="Times New Roman" w:eastAsia="方正仿宋_GBK" w:cs="Times New Roman"/>
          <w:sz w:val="32"/>
          <w:szCs w:val="32"/>
          <w:lang w:val="en-US" w:eastAsia="zh-CN"/>
        </w:rPr>
        <w:t>130.41</w:t>
      </w:r>
      <w:r>
        <w:rPr>
          <w:rFonts w:hint="default" w:ascii="Times New Roman" w:hAnsi="Times New Roman" w:eastAsia="方正仿宋_GBK" w:cs="Times New Roman"/>
          <w:sz w:val="32"/>
          <w:szCs w:val="32"/>
        </w:rPr>
        <w:t>万元，增长150.</w:t>
      </w:r>
      <w:r>
        <w:rPr>
          <w:rFonts w:hint="eastAsia" w:ascii="Times New Roman" w:hAnsi="Times New Roman" w:eastAsia="方正仿宋_GBK" w:cs="Times New Roman"/>
          <w:sz w:val="32"/>
          <w:szCs w:val="32"/>
          <w:lang w:val="en-US" w:eastAsia="zh-CN"/>
        </w:rPr>
        <w:t>9</w:t>
      </w:r>
      <w:r>
        <w:rPr>
          <w:rFonts w:hint="default" w:ascii="Times New Roman" w:hAnsi="Times New Roman" w:eastAsia="方正仿宋_GBK" w:cs="Times New Roman"/>
          <w:sz w:val="32"/>
          <w:szCs w:val="32"/>
        </w:rPr>
        <w:t>%。主要原因是年初预算主要</w:t>
      </w:r>
      <w:r>
        <w:rPr>
          <w:rFonts w:hint="default" w:ascii="Times New Roman" w:hAnsi="Times New Roman" w:eastAsia="方正仿宋_GBK" w:cs="Times New Roman"/>
          <w:sz w:val="32"/>
          <w:szCs w:val="32"/>
          <w:lang w:eastAsia="zh-CN"/>
        </w:rPr>
        <w:t>核算人员费用并未核算基本公共财政拨款金额</w:t>
      </w:r>
      <w:r>
        <w:rPr>
          <w:rFonts w:hint="default" w:ascii="Times New Roman" w:hAnsi="Times New Roman" w:eastAsia="方正仿宋_GBK" w:cs="Times New Roman"/>
          <w:sz w:val="32"/>
          <w:szCs w:val="32"/>
        </w:rPr>
        <w:t>，实际财政拨款收入由财政根据</w:t>
      </w:r>
      <w:r>
        <w:rPr>
          <w:rFonts w:hint="default" w:ascii="Times New Roman" w:hAnsi="Times New Roman" w:eastAsia="方正仿宋_GBK" w:cs="Times New Roman"/>
          <w:sz w:val="32"/>
          <w:szCs w:val="32"/>
          <w:lang w:eastAsia="zh-CN"/>
        </w:rPr>
        <w:t>基本公共卫生</w:t>
      </w:r>
      <w:r>
        <w:rPr>
          <w:rFonts w:hint="default" w:ascii="Times New Roman" w:hAnsi="Times New Roman" w:eastAsia="方正仿宋_GBK" w:cs="Times New Roman"/>
          <w:sz w:val="32"/>
          <w:szCs w:val="32"/>
        </w:rPr>
        <w:t>资金分配情况统一安排拨款，因此财政拨款支出与年初预算有相应差异。</w:t>
      </w:r>
    </w:p>
    <w:p w14:paraId="6DC56FDE">
      <w:pPr>
        <w:pStyle w:val="11"/>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sz w:val="32"/>
          <w:szCs w:val="32"/>
          <w:highlight w:val="none"/>
          <w:shd w:val="clear" w:color="auto" w:fill="FFFFFF"/>
        </w:rPr>
      </w:pPr>
      <w:r>
        <w:rPr>
          <w:rFonts w:ascii="方正仿宋_GBK" w:hAnsi="方正仿宋_GBK" w:eastAsia="方正仿宋_GBK" w:cs="方正仿宋_GBK"/>
          <w:sz w:val="32"/>
          <w:szCs w:val="32"/>
          <w:highlight w:val="none"/>
          <w:shd w:val="clear" w:color="auto" w:fill="FFFFFF"/>
        </w:rPr>
        <w:t>一般公共预算财政拨款支出主要</w:t>
      </w:r>
      <w:r>
        <w:rPr>
          <w:rFonts w:hint="eastAsia" w:ascii="方正仿宋_GBK" w:hAnsi="方正仿宋_GBK" w:eastAsia="方正仿宋_GBK" w:cs="方正仿宋_GBK"/>
          <w:sz w:val="32"/>
          <w:szCs w:val="32"/>
          <w:highlight w:val="none"/>
          <w:shd w:val="clear" w:color="auto" w:fill="FFFFFF"/>
          <w:lang w:eastAsia="zh-CN"/>
        </w:rPr>
        <w:t>用途如下</w:t>
      </w:r>
      <w:r>
        <w:rPr>
          <w:rFonts w:ascii="方正仿宋_GBK" w:hAnsi="方正仿宋_GBK" w:eastAsia="方正仿宋_GBK" w:cs="方正仿宋_GBK"/>
          <w:sz w:val="32"/>
          <w:szCs w:val="32"/>
          <w:highlight w:val="none"/>
          <w:shd w:val="clear" w:color="auto" w:fill="FFFFFF"/>
        </w:rPr>
        <w:t>：</w:t>
      </w:r>
    </w:p>
    <w:p w14:paraId="3240C0AD">
      <w:pPr>
        <w:pStyle w:val="11"/>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lang w:val="en-US" w:eastAsia="zh-CN"/>
        </w:rPr>
        <w:t>1</w:t>
      </w:r>
      <w:r>
        <w:rPr>
          <w:rFonts w:hint="default" w:ascii="Times New Roman" w:hAnsi="Times New Roman" w:eastAsia="方正仿宋_GBK" w:cs="Times New Roman"/>
          <w:sz w:val="32"/>
          <w:szCs w:val="32"/>
          <w:shd w:val="clear" w:color="auto" w:fill="FFFFFF"/>
        </w:rPr>
        <w:t>）社会保障</w:t>
      </w:r>
      <w:r>
        <w:rPr>
          <w:rFonts w:hint="default" w:ascii="Times New Roman" w:hAnsi="Times New Roman" w:eastAsia="方正仿宋_GBK" w:cs="Times New Roman"/>
          <w:sz w:val="32"/>
          <w:szCs w:val="32"/>
          <w:shd w:val="clear" w:color="auto" w:fill="FFFFFF"/>
          <w:lang w:eastAsia="zh-CN"/>
        </w:rPr>
        <w:t>和</w:t>
      </w:r>
      <w:r>
        <w:rPr>
          <w:rFonts w:hint="default" w:ascii="Times New Roman" w:hAnsi="Times New Roman" w:eastAsia="方正仿宋_GBK" w:cs="Times New Roman"/>
          <w:sz w:val="32"/>
          <w:szCs w:val="32"/>
          <w:shd w:val="clear" w:color="auto" w:fill="FFFFFF"/>
        </w:rPr>
        <w:t>就业支出47.64万元，占11.8%，较年初预算数增加13.44万元，增长39.3%，主要原因是</w:t>
      </w:r>
      <w:r>
        <w:rPr>
          <w:rFonts w:hint="default" w:ascii="Times New Roman" w:hAnsi="Times New Roman" w:eastAsia="方正仿宋_GBK" w:cs="Times New Roman"/>
          <w:sz w:val="32"/>
          <w:szCs w:val="32"/>
          <w:shd w:val="clear" w:color="auto" w:fill="FFFFFF"/>
          <w:lang w:eastAsia="zh-CN"/>
        </w:rPr>
        <w:t>人员正常进薪，社保缴费基数上升，补缴</w:t>
      </w:r>
      <w:r>
        <w:rPr>
          <w:rFonts w:hint="default" w:ascii="Times New Roman" w:hAnsi="Times New Roman" w:eastAsia="方正仿宋_GBK" w:cs="Times New Roman"/>
          <w:sz w:val="32"/>
          <w:szCs w:val="32"/>
          <w:shd w:val="clear" w:color="auto" w:fill="FFFFFF"/>
          <w:lang w:val="en-US" w:eastAsia="zh-CN"/>
        </w:rPr>
        <w:t>2024年养老及职业年金</w:t>
      </w:r>
      <w:r>
        <w:rPr>
          <w:rFonts w:hint="default" w:ascii="Times New Roman" w:hAnsi="Times New Roman" w:eastAsia="方正仿宋_GBK" w:cs="Times New Roman"/>
          <w:sz w:val="32"/>
          <w:szCs w:val="32"/>
          <w:shd w:val="clear" w:color="auto" w:fill="FFFFFF"/>
        </w:rPr>
        <w:t>。</w:t>
      </w:r>
    </w:p>
    <w:p w14:paraId="577DB21C">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lang w:val="en-US" w:eastAsia="zh-CN"/>
        </w:rPr>
        <w:t>2</w:t>
      </w:r>
      <w:r>
        <w:rPr>
          <w:rFonts w:hint="default" w:ascii="Times New Roman" w:hAnsi="Times New Roman" w:eastAsia="方正仿宋_GBK" w:cs="Times New Roman"/>
          <w:sz w:val="32"/>
          <w:szCs w:val="32"/>
          <w:shd w:val="clear" w:color="auto" w:fill="FFFFFF"/>
        </w:rPr>
        <w:t>）卫生健康支出340.60万元，占84.7%，较年初预算数增加138.63万元，增长68.6%，</w:t>
      </w:r>
      <w:r>
        <w:rPr>
          <w:rFonts w:hint="default" w:ascii="Times New Roman" w:hAnsi="Times New Roman" w:eastAsia="方正仿宋_GBK" w:cs="Times New Roman"/>
          <w:sz w:val="32"/>
          <w:szCs w:val="32"/>
        </w:rPr>
        <w:t>主要原因是年初预算主要</w:t>
      </w:r>
      <w:r>
        <w:rPr>
          <w:rFonts w:hint="default" w:ascii="Times New Roman" w:hAnsi="Times New Roman" w:eastAsia="方正仿宋_GBK" w:cs="Times New Roman"/>
          <w:sz w:val="32"/>
          <w:szCs w:val="32"/>
          <w:lang w:eastAsia="zh-CN"/>
        </w:rPr>
        <w:t>核算人员费用并未核算基本公共财政拨款金额</w:t>
      </w:r>
      <w:r>
        <w:rPr>
          <w:rFonts w:hint="default" w:ascii="Times New Roman" w:hAnsi="Times New Roman" w:eastAsia="方正仿宋_GBK" w:cs="Times New Roman"/>
          <w:sz w:val="32"/>
          <w:szCs w:val="32"/>
        </w:rPr>
        <w:t>，实际财政拨款收入由财政根据</w:t>
      </w:r>
      <w:r>
        <w:rPr>
          <w:rFonts w:hint="default" w:ascii="Times New Roman" w:hAnsi="Times New Roman" w:eastAsia="方正仿宋_GBK" w:cs="Times New Roman"/>
          <w:sz w:val="32"/>
          <w:szCs w:val="32"/>
          <w:lang w:eastAsia="zh-CN"/>
        </w:rPr>
        <w:t>基本公共卫生</w:t>
      </w:r>
      <w:r>
        <w:rPr>
          <w:rFonts w:hint="default" w:ascii="Times New Roman" w:hAnsi="Times New Roman" w:eastAsia="方正仿宋_GBK" w:cs="Times New Roman"/>
          <w:sz w:val="32"/>
          <w:szCs w:val="32"/>
        </w:rPr>
        <w:t>资金分配情况统一安排拨款。因此财政拨款支出与年初预算有相应差异。</w:t>
      </w:r>
    </w:p>
    <w:p w14:paraId="5FD2D235">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rPr>
      </w:pP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lang w:val="en-US" w:eastAsia="zh-CN"/>
        </w:rPr>
        <w:t>3</w:t>
      </w: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rPr>
        <w:t>住房保障支出</w:t>
      </w:r>
      <w:r>
        <w:rPr>
          <w:rFonts w:hint="default" w:ascii="Times New Roman" w:hAnsi="Times New Roman" w:eastAsia="方正仿宋_GBK" w:cs="Times New Roman"/>
          <w:sz w:val="32"/>
          <w:szCs w:val="32"/>
          <w:shd w:val="clear" w:color="auto" w:fill="FFFFFF"/>
        </w:rPr>
        <w:t>14.01万元，占3.5%，较年初预算数无增减，</w:t>
      </w:r>
      <w:r>
        <w:rPr>
          <w:rFonts w:hint="default" w:ascii="Times New Roman" w:hAnsi="Times New Roman" w:eastAsia="方正仿宋_GBK" w:cs="Times New Roman"/>
          <w:sz w:val="32"/>
          <w:szCs w:val="32"/>
        </w:rPr>
        <w:t>主要原因是</w:t>
      </w:r>
      <w:r>
        <w:rPr>
          <w:rFonts w:hint="default" w:ascii="Times New Roman" w:hAnsi="Times New Roman" w:eastAsia="方正仿宋_GBK" w:cs="Times New Roman"/>
          <w:sz w:val="32"/>
          <w:szCs w:val="32"/>
          <w:lang w:val="en-US" w:eastAsia="zh-CN"/>
        </w:rPr>
        <w:t>2024年</w:t>
      </w:r>
      <w:r>
        <w:rPr>
          <w:rFonts w:hint="eastAsia" w:ascii="Times New Roman" w:hAnsi="Times New Roman" w:eastAsia="方正仿宋_GBK" w:cs="Times New Roman"/>
          <w:sz w:val="32"/>
          <w:szCs w:val="32"/>
          <w:lang w:val="en-US" w:eastAsia="zh-CN"/>
        </w:rPr>
        <w:t>本</w:t>
      </w:r>
      <w:r>
        <w:rPr>
          <w:rFonts w:hint="default" w:ascii="Times New Roman" w:hAnsi="Times New Roman" w:eastAsia="方正仿宋_GBK" w:cs="Times New Roman"/>
          <w:sz w:val="32"/>
          <w:szCs w:val="32"/>
          <w:lang w:val="en-US" w:eastAsia="zh-CN"/>
        </w:rPr>
        <w:t>单位无人员变动</w:t>
      </w:r>
      <w:r>
        <w:rPr>
          <w:rFonts w:hint="default" w:ascii="Times New Roman" w:hAnsi="Times New Roman" w:eastAsia="方正仿宋_GBK" w:cs="Times New Roman"/>
          <w:sz w:val="32"/>
          <w:szCs w:val="32"/>
        </w:rPr>
        <w:t>，因此财政拨款支出与年初预算</w:t>
      </w:r>
      <w:r>
        <w:rPr>
          <w:rFonts w:hint="default" w:ascii="Times New Roman" w:hAnsi="Times New Roman" w:eastAsia="方正仿宋_GBK" w:cs="Times New Roman"/>
          <w:sz w:val="32"/>
          <w:szCs w:val="32"/>
          <w:lang w:eastAsia="zh-CN"/>
        </w:rPr>
        <w:t>无</w:t>
      </w:r>
      <w:r>
        <w:rPr>
          <w:rFonts w:hint="default" w:ascii="Times New Roman" w:hAnsi="Times New Roman" w:eastAsia="方正仿宋_GBK" w:cs="Times New Roman"/>
          <w:sz w:val="32"/>
          <w:szCs w:val="32"/>
        </w:rPr>
        <w:t>差异。</w:t>
      </w:r>
    </w:p>
    <w:p w14:paraId="1B2E9DFB">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val="0"/>
          <w:bCs w:val="0"/>
          <w:sz w:val="32"/>
          <w:szCs w:val="32"/>
        </w:rPr>
        <w:t>3.结转结余情况。</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年度年末一般公共预算财政拨款结转和结余</w:t>
      </w:r>
      <w:r>
        <w:rPr>
          <w:rFonts w:hint="default" w:ascii="Times New Roman" w:hAnsi="Times New Roman" w:eastAsia="方正仿宋_GBK" w:cs="Times New Roman"/>
          <w:sz w:val="32"/>
          <w:szCs w:val="32"/>
          <w:lang w:val="en-US" w:eastAsia="zh-CN"/>
        </w:rPr>
        <w:t>0</w:t>
      </w:r>
      <w:r>
        <w:rPr>
          <w:rFonts w:hint="eastAsia" w:ascii="Times New Roman" w:hAnsi="Times New Roman" w:eastAsia="方正仿宋_GBK" w:cs="Times New Roman"/>
          <w:sz w:val="32"/>
          <w:szCs w:val="32"/>
          <w:lang w:val="en-US" w:eastAsia="zh-CN"/>
        </w:rPr>
        <w:t>.00</w:t>
      </w:r>
      <w:r>
        <w:rPr>
          <w:rFonts w:hint="default" w:ascii="Times New Roman" w:hAnsi="Times New Roman" w:eastAsia="方正仿宋_GBK" w:cs="Times New Roman"/>
          <w:sz w:val="32"/>
          <w:szCs w:val="32"/>
        </w:rPr>
        <w:t>万元，较上年决算数</w:t>
      </w:r>
      <w:r>
        <w:rPr>
          <w:rFonts w:hint="default" w:ascii="Times New Roman" w:hAnsi="Times New Roman" w:eastAsia="方正仿宋_GBK" w:cs="Times New Roman"/>
          <w:sz w:val="32"/>
          <w:szCs w:val="32"/>
          <w:lang w:eastAsia="zh-CN"/>
        </w:rPr>
        <w:t>减少</w:t>
      </w:r>
      <w:r>
        <w:rPr>
          <w:rFonts w:hint="default" w:ascii="Times New Roman" w:hAnsi="Times New Roman" w:eastAsia="方正仿宋_GBK" w:cs="Times New Roman"/>
          <w:sz w:val="32"/>
          <w:szCs w:val="32"/>
        </w:rPr>
        <w:t>21.65万元，</w:t>
      </w:r>
      <w:r>
        <w:rPr>
          <w:rFonts w:hint="default" w:ascii="Times New Roman" w:hAnsi="Times New Roman" w:eastAsia="方正仿宋_GBK" w:cs="Times New Roman"/>
          <w:sz w:val="32"/>
          <w:szCs w:val="32"/>
          <w:lang w:eastAsia="zh-CN"/>
        </w:rPr>
        <w:t>降低</w:t>
      </w:r>
      <w:r>
        <w:rPr>
          <w:rFonts w:hint="default" w:ascii="Times New Roman" w:hAnsi="Times New Roman" w:eastAsia="方正仿宋_GBK" w:cs="Times New Roman"/>
          <w:sz w:val="32"/>
          <w:szCs w:val="32"/>
        </w:rPr>
        <w:t>100%，主要原因是</w:t>
      </w:r>
      <w:r>
        <w:rPr>
          <w:rFonts w:hint="default" w:ascii="Times New Roman" w:hAnsi="Times New Roman" w:eastAsia="方正仿宋_GBK" w:cs="Times New Roman"/>
          <w:sz w:val="32"/>
          <w:szCs w:val="32"/>
          <w:lang w:val="en-US" w:eastAsia="zh-CN"/>
        </w:rPr>
        <w:t>2024年基本公共卫生财政拨款不及时，未计提超额绩效及单位发展基金。</w:t>
      </w:r>
    </w:p>
    <w:p w14:paraId="28F5DF6F">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（四）一般公共预算财政拨款基本支出决算情况说明</w:t>
      </w:r>
    </w:p>
    <w:p w14:paraId="1FDDADBE">
      <w:pPr>
        <w:pStyle w:val="11"/>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sz w:val="32"/>
          <w:szCs w:val="32"/>
          <w:shd w:val="clear" w:color="auto" w:fill="FFFFFF"/>
        </w:rPr>
      </w:pP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年度一般公共财政拨款基本支出</w:t>
      </w:r>
      <w:r>
        <w:rPr>
          <w:rFonts w:hint="default" w:ascii="Times New Roman" w:hAnsi="Times New Roman" w:eastAsia="方正仿宋_GBK"/>
          <w:sz w:val="32"/>
          <w:szCs w:val="32"/>
          <w:shd w:val="clear" w:color="auto" w:fill="FFFFFF"/>
        </w:rPr>
        <w:t>382.36</w:t>
      </w:r>
      <w:r>
        <w:rPr>
          <w:rFonts w:ascii="方正仿宋_GBK" w:hAnsi="方正仿宋_GBK" w:eastAsia="方正仿宋_GBK" w:cs="方正仿宋_GBK"/>
          <w:sz w:val="32"/>
          <w:szCs w:val="32"/>
          <w:shd w:val="clear" w:color="auto" w:fill="FFFFFF"/>
        </w:rPr>
        <w:t>万元。</w:t>
      </w:r>
    </w:p>
    <w:p w14:paraId="53CEE566">
      <w:pPr>
        <w:pStyle w:val="11"/>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jc w:val="both"/>
        <w:textAlignment w:val="auto"/>
        <w:rPr>
          <w:rFonts w:ascii="方正仿宋_GBK" w:hAnsi="方正仿宋_GBK" w:eastAsia="方正仿宋_GBK" w:cs="方正仿宋_GBK"/>
          <w:sz w:val="32"/>
          <w:szCs w:val="32"/>
          <w:shd w:val="clear" w:color="auto" w:fill="FFFFFF"/>
        </w:rPr>
      </w:pPr>
      <w:r>
        <w:rPr>
          <w:rFonts w:ascii="方正仿宋_GBK" w:hAnsi="方正仿宋_GBK" w:eastAsia="方正仿宋_GBK" w:cs="方正仿宋_GBK"/>
          <w:sz w:val="32"/>
          <w:szCs w:val="32"/>
          <w:shd w:val="clear" w:color="auto" w:fill="FFFFFF"/>
        </w:rPr>
        <w:t>其中：</w:t>
      </w:r>
    </w:p>
    <w:p w14:paraId="5050E558">
      <w:pPr>
        <w:pStyle w:val="11"/>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ascii="方正仿宋_GBK" w:hAnsi="方正仿宋_GBK" w:eastAsia="方正仿宋_GBK" w:cs="方正仿宋_GBK"/>
          <w:sz w:val="32"/>
          <w:szCs w:val="32"/>
          <w:shd w:val="clear" w:color="auto" w:fill="FFFFFF"/>
        </w:rPr>
        <w:t>人员经费</w:t>
      </w:r>
      <w:r>
        <w:rPr>
          <w:rFonts w:hint="default" w:ascii="Times New Roman" w:hAnsi="Times New Roman" w:eastAsia="方正仿宋_GBK"/>
          <w:sz w:val="32"/>
          <w:szCs w:val="32"/>
          <w:shd w:val="clear" w:color="auto" w:fill="FFFFFF"/>
        </w:rPr>
        <w:t>382.36</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与2023年度相比，减少245.48万元，下降39.1%</w:t>
      </w:r>
      <w:r>
        <w:rPr>
          <w:rFonts w:ascii="方正仿宋_GBK" w:hAnsi="方正仿宋_GBK" w:eastAsia="方正仿宋_GBK" w:cs="方正仿宋_GBK"/>
          <w:sz w:val="32"/>
          <w:szCs w:val="32"/>
          <w:shd w:val="clear" w:color="auto" w:fill="FFFFFF"/>
        </w:rPr>
        <w:t>，主要原因是</w:t>
      </w:r>
      <w:r>
        <w:rPr>
          <w:rFonts w:hint="default" w:ascii="Times New Roman" w:hAnsi="Times New Roman" w:eastAsia="方正仿宋_GBK" w:cs="Times New Roman"/>
          <w:sz w:val="32"/>
          <w:szCs w:val="32"/>
          <w:lang w:val="en-US" w:eastAsia="zh-CN"/>
        </w:rPr>
        <w:t>基本公共卫生财政拨款不及时</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人员经费用途主要包括人员社会保障、工资、绩效、津补贴支出等。</w:t>
      </w:r>
    </w:p>
    <w:p w14:paraId="6178AC21">
      <w:pPr>
        <w:pStyle w:val="11"/>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ascii="方正仿宋_GBK" w:hAnsi="方正仿宋_GBK" w:eastAsia="方正仿宋_GBK" w:cs="方正仿宋_GBK"/>
          <w:sz w:val="32"/>
          <w:szCs w:val="32"/>
          <w:shd w:val="clear" w:color="auto" w:fill="FFFFFF"/>
        </w:rPr>
        <w:t>公用经费</w:t>
      </w:r>
      <w:r>
        <w:rPr>
          <w:rFonts w:hint="default"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与2023年度相比，减少11.00万元，下降100.0%</w:t>
      </w:r>
      <w:r>
        <w:rPr>
          <w:rFonts w:ascii="方正仿宋_GBK" w:hAnsi="方正仿宋_GBK" w:eastAsia="方正仿宋_GBK" w:cs="方正仿宋_GBK"/>
          <w:sz w:val="32"/>
          <w:szCs w:val="32"/>
          <w:shd w:val="clear" w:color="auto" w:fill="FFFFFF"/>
        </w:rPr>
        <w:t>，主要原因是</w:t>
      </w:r>
      <w:r>
        <w:rPr>
          <w:rFonts w:hint="default" w:ascii="Times New Roman" w:hAnsi="Times New Roman" w:eastAsia="方正仿宋_GBK" w:cs="Times New Roman"/>
          <w:sz w:val="32"/>
          <w:szCs w:val="32"/>
          <w:lang w:eastAsia="zh-CN"/>
        </w:rPr>
        <w:t>本年度因</w:t>
      </w:r>
      <w:r>
        <w:rPr>
          <w:rFonts w:hint="default" w:ascii="Times New Roman" w:hAnsi="Times New Roman" w:eastAsia="方正仿宋_GBK" w:cs="Times New Roman"/>
          <w:sz w:val="32"/>
          <w:szCs w:val="32"/>
          <w:lang w:val="en-US" w:eastAsia="zh-CN"/>
        </w:rPr>
        <w:t>基本公共卫生财政拨款不及时</w:t>
      </w:r>
      <w:r>
        <w:rPr>
          <w:rFonts w:ascii="方正仿宋_GBK" w:hAnsi="方正仿宋_GBK" w:eastAsia="方正仿宋_GBK" w:cs="方正仿宋_GBK"/>
          <w:color w:val="auto"/>
          <w:sz w:val="32"/>
          <w:szCs w:val="32"/>
          <w:shd w:val="clear" w:color="auto" w:fill="FFFFFF"/>
        </w:rPr>
        <w:t>。</w:t>
      </w:r>
      <w:r>
        <w:rPr>
          <w:rFonts w:ascii="方正仿宋_GBK" w:hAnsi="方正仿宋_GBK" w:eastAsia="方正仿宋_GBK" w:cs="方正仿宋_GBK"/>
          <w:sz w:val="32"/>
          <w:szCs w:val="32"/>
          <w:shd w:val="clear" w:color="auto" w:fill="FFFFFF"/>
        </w:rPr>
        <w:t>公用经费用途主要包括</w:t>
      </w:r>
      <w:bookmarkStart w:id="0" w:name="_GoBack"/>
      <w:bookmarkEnd w:id="0"/>
      <w:r>
        <w:rPr>
          <w:rFonts w:hint="default" w:ascii="Times New Roman" w:hAnsi="Times New Roman" w:eastAsia="方正仿宋_GBK" w:cs="Times New Roman"/>
          <w:sz w:val="32"/>
          <w:szCs w:val="32"/>
          <w:lang w:eastAsia="zh-CN"/>
        </w:rPr>
        <w:t>电费、水费、</w:t>
      </w:r>
      <w:r>
        <w:rPr>
          <w:rFonts w:hint="default" w:ascii="Times New Roman" w:hAnsi="Times New Roman" w:eastAsia="方正仿宋_GBK" w:cs="Times New Roman"/>
          <w:sz w:val="32"/>
          <w:szCs w:val="32"/>
        </w:rPr>
        <w:t>专用材料费、劳务费</w:t>
      </w:r>
      <w:r>
        <w:rPr>
          <w:rFonts w:hint="default" w:ascii="Times New Roman" w:hAnsi="Times New Roman" w:eastAsia="方正仿宋_GBK" w:cs="Times New Roman"/>
          <w:sz w:val="32"/>
          <w:szCs w:val="32"/>
          <w:lang w:eastAsia="zh-CN"/>
        </w:rPr>
        <w:t>及日常</w:t>
      </w:r>
      <w:r>
        <w:rPr>
          <w:rFonts w:hint="default" w:ascii="Times New Roman" w:hAnsi="Times New Roman" w:eastAsia="方正仿宋_GBK" w:cs="Times New Roman"/>
          <w:sz w:val="32"/>
          <w:szCs w:val="32"/>
        </w:rPr>
        <w:t>公用经费</w:t>
      </w:r>
      <w:r>
        <w:rPr>
          <w:rFonts w:hint="default" w:ascii="Times New Roman" w:hAnsi="Times New Roman" w:eastAsia="方正仿宋_GBK" w:cs="Times New Roman"/>
          <w:sz w:val="32"/>
          <w:szCs w:val="32"/>
          <w:lang w:eastAsia="zh-CN"/>
        </w:rPr>
        <w:t>。</w:t>
      </w:r>
    </w:p>
    <w:p w14:paraId="484EA986">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（五）政府性基金预算收支决算情况说明</w:t>
      </w:r>
    </w:p>
    <w:p w14:paraId="75C90D2A">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本单位</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w:t>
      </w:r>
      <w:r>
        <w:rPr>
          <w:rFonts w:hint="default" w:ascii="Times New Roman" w:hAnsi="Times New Roman" w:eastAsia="方正仿宋_GBK" w:cs="Times New Roman"/>
          <w:sz w:val="32"/>
          <w:szCs w:val="32"/>
          <w:lang w:eastAsia="zh-CN"/>
        </w:rPr>
        <w:t>无政府性虎基金预算财政拨款收支</w:t>
      </w:r>
      <w:r>
        <w:rPr>
          <w:rFonts w:hint="default" w:ascii="Times New Roman" w:hAnsi="Times New Roman" w:eastAsia="方正仿宋_GBK" w:cs="Times New Roman"/>
          <w:sz w:val="32"/>
          <w:szCs w:val="32"/>
        </w:rPr>
        <w:t>。</w:t>
      </w:r>
    </w:p>
    <w:p w14:paraId="53C1F08B">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（六）国有资本经营预算财政拨款支出决算情况说明</w:t>
      </w:r>
    </w:p>
    <w:p w14:paraId="0310F767">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年度无国有资本经营预算财政拨款支出。</w:t>
      </w:r>
    </w:p>
    <w:p w14:paraId="05354902">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6"/>
          <w:rFonts w:hint="default" w:ascii="Times New Roman" w:hAnsi="Times New Roman" w:eastAsia="方正黑体_GBK" w:cs="Times New Roman"/>
          <w:b w:val="0"/>
          <w:bCs/>
          <w:sz w:val="32"/>
          <w:szCs w:val="32"/>
          <w:shd w:val="clear" w:color="auto" w:fill="FFFFFF"/>
        </w:rPr>
      </w:pPr>
      <w:r>
        <w:rPr>
          <w:rStyle w:val="16"/>
          <w:rFonts w:hint="default" w:ascii="Times New Roman" w:hAnsi="Times New Roman" w:eastAsia="方正黑体_GBK" w:cs="Times New Roman"/>
          <w:b w:val="0"/>
          <w:bCs/>
          <w:sz w:val="32"/>
          <w:szCs w:val="32"/>
          <w:shd w:val="clear" w:color="auto" w:fill="FFFFFF"/>
        </w:rPr>
        <w:t>三、</w:t>
      </w:r>
      <w:r>
        <w:rPr>
          <w:rStyle w:val="16"/>
          <w:rFonts w:hint="default" w:ascii="Times New Roman" w:hAnsi="Times New Roman" w:eastAsia="方正黑体_GBK" w:cs="Times New Roman"/>
          <w:b w:val="0"/>
          <w:bCs/>
          <w:sz w:val="32"/>
          <w:szCs w:val="32"/>
          <w:shd w:val="clear" w:color="auto" w:fill="FFFFFF"/>
          <w:lang w:eastAsia="zh-CN"/>
        </w:rPr>
        <w:t>财政拨款</w:t>
      </w:r>
      <w:r>
        <w:rPr>
          <w:rStyle w:val="16"/>
          <w:rFonts w:hint="default" w:ascii="Times New Roman" w:hAnsi="Times New Roman" w:eastAsia="方正黑体_GBK" w:cs="Times New Roman"/>
          <w:b w:val="0"/>
          <w:bCs/>
          <w:sz w:val="32"/>
          <w:szCs w:val="32"/>
          <w:shd w:val="clear" w:color="auto" w:fill="FFFFFF"/>
        </w:rPr>
        <w:t>“三公”经费情况说明</w:t>
      </w:r>
    </w:p>
    <w:p w14:paraId="7A96A53E">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eastAsia" w:ascii="Times New Roman" w:hAnsi="Times New Roman" w:eastAsia="方正楷体_GBK" w:cs="Times New Roman"/>
          <w:sz w:val="32"/>
          <w:szCs w:val="32"/>
          <w:lang w:eastAsia="zh-CN"/>
        </w:rPr>
        <w:t>（一）</w:t>
      </w:r>
      <w:r>
        <w:rPr>
          <w:rFonts w:hint="default" w:ascii="Times New Roman" w:hAnsi="Times New Roman" w:eastAsia="方正楷体_GBK" w:cs="Times New Roman"/>
          <w:sz w:val="32"/>
          <w:szCs w:val="32"/>
        </w:rPr>
        <w:t>“三公”经费支出总体情况说明</w:t>
      </w:r>
    </w:p>
    <w:p w14:paraId="22A68AE4">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宋黑_GBK" w:cs="Times New Roman"/>
          <w:sz w:val="32"/>
          <w:szCs w:val="32"/>
        </w:rPr>
      </w:pPr>
      <w:r>
        <w:rPr>
          <w:rFonts w:hint="default" w:ascii="Times New Roman" w:hAnsi="Times New Roman" w:eastAsia="方正仿宋_GBK" w:cs="Times New Roman"/>
          <w:sz w:val="32"/>
          <w:szCs w:val="32"/>
          <w:lang w:eastAsia="zh-CN"/>
        </w:rPr>
        <w:t>本</w:t>
      </w:r>
      <w:r>
        <w:rPr>
          <w:rFonts w:hint="default" w:ascii="Times New Roman" w:hAnsi="Times New Roman" w:eastAsia="方正仿宋_GBK" w:cs="Times New Roman"/>
          <w:sz w:val="32"/>
          <w:szCs w:val="32"/>
        </w:rPr>
        <w:t>单位</w:t>
      </w:r>
      <w:r>
        <w:rPr>
          <w:rFonts w:hint="default" w:ascii="Times New Roman" w:hAnsi="Times New Roman" w:eastAsia="方正仿宋_GBK" w:cs="Times New Roman"/>
          <w:sz w:val="32"/>
          <w:szCs w:val="32"/>
          <w:lang w:eastAsia="zh-CN"/>
        </w:rPr>
        <w:t>属于</w:t>
      </w:r>
      <w:r>
        <w:rPr>
          <w:rFonts w:hint="default" w:ascii="Times New Roman" w:hAnsi="Times New Roman" w:eastAsia="方正仿宋_GBK" w:cs="Times New Roman"/>
          <w:sz w:val="32"/>
          <w:szCs w:val="32"/>
        </w:rPr>
        <w:t>差额拨款单位，财政未保障本单位“三公”经费。</w:t>
      </w:r>
    </w:p>
    <w:p w14:paraId="20A908B9">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eastAsia" w:ascii="Times New Roman" w:hAnsi="Times New Roman" w:eastAsia="方正楷体_GBK" w:cs="Times New Roman"/>
          <w:sz w:val="32"/>
          <w:szCs w:val="32"/>
          <w:lang w:eastAsia="zh-CN"/>
        </w:rPr>
        <w:t>（二）</w:t>
      </w:r>
      <w:r>
        <w:rPr>
          <w:rFonts w:hint="default" w:ascii="Times New Roman" w:hAnsi="Times New Roman" w:eastAsia="方正楷体_GBK" w:cs="Times New Roman"/>
          <w:sz w:val="32"/>
          <w:szCs w:val="32"/>
        </w:rPr>
        <w:t>“三公”经费分项支出情况</w:t>
      </w:r>
    </w:p>
    <w:p w14:paraId="68BDE786">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sz w:val="32"/>
          <w:szCs w:val="32"/>
          <w:shd w:val="clear" w:color="auto" w:fill="FFFFFF"/>
        </w:rPr>
        <w:t>202</w:t>
      </w:r>
      <w:r>
        <w:rPr>
          <w:rFonts w:hint="default"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w:t>
      </w:r>
      <w:r>
        <w:rPr>
          <w:rFonts w:hint="default" w:ascii="Times New Roman" w:hAnsi="Times New Roman" w:eastAsia="方正仿宋_GBK" w:cs="Times New Roman"/>
          <w:sz w:val="32"/>
          <w:szCs w:val="32"/>
          <w:shd w:val="clear" w:color="auto" w:fill="FFFFFF"/>
        </w:rPr>
        <w:t>因公出国（境）费用</w:t>
      </w:r>
      <w:r>
        <w:rPr>
          <w:rFonts w:hint="default" w:ascii="Times New Roman" w:hAnsi="Times New Roman" w:eastAsia="方正仿宋_GBK" w:cs="Times New Roman"/>
          <w:sz w:val="32"/>
          <w:szCs w:val="32"/>
          <w:shd w:val="clear" w:color="auto" w:fill="FFFFFF"/>
          <w:lang w:eastAsia="zh-CN"/>
        </w:rPr>
        <w:t>，</w:t>
      </w:r>
      <w:r>
        <w:rPr>
          <w:rFonts w:hint="default" w:ascii="Times New Roman" w:hAnsi="Times New Roman" w:eastAsia="方正仿宋_GBK" w:cs="Times New Roman"/>
          <w:b w:val="0"/>
          <w:bCs w:val="0"/>
          <w:sz w:val="32"/>
          <w:szCs w:val="32"/>
          <w:lang w:eastAsia="zh-CN"/>
        </w:rPr>
        <w:t>较年初预算数无增减，较上年支出数无增减。</w:t>
      </w:r>
    </w:p>
    <w:p w14:paraId="34B4B082">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sz w:val="32"/>
          <w:szCs w:val="32"/>
          <w:shd w:val="clear" w:color="auto" w:fill="FFFFFF"/>
        </w:rPr>
        <w:t>202</w:t>
      </w:r>
      <w:r>
        <w:rPr>
          <w:rFonts w:hint="default"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无公务车购置费，</w:t>
      </w:r>
      <w:r>
        <w:rPr>
          <w:rFonts w:hint="default" w:ascii="Times New Roman" w:hAnsi="Times New Roman" w:eastAsia="方正仿宋_GBK" w:cs="Times New Roman"/>
          <w:b w:val="0"/>
          <w:bCs w:val="0"/>
          <w:sz w:val="32"/>
          <w:szCs w:val="32"/>
          <w:lang w:eastAsia="zh-CN"/>
        </w:rPr>
        <w:t>较年初预算数无增减，较上年支出数无增减。</w:t>
      </w:r>
    </w:p>
    <w:p w14:paraId="438BCF7C">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rPr>
        <w:t>202</w:t>
      </w:r>
      <w:r>
        <w:rPr>
          <w:rFonts w:hint="default"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无公务车运行维护费，</w:t>
      </w:r>
      <w:r>
        <w:rPr>
          <w:rFonts w:hint="default" w:ascii="Times New Roman" w:hAnsi="Times New Roman" w:eastAsia="方正仿宋_GBK" w:cs="Times New Roman"/>
          <w:b w:val="0"/>
          <w:bCs w:val="0"/>
          <w:sz w:val="32"/>
          <w:szCs w:val="32"/>
          <w:lang w:eastAsia="zh-CN"/>
        </w:rPr>
        <w:t>较年初预算数无增减，较上年支出数无增减。</w:t>
      </w:r>
    </w:p>
    <w:p w14:paraId="2293F58C">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sz w:val="32"/>
          <w:szCs w:val="32"/>
          <w:shd w:val="clear" w:color="auto" w:fill="FFFFFF"/>
        </w:rPr>
        <w:t>202</w:t>
      </w:r>
      <w:r>
        <w:rPr>
          <w:rFonts w:hint="default"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无公务接待费，</w:t>
      </w:r>
      <w:r>
        <w:rPr>
          <w:rFonts w:hint="default" w:ascii="Times New Roman" w:hAnsi="Times New Roman" w:eastAsia="方正仿宋_GBK" w:cs="Times New Roman"/>
          <w:b w:val="0"/>
          <w:bCs w:val="0"/>
          <w:sz w:val="32"/>
          <w:szCs w:val="32"/>
          <w:lang w:eastAsia="zh-CN"/>
        </w:rPr>
        <w:t>较年初预算数无增减，较上年支出数无增减。</w:t>
      </w:r>
    </w:p>
    <w:p w14:paraId="3B1A25B6">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（三）“三公”经费实物量情况</w:t>
      </w:r>
    </w:p>
    <w:p w14:paraId="005BB8DE">
      <w:pPr>
        <w:pStyle w:val="12"/>
        <w:keepNext w:val="0"/>
        <w:keepLines w:val="0"/>
        <w:pageBreakBefore w:val="0"/>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年度本单位因公出国（境）共计0个团组，0人</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；公务用车购置0辆</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，公务车保有量为0辆</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；国内公务接待0批次0人，</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其中：国内外事接待0批次，0人</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；国（境）外公务接待0批次，0人</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eastAsia="zh-CN"/>
        </w:rPr>
        <w:t>本单位</w:t>
      </w:r>
      <w:r>
        <w:rPr>
          <w:rFonts w:hint="default" w:ascii="Times New Roman" w:hAnsi="Times New Roman" w:eastAsia="方正仿宋_GBK" w:cs="Times New Roman"/>
          <w:sz w:val="32"/>
          <w:szCs w:val="32"/>
        </w:rPr>
        <w:t>人均接待费0元</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车均购置费0</w:t>
      </w:r>
      <w:r>
        <w:rPr>
          <w:rFonts w:hint="eastAsia" w:ascii="Times New Roman" w:hAnsi="Times New Roman" w:eastAsia="方正仿宋_GBK" w:cs="Times New Roman"/>
          <w:sz w:val="32"/>
          <w:szCs w:val="32"/>
          <w:lang w:val="en-US" w:eastAsia="zh-CN"/>
        </w:rPr>
        <w:t>.00</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车均维护费0</w:t>
      </w:r>
      <w:r>
        <w:rPr>
          <w:rFonts w:hint="eastAsia" w:ascii="Times New Roman" w:hAnsi="Times New Roman" w:eastAsia="方正仿宋_GBK" w:cs="Times New Roman"/>
          <w:sz w:val="32"/>
          <w:szCs w:val="32"/>
          <w:lang w:val="en-US" w:eastAsia="zh-CN"/>
        </w:rPr>
        <w:t>.00</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w:t>
      </w:r>
    </w:p>
    <w:p w14:paraId="7E78E87C">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6"/>
          <w:rFonts w:hint="default" w:ascii="Times New Roman" w:hAnsi="Times New Roman" w:eastAsia="方正黑体_GBK" w:cs="Times New Roman"/>
          <w:b w:val="0"/>
          <w:bCs/>
          <w:sz w:val="32"/>
          <w:szCs w:val="32"/>
          <w:shd w:val="clear" w:color="auto" w:fill="FFFFFF"/>
          <w:lang w:eastAsia="zh-CN"/>
        </w:rPr>
      </w:pPr>
      <w:r>
        <w:rPr>
          <w:rStyle w:val="16"/>
          <w:rFonts w:hint="default" w:ascii="Times New Roman" w:hAnsi="Times New Roman" w:eastAsia="方正黑体_GBK" w:cs="Times New Roman"/>
          <w:b w:val="0"/>
          <w:bCs/>
          <w:sz w:val="32"/>
          <w:szCs w:val="32"/>
          <w:shd w:val="clear" w:color="auto" w:fill="FFFFFF"/>
          <w:lang w:eastAsia="zh-CN"/>
        </w:rPr>
        <w:t>四、其他需要说明的事项</w:t>
      </w:r>
    </w:p>
    <w:p w14:paraId="3F9662E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楷体_GBK" w:cs="Times New Roman"/>
          <w:sz w:val="32"/>
          <w:szCs w:val="32"/>
          <w:lang w:eastAsia="zh-CN"/>
        </w:rPr>
      </w:pPr>
      <w:r>
        <w:rPr>
          <w:rFonts w:hint="default" w:ascii="Times New Roman" w:hAnsi="Times New Roman" w:eastAsia="方正楷体_GBK" w:cs="Times New Roman"/>
          <w:sz w:val="32"/>
          <w:szCs w:val="32"/>
        </w:rPr>
        <w:t>（一）财政拨款会议费和培训费情况说明</w:t>
      </w:r>
    </w:p>
    <w:p w14:paraId="263E9615">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因本单位为差额拨款单位，财政未保障</w:t>
      </w:r>
      <w:r>
        <w:rPr>
          <w:rFonts w:hint="default" w:ascii="Times New Roman" w:hAnsi="Times New Roman" w:eastAsia="方正仿宋_GBK" w:cs="Times New Roman"/>
          <w:sz w:val="32"/>
          <w:szCs w:val="32"/>
          <w:lang w:eastAsia="zh-CN"/>
        </w:rPr>
        <w:t>本单位</w:t>
      </w:r>
      <w:r>
        <w:rPr>
          <w:rFonts w:hint="default" w:ascii="Times New Roman" w:hAnsi="Times New Roman" w:eastAsia="方正仿宋_GBK" w:cs="Times New Roman"/>
          <w:sz w:val="32"/>
          <w:szCs w:val="32"/>
        </w:rPr>
        <w:t>会议费和培训费。</w:t>
      </w:r>
    </w:p>
    <w:p w14:paraId="60FC2827">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eastAsia" w:ascii="Times New Roman" w:hAnsi="Times New Roman" w:eastAsia="方正楷体_GBK" w:cs="Times New Roman"/>
          <w:sz w:val="32"/>
          <w:szCs w:val="32"/>
          <w:lang w:eastAsia="zh-CN"/>
        </w:rPr>
        <w:t>（二）</w:t>
      </w:r>
      <w:r>
        <w:rPr>
          <w:rFonts w:hint="default" w:ascii="Times New Roman" w:hAnsi="Times New Roman" w:eastAsia="方正楷体_GBK" w:cs="Times New Roman"/>
          <w:sz w:val="32"/>
          <w:szCs w:val="32"/>
        </w:rPr>
        <w:t>机关运行经费情况说明</w:t>
      </w:r>
    </w:p>
    <w:p w14:paraId="55CB674D">
      <w:pPr>
        <w:pStyle w:val="11"/>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按照部门决算列报口径，因</w:t>
      </w:r>
      <w:r>
        <w:rPr>
          <w:rFonts w:hint="default" w:ascii="Times New Roman" w:hAnsi="Times New Roman" w:eastAsia="方正仿宋_GBK" w:cs="Times New Roman"/>
          <w:sz w:val="32"/>
          <w:szCs w:val="32"/>
          <w:lang w:eastAsia="zh-CN"/>
        </w:rPr>
        <w:t>本单位</w:t>
      </w:r>
      <w:r>
        <w:rPr>
          <w:rFonts w:hint="default" w:ascii="Times New Roman" w:hAnsi="Times New Roman" w:eastAsia="方正仿宋_GBK" w:cs="Times New Roman"/>
          <w:sz w:val="32"/>
          <w:szCs w:val="32"/>
        </w:rPr>
        <w:t>为差额拨款事业单位不在机关运行经费统计范围之内。</w:t>
      </w:r>
    </w:p>
    <w:p w14:paraId="362D879C">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eastAsia" w:ascii="Times New Roman" w:hAnsi="Times New Roman" w:eastAsia="方正楷体_GBK" w:cs="Times New Roman"/>
          <w:sz w:val="32"/>
          <w:szCs w:val="32"/>
          <w:lang w:eastAsia="zh-CN"/>
        </w:rPr>
        <w:t>（三）</w:t>
      </w:r>
      <w:r>
        <w:rPr>
          <w:rFonts w:hint="default" w:ascii="Times New Roman" w:hAnsi="Times New Roman" w:eastAsia="方正楷体_GBK" w:cs="Times New Roman"/>
          <w:sz w:val="32"/>
          <w:szCs w:val="32"/>
        </w:rPr>
        <w:t>国有资产占用情况说明</w:t>
      </w:r>
    </w:p>
    <w:p w14:paraId="1752E80D">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截至202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年12月31日，本单位共有车辆2辆，特种专业技术用车2辆，单价50万元（含）以上通用设备0台（套），单价100万元（含）以上专用设备0台（套）。</w:t>
      </w:r>
    </w:p>
    <w:p w14:paraId="12B9BD77">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eastAsia" w:ascii="Times New Roman" w:hAnsi="Times New Roman" w:eastAsia="方正楷体_GBK" w:cs="Times New Roman"/>
          <w:sz w:val="32"/>
          <w:szCs w:val="32"/>
          <w:lang w:eastAsia="zh-CN"/>
        </w:rPr>
        <w:t>（四）</w:t>
      </w:r>
      <w:r>
        <w:rPr>
          <w:rFonts w:hint="default" w:ascii="Times New Roman" w:hAnsi="Times New Roman" w:eastAsia="方正楷体_GBK" w:cs="Times New Roman"/>
          <w:sz w:val="32"/>
          <w:szCs w:val="32"/>
        </w:rPr>
        <w:t>政府采购支出情况说明</w:t>
      </w:r>
    </w:p>
    <w:p w14:paraId="379250B2">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w:t>
      </w:r>
      <w:r>
        <w:rPr>
          <w:rFonts w:hint="default" w:ascii="Times New Roman" w:hAnsi="Times New Roman" w:eastAsia="方正仿宋_GBK" w:cs="Times New Roman"/>
          <w:sz w:val="32"/>
          <w:szCs w:val="32"/>
          <w:lang w:eastAsia="zh-CN"/>
        </w:rPr>
        <w:t>本</w:t>
      </w:r>
      <w:r>
        <w:rPr>
          <w:rFonts w:hint="default" w:ascii="Times New Roman" w:hAnsi="Times New Roman" w:eastAsia="方正仿宋_GBK" w:cs="Times New Roman"/>
          <w:sz w:val="32"/>
          <w:szCs w:val="32"/>
        </w:rPr>
        <w:t>单位未发生政府采购事项，无相关经费支出。</w:t>
      </w:r>
    </w:p>
    <w:p w14:paraId="5A22B44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6"/>
          <w:rFonts w:hint="default" w:ascii="Times New Roman" w:hAnsi="Times New Roman" w:eastAsia="方正黑体_GBK" w:cs="Times New Roman"/>
          <w:b w:val="0"/>
          <w:bCs/>
          <w:sz w:val="32"/>
          <w:szCs w:val="32"/>
          <w:shd w:val="clear" w:color="auto" w:fill="FFFFFF"/>
          <w:lang w:val="en-US" w:eastAsia="zh-CN" w:bidi="ar-SA"/>
        </w:rPr>
      </w:pPr>
      <w:r>
        <w:rPr>
          <w:rStyle w:val="16"/>
          <w:rFonts w:hint="default" w:ascii="Times New Roman" w:hAnsi="Times New Roman" w:eastAsia="方正黑体_GBK" w:cs="Times New Roman"/>
          <w:b w:val="0"/>
          <w:bCs/>
          <w:sz w:val="32"/>
          <w:szCs w:val="32"/>
          <w:shd w:val="clear" w:color="auto" w:fill="FFFFFF"/>
          <w:lang w:val="en-US" w:eastAsia="zh-CN" w:bidi="ar-SA"/>
        </w:rPr>
        <w:t>五、2024年度预算绩效管理情况说明</w:t>
      </w:r>
    </w:p>
    <w:p w14:paraId="4CA58F6D">
      <w:pPr>
        <w:pStyle w:val="17"/>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（一）单位自评情况</w:t>
      </w:r>
    </w:p>
    <w:p w14:paraId="0D64EAB7">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lang w:val="en-US" w:eastAsia="zh-CN"/>
        </w:rPr>
      </w:pPr>
      <w:r>
        <w:rPr>
          <w:rFonts w:hint="default" w:ascii="Times New Roman" w:hAnsi="Times New Roman" w:eastAsia="方正仿宋_GBK" w:cs="Times New Roman"/>
          <w:b w:val="0"/>
          <w:bCs w:val="0"/>
          <w:sz w:val="32"/>
          <w:szCs w:val="32"/>
          <w:shd w:val="clear" w:color="auto" w:fill="FFFFFF"/>
          <w:lang w:eastAsia="zh-CN"/>
        </w:rPr>
        <w:t>本单位为秀山土家族苗族自治县卫生健康委员会二级预算单位，由主管部门统一开展项目支出绩效自评。</w:t>
      </w:r>
    </w:p>
    <w:tbl>
      <w:tblPr>
        <w:tblStyle w:val="13"/>
        <w:tblpPr w:leftFromText="180" w:rightFromText="180" w:vertAnchor="text" w:horzAnchor="page" w:tblpX="1693" w:tblpY="236"/>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14:paraId="2C912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490" w:hRule="atLeast"/>
        </w:trPr>
        <w:tc>
          <w:tcPr>
            <w:tcW w:w="8400" w:type="dxa"/>
            <w:gridSpan w:val="11"/>
            <w:shd w:val="clear" w:color="auto" w:fill="auto"/>
            <w:vAlign w:val="center"/>
          </w:tcPr>
          <w:p w14:paraId="727BE229">
            <w:pPr>
              <w:keepNext w:val="0"/>
              <w:keepLines w:val="0"/>
              <w:pageBreakBefore w:val="0"/>
              <w:widowControl/>
              <w:suppressLineNumbers w:val="0"/>
              <w:kinsoku/>
              <w:wordWrap/>
              <w:overflowPunct/>
              <w:topLinePunct w:val="0"/>
              <w:autoSpaceDN/>
              <w:bidi w:val="0"/>
              <w:adjustRightInd/>
              <w:snapToGrid/>
              <w:spacing w:line="560" w:lineRule="exact"/>
              <w:ind w:firstLine="1285" w:firstLineChars="400"/>
              <w:jc w:val="both"/>
              <w:textAlignment w:val="center"/>
              <w:rPr>
                <w:rFonts w:hint="default" w:ascii="Times New Roman" w:hAnsi="Times New Roman" w:cs="Times New Roman"/>
                <w:b/>
                <w:bCs w:val="0"/>
                <w:i w:val="0"/>
                <w:color w:val="auto"/>
                <w:kern w:val="0"/>
                <w:sz w:val="32"/>
                <w:szCs w:val="32"/>
                <w:highlight w:val="none"/>
                <w:u w:val="none"/>
                <w:lang w:val="en-US" w:eastAsia="zh-CN" w:bidi="ar"/>
              </w:rPr>
            </w:pPr>
            <w:r>
              <w:rPr>
                <w:rFonts w:hint="default" w:ascii="Times New Roman" w:hAnsi="Times New Roman" w:cs="Times New Roman"/>
                <w:b/>
                <w:bCs w:val="0"/>
                <w:i w:val="0"/>
                <w:color w:val="auto"/>
                <w:kern w:val="0"/>
                <w:sz w:val="32"/>
                <w:szCs w:val="32"/>
                <w:highlight w:val="none"/>
                <w:u w:val="none"/>
                <w:lang w:val="en-US" w:eastAsia="zh-CN" w:bidi="ar"/>
              </w:rPr>
              <w:t>秀山土家族苗族自治县卫生健康委员会</w:t>
            </w:r>
          </w:p>
          <w:p w14:paraId="24EB4188">
            <w:pPr>
              <w:keepNext w:val="0"/>
              <w:keepLines w:val="0"/>
              <w:pageBreakBefore w:val="0"/>
              <w:widowControl/>
              <w:suppressLineNumbers w:val="0"/>
              <w:kinsoku/>
              <w:wordWrap/>
              <w:overflowPunct/>
              <w:topLinePunct w:val="0"/>
              <w:autoSpaceDN/>
              <w:bidi w:val="0"/>
              <w:adjustRightInd/>
              <w:snapToGrid/>
              <w:spacing w:line="560" w:lineRule="exact"/>
              <w:jc w:val="both"/>
              <w:textAlignment w:val="center"/>
              <w:rPr>
                <w:rFonts w:hint="default" w:ascii="Times New Roman" w:hAnsi="Times New Roman" w:eastAsia="宋体" w:cs="Times New Roman"/>
                <w:b/>
                <w:i w:val="0"/>
                <w:color w:val="auto"/>
                <w:sz w:val="32"/>
                <w:szCs w:val="32"/>
                <w:highlight w:val="none"/>
                <w:u w:val="none"/>
              </w:rPr>
            </w:pPr>
            <w:r>
              <w:rPr>
                <w:rFonts w:hint="default" w:ascii="Times New Roman" w:hAnsi="Times New Roman" w:eastAsia="宋体" w:cs="Times New Roman"/>
                <w:b/>
                <w:bCs w:val="0"/>
                <w:i w:val="0"/>
                <w:color w:val="auto"/>
                <w:kern w:val="0"/>
                <w:sz w:val="32"/>
                <w:szCs w:val="32"/>
                <w:highlight w:val="none"/>
                <w:u w:val="none"/>
                <w:lang w:val="en-US" w:eastAsia="zh-CN" w:bidi="ar"/>
              </w:rPr>
              <w:t>202</w:t>
            </w:r>
            <w:r>
              <w:rPr>
                <w:rFonts w:hint="default" w:ascii="Times New Roman" w:hAnsi="Times New Roman" w:cs="Times New Roman"/>
                <w:b/>
                <w:bCs w:val="0"/>
                <w:i w:val="0"/>
                <w:color w:val="auto"/>
                <w:kern w:val="0"/>
                <w:sz w:val="32"/>
                <w:szCs w:val="32"/>
                <w:highlight w:val="none"/>
                <w:u w:val="none"/>
                <w:lang w:val="en-US" w:eastAsia="zh-CN" w:bidi="ar"/>
              </w:rPr>
              <w:t>4</w:t>
            </w:r>
            <w:r>
              <w:rPr>
                <w:rFonts w:hint="default" w:ascii="Times New Roman" w:hAnsi="Times New Roman" w:eastAsia="宋体" w:cs="Times New Roman"/>
                <w:b/>
                <w:bCs w:val="0"/>
                <w:i w:val="0"/>
                <w:color w:val="auto"/>
                <w:kern w:val="0"/>
                <w:sz w:val="32"/>
                <w:szCs w:val="32"/>
                <w:highlight w:val="none"/>
                <w:u w:val="none"/>
                <w:lang w:val="en-US" w:eastAsia="zh-CN" w:bidi="ar"/>
              </w:rPr>
              <w:t>年度项目支出绩效自评情况表（</w:t>
            </w:r>
            <w:r>
              <w:rPr>
                <w:rFonts w:hint="default" w:ascii="Times New Roman" w:hAnsi="Times New Roman" w:cs="Times New Roman"/>
                <w:b/>
                <w:bCs w:val="0"/>
                <w:i w:val="0"/>
                <w:color w:val="auto"/>
                <w:kern w:val="0"/>
                <w:sz w:val="32"/>
                <w:szCs w:val="32"/>
                <w:highlight w:val="none"/>
                <w:u w:val="none"/>
                <w:lang w:val="en-US" w:eastAsia="zh-CN" w:bidi="ar"/>
              </w:rPr>
              <w:t>二级项目</w:t>
            </w:r>
            <w:r>
              <w:rPr>
                <w:rFonts w:hint="default" w:ascii="Times New Roman" w:hAnsi="Times New Roman" w:eastAsia="宋体" w:cs="Times New Roman"/>
                <w:b/>
                <w:bCs w:val="0"/>
                <w:i w:val="0"/>
                <w:color w:val="auto"/>
                <w:kern w:val="0"/>
                <w:sz w:val="32"/>
                <w:szCs w:val="32"/>
                <w:highlight w:val="none"/>
                <w:u w:val="none"/>
                <w:lang w:val="en-US" w:eastAsia="zh-CN" w:bidi="ar"/>
              </w:rPr>
              <w:t>）</w:t>
            </w:r>
          </w:p>
        </w:tc>
      </w:tr>
      <w:tr w14:paraId="0C81D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EBFE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5787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30B0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A0E9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5222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3D7B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8EAD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1FF5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F3BF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28FA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75C4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自评得分</w:t>
            </w:r>
          </w:p>
        </w:tc>
      </w:tr>
      <w:tr w14:paraId="37655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91387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F018D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国家</w:t>
            </w:r>
            <w:r>
              <w:rPr>
                <w:rFonts w:hint="default" w:ascii="Times New Roman" w:hAnsi="Times New Roman" w:eastAsia="方正仿宋_GBK" w:cs="Times New Roman"/>
                <w:i w:val="0"/>
                <w:color w:val="auto"/>
                <w:kern w:val="0"/>
                <w:sz w:val="24"/>
                <w:szCs w:val="24"/>
                <w:highlight w:val="none"/>
                <w:u w:val="none"/>
                <w:lang w:val="en-US" w:eastAsia="zh-CN" w:bidi="ar"/>
              </w:rPr>
              <w:t>基本公共卫生服务</w:t>
            </w:r>
            <w:r>
              <w:rPr>
                <w:rFonts w:hint="eastAsia" w:ascii="Times New Roman" w:hAnsi="Times New Roman" w:eastAsia="方正仿宋_GBK" w:cs="Times New Roman"/>
                <w:i w:val="0"/>
                <w:color w:val="auto"/>
                <w:kern w:val="0"/>
                <w:sz w:val="24"/>
                <w:szCs w:val="24"/>
                <w:highlight w:val="none"/>
                <w:u w:val="none"/>
                <w:lang w:val="en-US" w:eastAsia="zh-CN" w:bidi="ar"/>
              </w:rPr>
              <w:t>补助资金</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4FAE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BA33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950C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0630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F204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32A9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92</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544F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928B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9DD9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90</w:t>
            </w:r>
          </w:p>
        </w:tc>
      </w:tr>
      <w:tr w14:paraId="39068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80"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F5248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A407E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C1BC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sz w:val="24"/>
                <w:szCs w:val="24"/>
                <w:lang w:val="en-US" w:eastAsia="zh-CN"/>
              </w:rPr>
              <w:t>0-6岁儿童健康管理率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2B15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F869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A506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EBA4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18AB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91</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F12D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413A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7715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90</w:t>
            </w:r>
          </w:p>
        </w:tc>
      </w:tr>
    </w:tbl>
    <w:p w14:paraId="05756F9C">
      <w:pPr>
        <w:pStyle w:val="17"/>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lang w:eastAsia="zh-CN"/>
        </w:rPr>
        <w:t>（</w:t>
      </w:r>
      <w:r>
        <w:rPr>
          <w:rFonts w:hint="default" w:ascii="Times New Roman" w:hAnsi="Times New Roman" w:eastAsia="方正楷体_GBK" w:cs="Times New Roman"/>
          <w:b w:val="0"/>
          <w:bCs w:val="0"/>
          <w:sz w:val="32"/>
          <w:szCs w:val="32"/>
          <w:shd w:val="clear" w:color="auto" w:fill="FFFFFF"/>
          <w:lang w:val="en-US" w:eastAsia="zh-CN"/>
        </w:rPr>
        <w:t>二）</w:t>
      </w:r>
      <w:r>
        <w:rPr>
          <w:rFonts w:hint="default" w:ascii="Times New Roman" w:hAnsi="Times New Roman" w:eastAsia="方正楷体_GBK" w:cs="Times New Roman"/>
          <w:b w:val="0"/>
          <w:bCs w:val="0"/>
          <w:sz w:val="32"/>
          <w:szCs w:val="32"/>
          <w:shd w:val="clear" w:color="auto" w:fill="FFFFFF"/>
        </w:rPr>
        <w:t>单位绩效评价情况</w:t>
      </w:r>
    </w:p>
    <w:p w14:paraId="0A7E3E32">
      <w:pPr>
        <w:pStyle w:val="17"/>
        <w:keepNext w:val="0"/>
        <w:keepLines w:val="0"/>
        <w:pageBreakBefore w:val="0"/>
        <w:widowControl/>
        <w:numPr>
          <w:ilvl w:val="0"/>
          <w:numId w:val="0"/>
        </w:numPr>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default" w:ascii="Times New Roman" w:hAnsi="Times New Roman" w:eastAsia="方正仿宋_GBK" w:cs="Times New Roman"/>
          <w:b w:val="0"/>
          <w:bCs w:val="0"/>
          <w:kern w:val="0"/>
          <w:sz w:val="32"/>
          <w:szCs w:val="32"/>
          <w:lang w:val="en-US" w:eastAsia="zh-CN" w:bidi="ar-SA"/>
        </w:rPr>
        <w:t>本单位未组织开展绩效评价。</w:t>
      </w:r>
    </w:p>
    <w:p w14:paraId="627FB4B9">
      <w:pPr>
        <w:pStyle w:val="17"/>
        <w:keepNext w:val="0"/>
        <w:keepLines w:val="0"/>
        <w:pageBreakBefore w:val="0"/>
        <w:widowControl/>
        <w:numPr>
          <w:ilvl w:val="0"/>
          <w:numId w:val="0"/>
        </w:numPr>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kern w:val="0"/>
          <w:sz w:val="32"/>
          <w:szCs w:val="32"/>
        </w:rPr>
      </w:pPr>
      <w:r>
        <w:rPr>
          <w:rStyle w:val="16"/>
          <w:rFonts w:hint="default" w:ascii="Times New Roman" w:hAnsi="Times New Roman" w:eastAsia="方正黑体_GBK" w:cs="Times New Roman"/>
          <w:b w:val="0"/>
          <w:bCs/>
          <w:sz w:val="32"/>
          <w:szCs w:val="32"/>
          <w:shd w:val="clear" w:color="auto" w:fill="FFFFFF"/>
          <w:lang w:val="en-US" w:eastAsia="zh-CN" w:bidi="ar-SA"/>
        </w:rPr>
        <w:t>六、专业名词解释</w:t>
      </w:r>
    </w:p>
    <w:p w14:paraId="09B75C24">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（一）财政拨款收入：</w:t>
      </w:r>
      <w:r>
        <w:rPr>
          <w:rFonts w:hint="default" w:ascii="Times New Roman" w:hAnsi="Times New Roman" w:eastAsia="方正仿宋_GBK" w:cs="Times New Roman"/>
          <w:kern w:val="0"/>
          <w:sz w:val="32"/>
          <w:szCs w:val="32"/>
          <w:shd w:val="clear" w:fill="FFFFFF"/>
        </w:rPr>
        <w:t>指本年度从本级财政部门取得的财政拨款，包括一般公共预算财政拨款和政府性基金预算财政拨款。</w:t>
      </w:r>
    </w:p>
    <w:p w14:paraId="3C37956D">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（二）事业收入：</w:t>
      </w:r>
      <w:r>
        <w:rPr>
          <w:rFonts w:hint="default" w:ascii="Times New Roman" w:hAnsi="Times New Roman" w:eastAsia="方正仿宋_GBK" w:cs="Times New Roman"/>
          <w:kern w:val="0"/>
          <w:sz w:val="32"/>
          <w:szCs w:val="32"/>
          <w:shd w:val="clear" w:fill="FFFFFF"/>
        </w:rPr>
        <w:t>指事业单位开展专业业务活动及其辅助活动取得的现金流入；事业单位收到的财政专户实际核拨的教育收费等资金在此反映。</w:t>
      </w:r>
    </w:p>
    <w:p w14:paraId="3F447423">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（三）经营收入：</w:t>
      </w:r>
      <w:r>
        <w:rPr>
          <w:rFonts w:hint="default" w:ascii="Times New Roman" w:hAnsi="Times New Roman" w:eastAsia="方正仿宋_GBK" w:cs="Times New Roman"/>
          <w:kern w:val="0"/>
          <w:sz w:val="32"/>
          <w:szCs w:val="32"/>
          <w:shd w:val="clear" w:fill="FFFFFF"/>
        </w:rPr>
        <w:t>指事业单位在专业业务活动及其辅助活动之外开展非独立核算经营活动取得的现金流入。</w:t>
      </w:r>
    </w:p>
    <w:p w14:paraId="5CB8546D">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（四）其他收入：</w:t>
      </w:r>
      <w:r>
        <w:rPr>
          <w:rFonts w:hint="default" w:ascii="Times New Roman" w:hAnsi="Times New Roman" w:eastAsia="方正仿宋_GBK" w:cs="Times New Roman"/>
          <w:kern w:val="0"/>
          <w:sz w:val="32"/>
          <w:szCs w:val="32"/>
          <w:shd w:val="clear"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4C876151">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（五）使用非财政拨款结余（含专用结余）：</w:t>
      </w:r>
      <w:r>
        <w:rPr>
          <w:rFonts w:hint="default" w:ascii="Times New Roman" w:hAnsi="Times New Roman" w:eastAsia="方正仿宋_GBK" w:cs="Times New Roman"/>
          <w:kern w:val="0"/>
          <w:sz w:val="32"/>
          <w:szCs w:val="32"/>
          <w:shd w:val="clear" w:fill="FFFFFF"/>
        </w:rPr>
        <w:t>指单位在当年的“财政拨款收入”、“事业收入”、“经营收入”、“其他收入”等不足以安排当年支出的情况下，使用以前年度积累的非财政拨款结余弥补本年度收支缺口的资金。</w:t>
      </w:r>
    </w:p>
    <w:p w14:paraId="287ADD62">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（六）年初结转和结余：</w:t>
      </w:r>
      <w:r>
        <w:rPr>
          <w:rFonts w:hint="default" w:ascii="Times New Roman" w:hAnsi="Times New Roman" w:eastAsia="方正仿宋_GBK" w:cs="Times New Roman"/>
          <w:kern w:val="0"/>
          <w:sz w:val="32"/>
          <w:szCs w:val="32"/>
          <w:shd w:val="clear" w:fill="FFFFFF"/>
        </w:rPr>
        <w:t>指单位上年结转本年使用的基本支出结转、项目支出结转和结余、经营结余。</w:t>
      </w:r>
    </w:p>
    <w:p w14:paraId="6F472001">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（七）结余分配：</w:t>
      </w:r>
      <w:r>
        <w:rPr>
          <w:rFonts w:hint="default" w:ascii="Times New Roman" w:hAnsi="Times New Roman" w:eastAsia="方正仿宋_GBK" w:cs="Times New Roman"/>
          <w:kern w:val="0"/>
          <w:sz w:val="32"/>
          <w:szCs w:val="32"/>
          <w:shd w:val="clear" w:fill="FFFFFF"/>
        </w:rPr>
        <w:t>指单位按照国家有关规定，缴纳所得税、提取专用基金、转入非财政拨款结余等当年结余的分配情况。</w:t>
      </w:r>
    </w:p>
    <w:p w14:paraId="5F952ECF">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（八）年末结转和结余：</w:t>
      </w:r>
      <w:r>
        <w:rPr>
          <w:rFonts w:hint="default" w:ascii="Times New Roman" w:hAnsi="Times New Roman" w:eastAsia="方正仿宋_GBK" w:cs="Times New Roman"/>
          <w:kern w:val="0"/>
          <w:sz w:val="32"/>
          <w:szCs w:val="32"/>
          <w:shd w:val="clear" w:fill="FFFFFF"/>
        </w:rPr>
        <w:t>指单位结转下年的基本支出结转、项目支出结转和结余、经营结余。</w:t>
      </w:r>
    </w:p>
    <w:p w14:paraId="7316227C">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（九）基本支出：</w:t>
      </w:r>
      <w:r>
        <w:rPr>
          <w:rFonts w:hint="default" w:ascii="Times New Roman" w:hAnsi="Times New Roman" w:eastAsia="方正仿宋_GBK" w:cs="Times New Roman"/>
          <w:kern w:val="0"/>
          <w:sz w:val="32"/>
          <w:szCs w:val="32"/>
          <w:shd w:val="clear"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132581D5">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（十）项目支出：</w:t>
      </w:r>
      <w:r>
        <w:rPr>
          <w:rFonts w:hint="default" w:ascii="Times New Roman" w:hAnsi="Times New Roman" w:eastAsia="方正仿宋_GBK" w:cs="Times New Roman"/>
          <w:kern w:val="0"/>
          <w:sz w:val="32"/>
          <w:szCs w:val="32"/>
          <w:shd w:val="clear" w:fill="FFFFFF"/>
        </w:rPr>
        <w:t>指在基本支出之外为完成特定行政任务和事业发展目标所发生的支出。</w:t>
      </w:r>
    </w:p>
    <w:p w14:paraId="2CE5AA57">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（十一）经营支出：</w:t>
      </w:r>
      <w:r>
        <w:rPr>
          <w:rFonts w:hint="default" w:ascii="Times New Roman" w:hAnsi="Times New Roman" w:eastAsia="方正仿宋_GBK" w:cs="Times New Roman"/>
          <w:kern w:val="0"/>
          <w:sz w:val="32"/>
          <w:szCs w:val="32"/>
          <w:shd w:val="clear" w:fill="FFFFFF"/>
        </w:rPr>
        <w:t>指事业单位在专业业务活动及其辅助活动之外开展非独立核算经营活动发生的支出。</w:t>
      </w:r>
    </w:p>
    <w:p w14:paraId="322856EB">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（十二）“三公”经费：</w:t>
      </w:r>
      <w:r>
        <w:rPr>
          <w:rFonts w:hint="default" w:ascii="Times New Roman" w:hAnsi="Times New Roman" w:eastAsia="方正仿宋_GBK" w:cs="Times New Roman"/>
          <w:kern w:val="0"/>
          <w:sz w:val="32"/>
          <w:szCs w:val="32"/>
          <w:shd w:val="clear"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0EB417C9">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（十三）机关运行经费：</w:t>
      </w:r>
      <w:r>
        <w:rPr>
          <w:rFonts w:hint="default" w:ascii="Times New Roman" w:hAnsi="Times New Roman" w:eastAsia="方正仿宋_GBK" w:cs="Times New Roman"/>
          <w:kern w:val="0"/>
          <w:sz w:val="32"/>
          <w:szCs w:val="32"/>
          <w:shd w:val="clear"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769D95DF">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（十四）工资福利支出（支出经济分类科目类级）：</w:t>
      </w:r>
      <w:r>
        <w:rPr>
          <w:rFonts w:hint="default" w:ascii="Times New Roman" w:hAnsi="Times New Roman" w:eastAsia="方正仿宋_GBK" w:cs="Times New Roman"/>
          <w:kern w:val="0"/>
          <w:sz w:val="32"/>
          <w:szCs w:val="32"/>
          <w:shd w:val="clear" w:fill="FFFFFF"/>
        </w:rPr>
        <w:t>反映单位开支的在职职工和编制外长期聘用人员的各类劳动报酬，以及为上述人员缴纳的各项社会保险费等。</w:t>
      </w:r>
    </w:p>
    <w:p w14:paraId="46EC28C3">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（十五）商品和服务支出（支出经济分类科目类级）：</w:t>
      </w:r>
      <w:r>
        <w:rPr>
          <w:rFonts w:hint="default" w:ascii="Times New Roman" w:hAnsi="Times New Roman" w:eastAsia="方正仿宋_GBK" w:cs="Times New Roman"/>
          <w:kern w:val="0"/>
          <w:sz w:val="32"/>
          <w:szCs w:val="32"/>
          <w:shd w:val="clear" w:fill="FFFFFF"/>
        </w:rPr>
        <w:t>反映单位购买商品和服务的支出（不包括用于购置固定资产的支出、战略性和应急储备支出）。</w:t>
      </w:r>
    </w:p>
    <w:p w14:paraId="4F253234">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（十六）对个人和家庭的补助（支出经济分类科目类级）：</w:t>
      </w:r>
      <w:r>
        <w:rPr>
          <w:rFonts w:hint="default" w:ascii="Times New Roman" w:hAnsi="Times New Roman" w:eastAsia="方正仿宋_GBK" w:cs="Times New Roman"/>
          <w:kern w:val="0"/>
          <w:sz w:val="32"/>
          <w:szCs w:val="32"/>
          <w:shd w:val="clear" w:fill="FFFFFF"/>
        </w:rPr>
        <w:t>反映用于对个人和家庭的补助支出。</w:t>
      </w:r>
    </w:p>
    <w:p w14:paraId="0487B455">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（十七）其他资本性支出（支出经济分类科目类级）：</w:t>
      </w:r>
      <w:r>
        <w:rPr>
          <w:rFonts w:hint="default" w:ascii="Times New Roman" w:hAnsi="Times New Roman" w:eastAsia="方正仿宋_GBK" w:cs="Times New Roman"/>
          <w:kern w:val="0"/>
          <w:sz w:val="32"/>
          <w:szCs w:val="32"/>
          <w:shd w:val="clear" w:fill="FFFFFF"/>
        </w:rPr>
        <w:t>反映非各级发展与改革部门集中安排的用于购置固定资产、战略性和应急性储备、土地和无形资产，以及构建基础设施、大型修缮和财政支持企业更新改造所发生的支出。</w:t>
      </w:r>
    </w:p>
    <w:p w14:paraId="6C0FF402">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黑体_GBK" w:cs="Times New Roman"/>
          <w:b w:val="0"/>
          <w:bCs/>
          <w:kern w:val="0"/>
          <w:sz w:val="32"/>
          <w:szCs w:val="32"/>
        </w:rPr>
      </w:pPr>
      <w:r>
        <w:rPr>
          <w:rStyle w:val="16"/>
          <w:rFonts w:hint="default" w:ascii="Times New Roman" w:hAnsi="Times New Roman" w:eastAsia="方正黑体_GBK" w:cs="Times New Roman"/>
          <w:b w:val="0"/>
          <w:bCs/>
          <w:sz w:val="32"/>
          <w:szCs w:val="32"/>
          <w:shd w:val="clear" w:color="auto" w:fill="FFFFFF"/>
          <w:lang w:val="en-US" w:eastAsia="zh-CN" w:bidi="ar-SA"/>
        </w:rPr>
        <w:t>七、决算公开联系方式及信息反馈渠道</w:t>
      </w:r>
    </w:p>
    <w:p w14:paraId="5C87260A">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sectPr>
          <w:footerReference r:id="rId3" w:type="default"/>
          <w:pgSz w:w="11915" w:h="16840"/>
          <w:pgMar w:top="2098" w:right="1531" w:bottom="1984" w:left="1531" w:header="851" w:footer="992" w:gutter="0"/>
          <w:pgNumType w:fmt="numberInDash"/>
          <w:cols w:space="720" w:num="1"/>
          <w:docGrid w:type="lines" w:linePitch="312" w:charSpace="0"/>
        </w:sectPr>
      </w:pPr>
      <w:r>
        <w:rPr>
          <w:rFonts w:hint="default" w:ascii="Times New Roman" w:hAnsi="Times New Roman" w:eastAsia="方正仿宋_GBK" w:cs="Times New Roman"/>
          <w:sz w:val="32"/>
          <w:szCs w:val="32"/>
        </w:rPr>
        <w:t>本单位决算公开信息反馈和联系方式：</w:t>
      </w:r>
      <w:r>
        <w:rPr>
          <w:rFonts w:hint="default" w:ascii="Times New Roman" w:hAnsi="Times New Roman" w:eastAsia="方正仿宋_GBK" w:cs="Times New Roman"/>
          <w:sz w:val="32"/>
          <w:szCs w:val="32"/>
          <w:lang w:eastAsia="zh-CN"/>
        </w:rPr>
        <w:t>龚远超</w:t>
      </w:r>
      <w:r>
        <w:rPr>
          <w:rFonts w:hint="default" w:ascii="Times New Roman" w:hAnsi="Times New Roman" w:eastAsia="方正仿宋_GBK" w:cs="Times New Roman"/>
          <w:sz w:val="32"/>
          <w:szCs w:val="32"/>
        </w:rPr>
        <w:t>023-85055789</w:t>
      </w:r>
    </w:p>
    <w:p w14:paraId="78A39F3D">
      <w:pPr>
        <w:pStyle w:val="18"/>
        <w:keepNext w:val="0"/>
        <w:keepLines w:val="0"/>
        <w:pageBreakBefore w:val="0"/>
        <w:widowControl/>
        <w:kinsoku/>
        <w:wordWrap/>
        <w:overflowPunct/>
        <w:topLinePunct w:val="0"/>
        <w:autoSpaceDN/>
        <w:bidi w:val="0"/>
        <w:adjustRightInd/>
        <w:snapToGrid/>
        <w:spacing w:before="0" w:beforeAutospacing="0" w:after="0" w:afterAutospacing="0" w:line="596" w:lineRule="exact"/>
        <w:textAlignment w:val="auto"/>
        <w:rPr>
          <w:rFonts w:hint="eastAsia" w:ascii="方正仿宋_GBK" w:hAnsi="方正仿宋_GBK" w:eastAsia="方正仿宋_GBK" w:cs="方正仿宋_GBK"/>
          <w:kern w:val="0"/>
          <w:sz w:val="32"/>
          <w:szCs w:val="32"/>
        </w:rPr>
      </w:pPr>
    </w:p>
    <w:tbl>
      <w:tblPr>
        <w:tblStyle w:val="13"/>
        <w:tblpPr w:leftFromText="180" w:rightFromText="180" w:vertAnchor="text" w:horzAnchor="page" w:tblpX="1058" w:tblpY="22"/>
        <w:tblOverlap w:val="never"/>
        <w:tblW w:w="14737" w:type="dxa"/>
        <w:tblInd w:w="0" w:type="dxa"/>
        <w:tblLayout w:type="fixed"/>
        <w:tblCellMar>
          <w:top w:w="0" w:type="dxa"/>
          <w:left w:w="0" w:type="dxa"/>
          <w:bottom w:w="0" w:type="dxa"/>
          <w:right w:w="0" w:type="dxa"/>
        </w:tblCellMar>
      </w:tblPr>
      <w:tblGrid>
        <w:gridCol w:w="4294"/>
        <w:gridCol w:w="3558"/>
        <w:gridCol w:w="4044"/>
        <w:gridCol w:w="2841"/>
      </w:tblGrid>
      <w:tr w14:paraId="21C22978">
        <w:tblPrEx>
          <w:tblCellMar>
            <w:top w:w="0" w:type="dxa"/>
            <w:left w:w="0" w:type="dxa"/>
            <w:bottom w:w="0" w:type="dxa"/>
            <w:right w:w="0" w:type="dxa"/>
          </w:tblCellMar>
        </w:tblPrEx>
        <w:trPr>
          <w:trHeight w:val="232" w:hRule="atLeast"/>
        </w:trPr>
        <w:tc>
          <w:tcPr>
            <w:tcW w:w="14737" w:type="dxa"/>
            <w:gridSpan w:val="4"/>
            <w:tcBorders>
              <w:top w:val="nil"/>
              <w:left w:val="nil"/>
              <w:bottom w:val="nil"/>
              <w:right w:val="nil"/>
            </w:tcBorders>
            <w:shd w:val="clear" w:color="auto" w:fill="auto"/>
            <w:tcMar>
              <w:top w:w="15" w:type="dxa"/>
              <w:left w:w="15" w:type="dxa"/>
              <w:right w:w="15" w:type="dxa"/>
            </w:tcMar>
            <w:vAlign w:val="bottom"/>
          </w:tcPr>
          <w:p w14:paraId="1A639DB7">
            <w:pPr>
              <w:spacing w:line="400" w:lineRule="exact"/>
              <w:jc w:val="both"/>
              <w:textAlignment w:val="bottom"/>
              <w:rPr>
                <w:rFonts w:hint="default" w:cs="宋体"/>
                <w:b/>
                <w:color w:val="000000"/>
                <w:sz w:val="32"/>
                <w:szCs w:val="32"/>
              </w:rPr>
            </w:pPr>
            <w:r>
              <w:rPr>
                <w:rFonts w:cs="宋体"/>
                <w:b/>
                <w:color w:val="000000"/>
                <w:sz w:val="32"/>
                <w:szCs w:val="32"/>
              </w:rPr>
              <w:t>收入支出决算总表</w:t>
            </w:r>
          </w:p>
        </w:tc>
      </w:tr>
      <w:tr w14:paraId="777BA3AF">
        <w:tblPrEx>
          <w:tblCellMar>
            <w:top w:w="0" w:type="dxa"/>
            <w:left w:w="0" w:type="dxa"/>
            <w:bottom w:w="0" w:type="dxa"/>
            <w:right w:w="0" w:type="dxa"/>
          </w:tblCellMar>
        </w:tblPrEx>
        <w:trPr>
          <w:trHeight w:val="232" w:hRule="atLeast"/>
        </w:trPr>
        <w:tc>
          <w:tcPr>
            <w:tcW w:w="4294" w:type="dxa"/>
            <w:tcBorders>
              <w:top w:val="nil"/>
              <w:left w:val="nil"/>
              <w:bottom w:val="nil"/>
              <w:right w:val="nil"/>
            </w:tcBorders>
            <w:shd w:val="clear" w:color="auto" w:fill="auto"/>
            <w:tcMar>
              <w:top w:w="15" w:type="dxa"/>
              <w:left w:w="15" w:type="dxa"/>
              <w:right w:w="15" w:type="dxa"/>
            </w:tcMar>
            <w:vAlign w:val="bottom"/>
          </w:tcPr>
          <w:p w14:paraId="512A6A4A">
            <w:pPr>
              <w:keepNext w:val="0"/>
              <w:keepLines w:val="0"/>
              <w:pageBreakBefore w:val="0"/>
              <w:widowControl/>
              <w:kinsoku/>
              <w:wordWrap/>
              <w:overflowPunct/>
              <w:topLinePunct w:val="0"/>
              <w:autoSpaceDE/>
              <w:autoSpaceDN/>
              <w:bidi w:val="0"/>
              <w:adjustRightInd/>
              <w:snapToGrid/>
              <w:spacing w:line="200" w:lineRule="exact"/>
              <w:rPr>
                <w:rFonts w:hint="default" w:ascii="Arial" w:hAnsi="Arial" w:cs="Arial"/>
                <w:color w:val="000000"/>
                <w:sz w:val="20"/>
                <w:szCs w:val="20"/>
              </w:rPr>
            </w:pPr>
          </w:p>
        </w:tc>
        <w:tc>
          <w:tcPr>
            <w:tcW w:w="3558" w:type="dxa"/>
            <w:tcBorders>
              <w:top w:val="nil"/>
              <w:left w:val="nil"/>
              <w:bottom w:val="nil"/>
              <w:right w:val="nil"/>
            </w:tcBorders>
            <w:shd w:val="clear" w:color="auto" w:fill="auto"/>
            <w:tcMar>
              <w:top w:w="15" w:type="dxa"/>
              <w:left w:w="15" w:type="dxa"/>
              <w:right w:w="15" w:type="dxa"/>
            </w:tcMar>
            <w:vAlign w:val="bottom"/>
          </w:tcPr>
          <w:p w14:paraId="7A2069EB">
            <w:pPr>
              <w:keepNext w:val="0"/>
              <w:keepLines w:val="0"/>
              <w:pageBreakBefore w:val="0"/>
              <w:widowControl/>
              <w:kinsoku/>
              <w:wordWrap/>
              <w:overflowPunct/>
              <w:topLinePunct w:val="0"/>
              <w:autoSpaceDE/>
              <w:autoSpaceDN/>
              <w:bidi w:val="0"/>
              <w:adjustRightInd/>
              <w:snapToGrid/>
              <w:spacing w:line="200" w:lineRule="exact"/>
              <w:jc w:val="right"/>
              <w:rPr>
                <w:rFonts w:hint="default" w:ascii="Arial" w:hAnsi="Arial" w:cs="Arial"/>
                <w:color w:val="000000"/>
                <w:sz w:val="20"/>
                <w:szCs w:val="20"/>
              </w:rPr>
            </w:pPr>
          </w:p>
        </w:tc>
        <w:tc>
          <w:tcPr>
            <w:tcW w:w="4044" w:type="dxa"/>
            <w:tcBorders>
              <w:top w:val="nil"/>
              <w:left w:val="nil"/>
              <w:bottom w:val="nil"/>
              <w:right w:val="nil"/>
            </w:tcBorders>
            <w:shd w:val="clear" w:color="auto" w:fill="auto"/>
            <w:tcMar>
              <w:top w:w="15" w:type="dxa"/>
              <w:left w:w="15" w:type="dxa"/>
              <w:right w:w="15" w:type="dxa"/>
            </w:tcMar>
            <w:vAlign w:val="bottom"/>
          </w:tcPr>
          <w:p w14:paraId="4DB0E449">
            <w:pPr>
              <w:keepNext w:val="0"/>
              <w:keepLines w:val="0"/>
              <w:pageBreakBefore w:val="0"/>
              <w:widowControl/>
              <w:kinsoku/>
              <w:wordWrap/>
              <w:overflowPunct/>
              <w:topLinePunct w:val="0"/>
              <w:autoSpaceDE/>
              <w:autoSpaceDN/>
              <w:bidi w:val="0"/>
              <w:adjustRightInd/>
              <w:snapToGrid/>
              <w:spacing w:line="200" w:lineRule="exact"/>
              <w:rPr>
                <w:rFonts w:hint="default" w:ascii="Arial" w:hAnsi="Arial" w:cs="Arial"/>
                <w:color w:val="000000"/>
                <w:sz w:val="20"/>
                <w:szCs w:val="20"/>
              </w:rPr>
            </w:pPr>
          </w:p>
        </w:tc>
        <w:tc>
          <w:tcPr>
            <w:tcW w:w="2841" w:type="dxa"/>
            <w:tcBorders>
              <w:top w:val="nil"/>
              <w:left w:val="nil"/>
              <w:bottom w:val="nil"/>
              <w:right w:val="nil"/>
            </w:tcBorders>
            <w:shd w:val="clear" w:color="auto" w:fill="auto"/>
            <w:tcMar>
              <w:top w:w="15" w:type="dxa"/>
              <w:left w:w="15" w:type="dxa"/>
              <w:right w:w="15" w:type="dxa"/>
            </w:tcMar>
            <w:vAlign w:val="bottom"/>
          </w:tcPr>
          <w:p w14:paraId="563B3530">
            <w:pPr>
              <w:keepNext w:val="0"/>
              <w:keepLines w:val="0"/>
              <w:pageBreakBefore w:val="0"/>
              <w:widowControl/>
              <w:kinsoku/>
              <w:wordWrap/>
              <w:overflowPunct/>
              <w:topLinePunct w:val="0"/>
              <w:autoSpaceDE/>
              <w:autoSpaceDN/>
              <w:bidi w:val="0"/>
              <w:adjustRightInd/>
              <w:snapToGrid/>
              <w:spacing w:line="20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01</w:t>
            </w:r>
            <w:r>
              <w:rPr>
                <w:rFonts w:cs="宋体"/>
                <w:color w:val="000000"/>
                <w:sz w:val="20"/>
                <w:szCs w:val="20"/>
              </w:rPr>
              <w:t>表</w:t>
            </w:r>
          </w:p>
        </w:tc>
      </w:tr>
      <w:tr w14:paraId="22B38FF8">
        <w:tblPrEx>
          <w:tblCellMar>
            <w:top w:w="0" w:type="dxa"/>
            <w:left w:w="0" w:type="dxa"/>
            <w:bottom w:w="0" w:type="dxa"/>
            <w:right w:w="0" w:type="dxa"/>
          </w:tblCellMar>
        </w:tblPrEx>
        <w:trPr>
          <w:trHeight w:val="232" w:hRule="atLeast"/>
        </w:trPr>
        <w:tc>
          <w:tcPr>
            <w:tcW w:w="7852" w:type="dxa"/>
            <w:gridSpan w:val="2"/>
            <w:tcBorders>
              <w:top w:val="nil"/>
              <w:left w:val="nil"/>
              <w:bottom w:val="nil"/>
              <w:right w:val="nil"/>
            </w:tcBorders>
            <w:shd w:val="clear" w:color="auto" w:fill="auto"/>
            <w:tcMar>
              <w:top w:w="15" w:type="dxa"/>
              <w:left w:w="15" w:type="dxa"/>
              <w:right w:w="15" w:type="dxa"/>
            </w:tcMar>
            <w:vAlign w:val="bottom"/>
          </w:tcPr>
          <w:p w14:paraId="4F4422C1">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Arial" w:hAnsi="Arial" w:cs="Arial"/>
                <w:color w:val="000000"/>
                <w:sz w:val="22"/>
                <w:szCs w:val="22"/>
              </w:rPr>
            </w:pPr>
            <w:r>
              <w:rPr>
                <w:rFonts w:cs="宋体"/>
                <w:sz w:val="20"/>
                <w:szCs w:val="20"/>
              </w:rPr>
              <w:t>单位：</w:t>
            </w:r>
            <w:r>
              <w:rPr>
                <w:sz w:val="20"/>
                <w:u w:color="auto"/>
              </w:rPr>
              <w:t>秀山土家族苗族自治县乌杨街道社区卫生服务中心</w:t>
            </w:r>
          </w:p>
        </w:tc>
        <w:tc>
          <w:tcPr>
            <w:tcW w:w="4044" w:type="dxa"/>
            <w:tcBorders>
              <w:top w:val="nil"/>
              <w:left w:val="nil"/>
              <w:bottom w:val="nil"/>
              <w:right w:val="nil"/>
            </w:tcBorders>
            <w:shd w:val="clear" w:color="auto" w:fill="auto"/>
            <w:tcMar>
              <w:top w:w="15" w:type="dxa"/>
              <w:left w:w="15" w:type="dxa"/>
              <w:right w:w="15" w:type="dxa"/>
            </w:tcMar>
            <w:vAlign w:val="bottom"/>
          </w:tcPr>
          <w:p w14:paraId="06A84B90">
            <w:pPr>
              <w:keepNext w:val="0"/>
              <w:keepLines w:val="0"/>
              <w:pageBreakBefore w:val="0"/>
              <w:widowControl/>
              <w:kinsoku/>
              <w:wordWrap/>
              <w:overflowPunct/>
              <w:topLinePunct w:val="0"/>
              <w:autoSpaceDE/>
              <w:autoSpaceDN/>
              <w:bidi w:val="0"/>
              <w:adjustRightInd/>
              <w:snapToGrid/>
              <w:spacing w:line="200" w:lineRule="exact"/>
              <w:rPr>
                <w:rFonts w:hint="default" w:ascii="Arial" w:hAnsi="Arial" w:cs="Arial"/>
                <w:color w:val="000000"/>
                <w:sz w:val="22"/>
                <w:szCs w:val="22"/>
              </w:rPr>
            </w:pPr>
          </w:p>
        </w:tc>
        <w:tc>
          <w:tcPr>
            <w:tcW w:w="2841" w:type="dxa"/>
            <w:tcBorders>
              <w:top w:val="nil"/>
              <w:left w:val="nil"/>
              <w:bottom w:val="nil"/>
              <w:right w:val="nil"/>
            </w:tcBorders>
            <w:shd w:val="clear" w:color="auto" w:fill="auto"/>
            <w:tcMar>
              <w:top w:w="15" w:type="dxa"/>
              <w:left w:w="15" w:type="dxa"/>
              <w:right w:w="15" w:type="dxa"/>
            </w:tcMar>
            <w:vAlign w:val="bottom"/>
          </w:tcPr>
          <w:p w14:paraId="67CC2088">
            <w:pPr>
              <w:keepNext w:val="0"/>
              <w:keepLines w:val="0"/>
              <w:pageBreakBefore w:val="0"/>
              <w:widowControl/>
              <w:kinsoku/>
              <w:wordWrap/>
              <w:overflowPunct/>
              <w:topLinePunct w:val="0"/>
              <w:autoSpaceDE/>
              <w:autoSpaceDN/>
              <w:bidi w:val="0"/>
              <w:adjustRightInd/>
              <w:snapToGrid/>
              <w:spacing w:line="20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797F004B">
        <w:tblPrEx>
          <w:tblCellMar>
            <w:top w:w="0" w:type="dxa"/>
            <w:left w:w="0" w:type="dxa"/>
            <w:bottom w:w="0" w:type="dxa"/>
            <w:right w:w="0" w:type="dxa"/>
          </w:tblCellMar>
        </w:tblPrEx>
        <w:trPr>
          <w:trHeight w:val="243" w:hRule="atLeast"/>
        </w:trPr>
        <w:tc>
          <w:tcPr>
            <w:tcW w:w="78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6D6CF">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color w:val="000000"/>
                <w:sz w:val="20"/>
                <w:szCs w:val="20"/>
              </w:rPr>
            </w:pPr>
            <w:r>
              <w:rPr>
                <w:rFonts w:cs="宋体"/>
                <w:b/>
                <w:color w:val="000000"/>
                <w:sz w:val="20"/>
                <w:szCs w:val="20"/>
              </w:rPr>
              <w:t>收入</w:t>
            </w:r>
          </w:p>
        </w:tc>
        <w:tc>
          <w:tcPr>
            <w:tcW w:w="6885"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81D0554">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color w:val="000000"/>
                <w:sz w:val="20"/>
                <w:szCs w:val="20"/>
              </w:rPr>
            </w:pPr>
            <w:r>
              <w:rPr>
                <w:rFonts w:cs="宋体"/>
                <w:b/>
                <w:color w:val="000000"/>
                <w:sz w:val="20"/>
                <w:szCs w:val="20"/>
              </w:rPr>
              <w:t>支出</w:t>
            </w:r>
          </w:p>
        </w:tc>
      </w:tr>
      <w:tr w14:paraId="26C1B48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4C96E">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color w:val="000000"/>
                <w:sz w:val="20"/>
                <w:szCs w:val="20"/>
              </w:rPr>
            </w:pPr>
            <w:r>
              <w:rPr>
                <w:rFonts w:cs="宋体"/>
                <w:b/>
                <w:color w:val="000000"/>
                <w:sz w:val="20"/>
                <w:szCs w:val="20"/>
              </w:rPr>
              <w:t>项目</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5F8FD7">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color w:val="000000"/>
                <w:sz w:val="20"/>
                <w:szCs w:val="20"/>
              </w:rPr>
            </w:pPr>
            <w:r>
              <w:rPr>
                <w:rFonts w:cs="宋体"/>
                <w:b/>
                <w:color w:val="000000"/>
                <w:sz w:val="20"/>
                <w:szCs w:val="20"/>
              </w:rPr>
              <w:t>决算数</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E8A50A">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color w:val="000000"/>
                <w:sz w:val="20"/>
                <w:szCs w:val="20"/>
              </w:rPr>
            </w:pPr>
            <w:r>
              <w:rPr>
                <w:rFonts w:cs="宋体"/>
                <w:b/>
                <w:color w:val="000000"/>
                <w:sz w:val="20"/>
                <w:szCs w:val="20"/>
              </w:rPr>
              <w:t>功能分类科目</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2A93D2">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color w:val="000000"/>
                <w:sz w:val="20"/>
                <w:szCs w:val="20"/>
              </w:rPr>
            </w:pPr>
            <w:r>
              <w:rPr>
                <w:rFonts w:cs="宋体"/>
                <w:b/>
                <w:color w:val="000000"/>
                <w:sz w:val="20"/>
                <w:szCs w:val="20"/>
              </w:rPr>
              <w:t>决算数</w:t>
            </w:r>
          </w:p>
        </w:tc>
      </w:tr>
      <w:tr w14:paraId="2AF4C72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CAC7E">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一、一般公共预算财政拨款收入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CC9C7A">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380.59</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D633DC">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一、一般公共服务支出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AC7531">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9684EE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69364">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二、政府性基金预算财政拨款收入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78E3E6">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EAAFB7">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二、外交支出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7BED13">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896227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18205">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三、国有资本经营预算财政拨款收入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A886C2">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344514">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三、国防支出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3036F4">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823AF8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DDCDA">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四、上级补助收入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267411">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5E9AD8">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四、公共安全支出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D348F0">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4C2F53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F7B7D">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五、事业收入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8BDD61">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750.47</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06D99D">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五、教育支出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F10DA0">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B59679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535F6">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六、经营收入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B5D278">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80F914">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六、科学技术支出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61C113">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99D1DA5">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127FC">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七、附属单位上缴收入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4FDE32">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2B80FC">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七、文化旅游体育与传媒支出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C3B11F">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452807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5AD7C">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八、其他收入</w:t>
            </w:r>
          </w:p>
        </w:tc>
        <w:tc>
          <w:tcPr>
            <w:tcW w:w="3558" w:type="dxa"/>
            <w:tcBorders>
              <w:top w:val="nil"/>
              <w:left w:val="nil"/>
              <w:bottom w:val="nil"/>
              <w:right w:val="single" w:color="000000" w:sz="4" w:space="0"/>
            </w:tcBorders>
            <w:shd w:val="clear" w:color="auto" w:fill="auto"/>
            <w:tcMar>
              <w:top w:w="15" w:type="dxa"/>
              <w:left w:w="15" w:type="dxa"/>
              <w:right w:w="15" w:type="dxa"/>
            </w:tcMar>
            <w:vAlign w:val="center"/>
          </w:tcPr>
          <w:p w14:paraId="2D820FC8">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7.26</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C960B2">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八、社会保障和就业支出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FAA80D">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47.64</w:t>
            </w:r>
            <w:r>
              <w:rPr>
                <w:rFonts w:ascii="Times New Roman" w:hAnsi="Times New Roman"/>
                <w:color w:val="000000"/>
                <w:sz w:val="20"/>
                <w:u w:color="auto"/>
              </w:rPr>
              <w:t xml:space="preserve"> </w:t>
            </w:r>
          </w:p>
        </w:tc>
      </w:tr>
      <w:tr w14:paraId="439E69F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7AD8A">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D6925B7">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4DF2C6">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九、卫生健康支出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99F29E">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1,113.62</w:t>
            </w:r>
            <w:r>
              <w:rPr>
                <w:rFonts w:ascii="Times New Roman" w:hAnsi="Times New Roman"/>
                <w:color w:val="000000"/>
                <w:sz w:val="20"/>
                <w:u w:color="auto"/>
              </w:rPr>
              <w:t xml:space="preserve"> </w:t>
            </w:r>
          </w:p>
        </w:tc>
      </w:tr>
      <w:tr w14:paraId="514117E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D92AC">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1BA4C1C">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4B2383">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十、节能环保支出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9C7C57">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55B94D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AD691">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F327CA4">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238D62">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十一、城乡社区支出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D7874C">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950CE4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CFECA">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FC502B9">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19314B">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十二、农林水支出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336526">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B2E9417">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78736">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6A8D2">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686E78">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十三、交通运输支出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D9F4E4">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01F1FA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5C005">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68D68A">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CBBBD6">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十四、资源勘探工业信息等支出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13927F">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811D85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10618">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3680B2">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F84B9E">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十五、商业服务业等支出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3C3963">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4CADD77">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39769">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8AE87E">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B1A9E5">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十六、金融支出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BFE3FE">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46ED19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F7B40">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DBCCAD">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FF7033">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十七、援助其他地区支出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CC1E87">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4767124">
        <w:tblPrEx>
          <w:tblCellMar>
            <w:top w:w="0" w:type="dxa"/>
            <w:left w:w="0" w:type="dxa"/>
            <w:bottom w:w="0" w:type="dxa"/>
            <w:right w:w="0" w:type="dxa"/>
          </w:tblCellMar>
        </w:tblPrEx>
        <w:trPr>
          <w:trHeight w:val="90"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89206">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324AA0">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0AEC97">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十八、自然资源海洋气象等支出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05B6A1">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9A1F91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AB66E">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C34EF6">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2E39AA">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十九、住房保障支出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1C26FE">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14.01</w:t>
            </w:r>
            <w:r>
              <w:rPr>
                <w:rFonts w:ascii="Times New Roman" w:hAnsi="Times New Roman"/>
                <w:color w:val="000000"/>
                <w:sz w:val="20"/>
                <w:u w:color="auto"/>
              </w:rPr>
              <w:t xml:space="preserve"> </w:t>
            </w:r>
          </w:p>
        </w:tc>
      </w:tr>
      <w:tr w14:paraId="4735007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465C8">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46F7B6">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342AB8">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二十、粮油物资储备支出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2AB272">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7C1986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DAEFA">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460A83">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C61CA5">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二十一、国有资本经营预算支出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2E23F9">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5B5556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38452">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D7CE49">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50F5A3">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二十二、灾害防治及应急管理支出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C6E129">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B87BF1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B7A60">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21358E">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D3B864">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二十三、其他支出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23AFE7">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9D9999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622CA">
            <w:pPr>
              <w:keepNext w:val="0"/>
              <w:keepLines w:val="0"/>
              <w:pageBreakBefore w:val="0"/>
              <w:widowControl/>
              <w:kinsoku/>
              <w:wordWrap/>
              <w:overflowPunct/>
              <w:topLinePunct w:val="0"/>
              <w:autoSpaceDE/>
              <w:autoSpaceDN/>
              <w:bidi w:val="0"/>
              <w:adjustRightInd/>
              <w:snapToGrid/>
              <w:spacing w:line="200" w:lineRule="exact"/>
              <w:jc w:val="center"/>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7EAC66">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68C984">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二十四、债务还本支出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08761F">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8B9504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DD0BD">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EAAFF3">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0B0BBC">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二十五、债务付息支出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90B735">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6CC46A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79136">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CC15E6">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CDFC0E">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二十六、抗疫特别国债安排的支出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0BCD8C">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48DE08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96AFE">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bCs/>
                <w:color w:val="000000"/>
                <w:sz w:val="20"/>
                <w:szCs w:val="20"/>
              </w:rPr>
            </w:pPr>
            <w:r>
              <w:rPr>
                <w:rFonts w:cs="宋体"/>
                <w:b/>
                <w:bCs/>
                <w:color w:val="000000"/>
                <w:sz w:val="20"/>
                <w:szCs w:val="20"/>
              </w:rPr>
              <w:t>本年收入合计</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C791FB">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1,138.32</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60C5AC">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bCs/>
                <w:color w:val="000000"/>
                <w:sz w:val="20"/>
                <w:szCs w:val="20"/>
              </w:rPr>
            </w:pPr>
            <w:r>
              <w:rPr>
                <w:rFonts w:cs="宋体"/>
                <w:b/>
                <w:bCs/>
                <w:color w:val="000000"/>
                <w:sz w:val="20"/>
                <w:szCs w:val="20"/>
              </w:rPr>
              <w:t>本年支出合计</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1CCD8A">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1,175.27</w:t>
            </w:r>
            <w:r>
              <w:rPr>
                <w:rFonts w:ascii="Times New Roman" w:hAnsi="Times New Roman"/>
                <w:color w:val="000000"/>
                <w:sz w:val="20"/>
                <w:u w:color="auto"/>
              </w:rPr>
              <w:t xml:space="preserve"> </w:t>
            </w:r>
          </w:p>
        </w:tc>
      </w:tr>
      <w:tr w14:paraId="1A907BE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BA316">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使用非财政拨款结余（含专用结余）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4ED06A">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7F9DB6">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结余分配</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24DEAD">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3CD18A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7318A">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年初结转和结余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16FAE3">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36.95</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726D41">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年末结转和结余</w:t>
            </w:r>
          </w:p>
        </w:tc>
        <w:tc>
          <w:tcPr>
            <w:tcW w:w="2841"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14:paraId="00ED4590">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76BE62A">
        <w:tblPrEx>
          <w:tblCellMar>
            <w:top w:w="0" w:type="dxa"/>
            <w:left w:w="0" w:type="dxa"/>
            <w:bottom w:w="0" w:type="dxa"/>
            <w:right w:w="0" w:type="dxa"/>
          </w:tblCellMar>
        </w:tblPrEx>
        <w:trPr>
          <w:trHeight w:val="25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91C0F">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color w:val="000000"/>
                <w:sz w:val="20"/>
                <w:szCs w:val="20"/>
              </w:rPr>
            </w:pPr>
            <w:r>
              <w:rPr>
                <w:rFonts w:cs="宋体"/>
                <w:b/>
                <w:color w:val="000000"/>
                <w:sz w:val="20"/>
                <w:szCs w:val="20"/>
              </w:rPr>
              <w:t>总计</w:t>
            </w: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B1FD2">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1,175.27</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auto" w:sz="4" w:space="0"/>
            </w:tcBorders>
            <w:shd w:val="clear" w:color="auto" w:fill="auto"/>
            <w:tcMar>
              <w:top w:w="15" w:type="dxa"/>
              <w:left w:w="15" w:type="dxa"/>
              <w:right w:w="15" w:type="dxa"/>
            </w:tcMar>
            <w:vAlign w:val="center"/>
          </w:tcPr>
          <w:p w14:paraId="4539B3F2">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color w:val="000000"/>
                <w:sz w:val="20"/>
                <w:szCs w:val="20"/>
              </w:rPr>
            </w:pPr>
            <w:r>
              <w:rPr>
                <w:rFonts w:cs="宋体"/>
                <w:b/>
                <w:color w:val="000000"/>
                <w:sz w:val="20"/>
                <w:szCs w:val="20"/>
              </w:rPr>
              <w:t>总计</w:t>
            </w:r>
          </w:p>
        </w:tc>
        <w:tc>
          <w:tcPr>
            <w:tcW w:w="28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AC294E">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1,175.27</w:t>
            </w:r>
            <w:r>
              <w:rPr>
                <w:rFonts w:ascii="Times New Roman" w:hAnsi="Times New Roman"/>
                <w:color w:val="000000"/>
                <w:sz w:val="20"/>
                <w:u w:color="auto"/>
              </w:rPr>
              <w:t xml:space="preserve"> </w:t>
            </w:r>
          </w:p>
        </w:tc>
      </w:tr>
    </w:tbl>
    <w:p w14:paraId="0B0CC4CF">
      <w:pPr>
        <w:keepNext w:val="0"/>
        <w:keepLines w:val="0"/>
        <w:pageBreakBefore w:val="0"/>
        <w:widowControl/>
        <w:kinsoku/>
        <w:wordWrap/>
        <w:overflowPunct/>
        <w:topLinePunct w:val="0"/>
        <w:autoSpaceDE/>
        <w:autoSpaceDN/>
        <w:bidi w:val="0"/>
        <w:adjustRightInd/>
        <w:snapToGrid/>
        <w:spacing w:line="200" w:lineRule="exact"/>
        <w:rPr>
          <w:rFonts w:hint="default" w:cs="宋体"/>
          <w:sz w:val="21"/>
          <w:szCs w:val="21"/>
        </w:rPr>
      </w:pPr>
    </w:p>
    <w:p w14:paraId="09375BA2">
      <w:pPr>
        <w:keepNext w:val="0"/>
        <w:keepLines w:val="0"/>
        <w:pageBreakBefore w:val="0"/>
        <w:widowControl/>
        <w:kinsoku/>
        <w:wordWrap/>
        <w:overflowPunct/>
        <w:topLinePunct w:val="0"/>
        <w:autoSpaceDE/>
        <w:autoSpaceDN/>
        <w:bidi w:val="0"/>
        <w:adjustRightInd/>
        <w:snapToGrid/>
        <w:spacing w:line="200" w:lineRule="exact"/>
        <w:rPr>
          <w:rFonts w:hint="default"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p>
    <w:tbl>
      <w:tblPr>
        <w:tblStyle w:val="13"/>
        <w:tblW w:w="15503" w:type="dxa"/>
        <w:tblInd w:w="0" w:type="dxa"/>
        <w:tblLayout w:type="fixed"/>
        <w:tblCellMar>
          <w:top w:w="0" w:type="dxa"/>
          <w:left w:w="0" w:type="dxa"/>
          <w:bottom w:w="0" w:type="dxa"/>
          <w:right w:w="0" w:type="dxa"/>
        </w:tblCellMar>
      </w:tblPr>
      <w:tblGrid>
        <w:gridCol w:w="1430"/>
        <w:gridCol w:w="3067"/>
        <w:gridCol w:w="1434"/>
        <w:gridCol w:w="1451"/>
        <w:gridCol w:w="1256"/>
        <w:gridCol w:w="1438"/>
        <w:gridCol w:w="1459"/>
        <w:gridCol w:w="1296"/>
        <w:gridCol w:w="1350"/>
        <w:gridCol w:w="1322"/>
      </w:tblGrid>
      <w:tr w14:paraId="5CA0879D">
        <w:tblPrEx>
          <w:tblCellMar>
            <w:top w:w="0" w:type="dxa"/>
            <w:left w:w="0" w:type="dxa"/>
            <w:bottom w:w="0" w:type="dxa"/>
            <w:right w:w="0" w:type="dxa"/>
          </w:tblCellMar>
        </w:tblPrEx>
        <w:trPr>
          <w:trHeight w:val="427" w:hRule="atLeast"/>
        </w:trPr>
        <w:tc>
          <w:tcPr>
            <w:tcW w:w="15503" w:type="dxa"/>
            <w:gridSpan w:val="10"/>
            <w:tcBorders>
              <w:top w:val="nil"/>
              <w:left w:val="nil"/>
              <w:bottom w:val="nil"/>
              <w:right w:val="nil"/>
            </w:tcBorders>
            <w:shd w:val="clear" w:color="auto" w:fill="auto"/>
            <w:tcMar>
              <w:top w:w="15" w:type="dxa"/>
              <w:left w:w="15" w:type="dxa"/>
              <w:right w:w="15" w:type="dxa"/>
            </w:tcMar>
            <w:vAlign w:val="bottom"/>
          </w:tcPr>
          <w:p w14:paraId="5A5434F1">
            <w:pPr>
              <w:keepNext w:val="0"/>
              <w:keepLines w:val="0"/>
              <w:pageBreakBefore w:val="0"/>
              <w:widowControl/>
              <w:kinsoku/>
              <w:wordWrap/>
              <w:overflowPunct/>
              <w:topLinePunct w:val="0"/>
              <w:autoSpaceDE/>
              <w:autoSpaceDN/>
              <w:bidi w:val="0"/>
              <w:adjustRightInd w:val="0"/>
              <w:snapToGrid w:val="0"/>
              <w:jc w:val="center"/>
              <w:textAlignment w:val="bottom"/>
              <w:rPr>
                <w:rFonts w:hint="default" w:cs="宋体"/>
                <w:b/>
                <w:color w:val="000000"/>
                <w:sz w:val="32"/>
                <w:szCs w:val="32"/>
              </w:rPr>
            </w:pPr>
            <w:r>
              <w:rPr>
                <w:rFonts w:cs="宋体"/>
                <w:b/>
                <w:color w:val="000000"/>
                <w:sz w:val="32"/>
                <w:szCs w:val="32"/>
              </w:rPr>
              <w:t>收入决算表</w:t>
            </w:r>
          </w:p>
        </w:tc>
      </w:tr>
      <w:tr w14:paraId="43558A0F">
        <w:tblPrEx>
          <w:tblCellMar>
            <w:top w:w="0" w:type="dxa"/>
            <w:left w:w="0" w:type="dxa"/>
            <w:bottom w:w="0" w:type="dxa"/>
            <w:right w:w="0" w:type="dxa"/>
          </w:tblCellMar>
        </w:tblPrEx>
        <w:trPr>
          <w:trHeight w:val="328" w:hRule="atLeast"/>
        </w:trPr>
        <w:tc>
          <w:tcPr>
            <w:tcW w:w="5931" w:type="dxa"/>
            <w:gridSpan w:val="3"/>
            <w:vMerge w:val="restart"/>
            <w:tcBorders>
              <w:top w:val="nil"/>
              <w:left w:val="nil"/>
              <w:right w:val="nil"/>
            </w:tcBorders>
            <w:shd w:val="clear" w:color="auto" w:fill="auto"/>
            <w:tcMar>
              <w:top w:w="15" w:type="dxa"/>
              <w:left w:w="15" w:type="dxa"/>
              <w:right w:w="15" w:type="dxa"/>
            </w:tcMar>
            <w:vAlign w:val="bottom"/>
          </w:tcPr>
          <w:p w14:paraId="60323635">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default" w:cs="宋体"/>
                <w:color w:val="000000"/>
                <w:sz w:val="20"/>
                <w:szCs w:val="20"/>
              </w:rPr>
            </w:pPr>
            <w:r>
              <w:rPr>
                <w:rFonts w:cs="宋体"/>
                <w:sz w:val="20"/>
                <w:szCs w:val="20"/>
              </w:rPr>
              <w:t>单位：</w:t>
            </w:r>
            <w:r>
              <w:rPr>
                <w:sz w:val="20"/>
                <w:u w:color="auto"/>
              </w:rPr>
              <w:t>秀山土家族苗族自治县乌杨街道社区卫生服务中心</w:t>
            </w:r>
          </w:p>
        </w:tc>
        <w:tc>
          <w:tcPr>
            <w:tcW w:w="1451" w:type="dxa"/>
            <w:tcBorders>
              <w:top w:val="nil"/>
              <w:left w:val="nil"/>
              <w:bottom w:val="nil"/>
              <w:right w:val="nil"/>
            </w:tcBorders>
            <w:shd w:val="clear" w:color="auto" w:fill="auto"/>
            <w:tcMar>
              <w:top w:w="15" w:type="dxa"/>
              <w:left w:w="15" w:type="dxa"/>
              <w:right w:w="15" w:type="dxa"/>
            </w:tcMar>
            <w:vAlign w:val="bottom"/>
          </w:tcPr>
          <w:p w14:paraId="72FC0099">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256" w:type="dxa"/>
            <w:tcBorders>
              <w:top w:val="nil"/>
              <w:left w:val="nil"/>
              <w:bottom w:val="nil"/>
              <w:right w:val="nil"/>
            </w:tcBorders>
            <w:shd w:val="clear" w:color="auto" w:fill="auto"/>
            <w:tcMar>
              <w:top w:w="15" w:type="dxa"/>
              <w:left w:w="15" w:type="dxa"/>
              <w:right w:w="15" w:type="dxa"/>
            </w:tcMar>
            <w:vAlign w:val="bottom"/>
          </w:tcPr>
          <w:p w14:paraId="3E75A776">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438" w:type="dxa"/>
            <w:tcBorders>
              <w:top w:val="nil"/>
              <w:left w:val="nil"/>
              <w:bottom w:val="nil"/>
              <w:right w:val="nil"/>
            </w:tcBorders>
            <w:shd w:val="clear" w:color="auto" w:fill="auto"/>
            <w:tcMar>
              <w:top w:w="15" w:type="dxa"/>
              <w:left w:w="15" w:type="dxa"/>
              <w:right w:w="15" w:type="dxa"/>
            </w:tcMar>
            <w:vAlign w:val="bottom"/>
          </w:tcPr>
          <w:p w14:paraId="757039A1">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459" w:type="dxa"/>
            <w:tcBorders>
              <w:top w:val="nil"/>
              <w:left w:val="nil"/>
              <w:bottom w:val="nil"/>
              <w:right w:val="nil"/>
            </w:tcBorders>
            <w:shd w:val="clear" w:color="auto" w:fill="auto"/>
            <w:tcMar>
              <w:top w:w="15" w:type="dxa"/>
              <w:left w:w="15" w:type="dxa"/>
              <w:right w:w="15" w:type="dxa"/>
            </w:tcMar>
            <w:vAlign w:val="bottom"/>
          </w:tcPr>
          <w:p w14:paraId="4436097D">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296" w:type="dxa"/>
            <w:tcBorders>
              <w:top w:val="nil"/>
              <w:left w:val="nil"/>
              <w:bottom w:val="nil"/>
              <w:right w:val="nil"/>
            </w:tcBorders>
            <w:shd w:val="clear" w:color="auto" w:fill="auto"/>
            <w:tcMar>
              <w:top w:w="15" w:type="dxa"/>
              <w:left w:w="15" w:type="dxa"/>
              <w:right w:w="15" w:type="dxa"/>
            </w:tcMar>
            <w:vAlign w:val="bottom"/>
          </w:tcPr>
          <w:p w14:paraId="2B020732">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350" w:type="dxa"/>
            <w:tcBorders>
              <w:top w:val="nil"/>
              <w:left w:val="nil"/>
              <w:bottom w:val="nil"/>
              <w:right w:val="nil"/>
            </w:tcBorders>
            <w:shd w:val="clear" w:color="auto" w:fill="auto"/>
            <w:tcMar>
              <w:top w:w="15" w:type="dxa"/>
              <w:left w:w="15" w:type="dxa"/>
              <w:right w:w="15" w:type="dxa"/>
            </w:tcMar>
            <w:vAlign w:val="bottom"/>
          </w:tcPr>
          <w:p w14:paraId="505C5D9D">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322" w:type="dxa"/>
            <w:tcBorders>
              <w:top w:val="nil"/>
              <w:left w:val="nil"/>
              <w:bottom w:val="nil"/>
              <w:right w:val="nil"/>
            </w:tcBorders>
            <w:shd w:val="clear" w:color="auto" w:fill="auto"/>
            <w:tcMar>
              <w:top w:w="15" w:type="dxa"/>
              <w:left w:w="15" w:type="dxa"/>
              <w:right w:w="15" w:type="dxa"/>
            </w:tcMar>
            <w:vAlign w:val="bottom"/>
          </w:tcPr>
          <w:p w14:paraId="05F32282">
            <w:pPr>
              <w:keepNext w:val="0"/>
              <w:keepLines w:val="0"/>
              <w:pageBreakBefore w:val="0"/>
              <w:widowControl/>
              <w:kinsoku/>
              <w:wordWrap/>
              <w:overflowPunct/>
              <w:topLinePunct w:val="0"/>
              <w:autoSpaceDE/>
              <w:autoSpaceDN/>
              <w:bidi w:val="0"/>
              <w:adjustRightInd w:val="0"/>
              <w:snapToGrid w:val="0"/>
              <w:spacing w:line="20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02</w:t>
            </w:r>
            <w:r>
              <w:rPr>
                <w:rFonts w:cs="宋体"/>
                <w:color w:val="000000"/>
                <w:sz w:val="20"/>
                <w:szCs w:val="20"/>
              </w:rPr>
              <w:t>表</w:t>
            </w:r>
          </w:p>
        </w:tc>
      </w:tr>
      <w:tr w14:paraId="67AC9E7C">
        <w:tblPrEx>
          <w:tblCellMar>
            <w:top w:w="0" w:type="dxa"/>
            <w:left w:w="0" w:type="dxa"/>
            <w:bottom w:w="0" w:type="dxa"/>
            <w:right w:w="0" w:type="dxa"/>
          </w:tblCellMar>
        </w:tblPrEx>
        <w:trPr>
          <w:trHeight w:val="328" w:hRule="atLeast"/>
        </w:trPr>
        <w:tc>
          <w:tcPr>
            <w:tcW w:w="5931" w:type="dxa"/>
            <w:gridSpan w:val="3"/>
            <w:vMerge w:val="continue"/>
            <w:tcBorders>
              <w:left w:val="nil"/>
              <w:bottom w:val="nil"/>
              <w:right w:val="nil"/>
            </w:tcBorders>
            <w:shd w:val="clear" w:color="auto" w:fill="auto"/>
            <w:tcMar>
              <w:top w:w="15" w:type="dxa"/>
              <w:left w:w="15" w:type="dxa"/>
              <w:right w:w="15" w:type="dxa"/>
            </w:tcMar>
            <w:vAlign w:val="bottom"/>
          </w:tcPr>
          <w:p w14:paraId="7D04B75D">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451" w:type="dxa"/>
            <w:tcBorders>
              <w:top w:val="nil"/>
              <w:left w:val="nil"/>
              <w:bottom w:val="nil"/>
              <w:right w:val="nil"/>
            </w:tcBorders>
            <w:shd w:val="clear" w:color="auto" w:fill="auto"/>
            <w:tcMar>
              <w:top w:w="15" w:type="dxa"/>
              <w:left w:w="15" w:type="dxa"/>
              <w:right w:w="15" w:type="dxa"/>
            </w:tcMar>
            <w:vAlign w:val="bottom"/>
          </w:tcPr>
          <w:p w14:paraId="171D057B">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256" w:type="dxa"/>
            <w:tcBorders>
              <w:top w:val="nil"/>
              <w:left w:val="nil"/>
              <w:bottom w:val="nil"/>
              <w:right w:val="nil"/>
            </w:tcBorders>
            <w:shd w:val="clear" w:color="auto" w:fill="auto"/>
            <w:tcMar>
              <w:top w:w="15" w:type="dxa"/>
              <w:left w:w="15" w:type="dxa"/>
              <w:right w:w="15" w:type="dxa"/>
            </w:tcMar>
            <w:vAlign w:val="bottom"/>
          </w:tcPr>
          <w:p w14:paraId="1B98E0D1">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438" w:type="dxa"/>
            <w:tcBorders>
              <w:top w:val="nil"/>
              <w:left w:val="nil"/>
              <w:bottom w:val="nil"/>
              <w:right w:val="nil"/>
            </w:tcBorders>
            <w:shd w:val="clear" w:color="auto" w:fill="auto"/>
            <w:tcMar>
              <w:top w:w="15" w:type="dxa"/>
              <w:left w:w="15" w:type="dxa"/>
              <w:right w:w="15" w:type="dxa"/>
            </w:tcMar>
            <w:vAlign w:val="bottom"/>
          </w:tcPr>
          <w:p w14:paraId="5DED5BCA">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459" w:type="dxa"/>
            <w:tcBorders>
              <w:top w:val="nil"/>
              <w:left w:val="nil"/>
              <w:bottom w:val="nil"/>
              <w:right w:val="nil"/>
            </w:tcBorders>
            <w:shd w:val="clear" w:color="auto" w:fill="auto"/>
            <w:tcMar>
              <w:top w:w="15" w:type="dxa"/>
              <w:left w:w="15" w:type="dxa"/>
              <w:right w:w="15" w:type="dxa"/>
            </w:tcMar>
            <w:vAlign w:val="bottom"/>
          </w:tcPr>
          <w:p w14:paraId="073F1848">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296" w:type="dxa"/>
            <w:tcBorders>
              <w:top w:val="nil"/>
              <w:left w:val="nil"/>
              <w:bottom w:val="nil"/>
              <w:right w:val="nil"/>
            </w:tcBorders>
            <w:shd w:val="clear" w:color="auto" w:fill="auto"/>
            <w:tcMar>
              <w:top w:w="15" w:type="dxa"/>
              <w:left w:w="15" w:type="dxa"/>
              <w:right w:w="15" w:type="dxa"/>
            </w:tcMar>
            <w:vAlign w:val="bottom"/>
          </w:tcPr>
          <w:p w14:paraId="0C467E55">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350" w:type="dxa"/>
            <w:tcBorders>
              <w:top w:val="nil"/>
              <w:left w:val="nil"/>
              <w:bottom w:val="nil"/>
              <w:right w:val="nil"/>
            </w:tcBorders>
            <w:shd w:val="clear" w:color="auto" w:fill="auto"/>
            <w:tcMar>
              <w:top w:w="15" w:type="dxa"/>
              <w:left w:w="15" w:type="dxa"/>
              <w:right w:w="15" w:type="dxa"/>
            </w:tcMar>
            <w:vAlign w:val="bottom"/>
          </w:tcPr>
          <w:p w14:paraId="09D624F8">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322" w:type="dxa"/>
            <w:tcBorders>
              <w:top w:val="nil"/>
              <w:left w:val="nil"/>
              <w:bottom w:val="nil"/>
              <w:right w:val="nil"/>
            </w:tcBorders>
            <w:shd w:val="clear" w:color="auto" w:fill="auto"/>
            <w:tcMar>
              <w:top w:w="15" w:type="dxa"/>
              <w:left w:w="15" w:type="dxa"/>
              <w:right w:w="15" w:type="dxa"/>
            </w:tcMar>
            <w:vAlign w:val="bottom"/>
          </w:tcPr>
          <w:p w14:paraId="3973F0BA">
            <w:pPr>
              <w:keepNext w:val="0"/>
              <w:keepLines w:val="0"/>
              <w:pageBreakBefore w:val="0"/>
              <w:widowControl/>
              <w:kinsoku/>
              <w:wordWrap/>
              <w:overflowPunct/>
              <w:topLinePunct w:val="0"/>
              <w:autoSpaceDE/>
              <w:autoSpaceDN/>
              <w:bidi w:val="0"/>
              <w:adjustRightInd w:val="0"/>
              <w:snapToGrid w:val="0"/>
              <w:spacing w:line="20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40B4AF7D">
        <w:tblPrEx>
          <w:tblCellMar>
            <w:top w:w="0" w:type="dxa"/>
            <w:left w:w="0" w:type="dxa"/>
            <w:bottom w:w="0" w:type="dxa"/>
            <w:right w:w="0" w:type="dxa"/>
          </w:tblCellMar>
        </w:tblPrEx>
        <w:trPr>
          <w:trHeight w:val="431" w:hRule="atLeast"/>
        </w:trPr>
        <w:tc>
          <w:tcPr>
            <w:tcW w:w="4497"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bottom"/>
          </w:tcPr>
          <w:p w14:paraId="5A1DC487">
            <w:pPr>
              <w:keepNext w:val="0"/>
              <w:keepLines w:val="0"/>
              <w:pageBreakBefore w:val="0"/>
              <w:widowControl/>
              <w:kinsoku/>
              <w:wordWrap/>
              <w:overflowPunct/>
              <w:topLinePunct w:val="0"/>
              <w:autoSpaceDE/>
              <w:autoSpaceDN/>
              <w:bidi w:val="0"/>
              <w:adjustRightInd w:val="0"/>
              <w:snapToGrid w:val="0"/>
              <w:spacing w:line="200" w:lineRule="exact"/>
              <w:jc w:val="center"/>
              <w:textAlignment w:val="bottom"/>
              <w:rPr>
                <w:rFonts w:hint="default" w:cs="宋体"/>
                <w:b/>
                <w:color w:val="000000"/>
                <w:sz w:val="20"/>
                <w:szCs w:val="20"/>
              </w:rPr>
            </w:pPr>
            <w:r>
              <w:rPr>
                <w:rFonts w:cs="宋体"/>
                <w:b/>
                <w:color w:val="000000"/>
                <w:sz w:val="20"/>
                <w:szCs w:val="20"/>
              </w:rPr>
              <w:t>项目</w:t>
            </w:r>
          </w:p>
        </w:tc>
        <w:tc>
          <w:tcPr>
            <w:tcW w:w="14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38CA1">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本年收入合计</w:t>
            </w:r>
          </w:p>
        </w:tc>
        <w:tc>
          <w:tcPr>
            <w:tcW w:w="145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C7565">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财政拨款收入</w:t>
            </w:r>
          </w:p>
        </w:tc>
        <w:tc>
          <w:tcPr>
            <w:tcW w:w="1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79549">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上级补助收入</w:t>
            </w:r>
          </w:p>
        </w:tc>
        <w:tc>
          <w:tcPr>
            <w:tcW w:w="28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2A24D68">
            <w:pPr>
              <w:keepNext w:val="0"/>
              <w:keepLines w:val="0"/>
              <w:pageBreakBefore w:val="0"/>
              <w:widowControl/>
              <w:kinsoku/>
              <w:wordWrap/>
              <w:overflowPunct/>
              <w:topLinePunct w:val="0"/>
              <w:autoSpaceDE/>
              <w:autoSpaceDN/>
              <w:bidi w:val="0"/>
              <w:adjustRightInd w:val="0"/>
              <w:snapToGrid w:val="0"/>
              <w:spacing w:line="200" w:lineRule="exact"/>
              <w:jc w:val="center"/>
              <w:textAlignment w:val="bottom"/>
              <w:rPr>
                <w:rFonts w:hint="default" w:cs="宋体"/>
                <w:b/>
                <w:color w:val="000000"/>
                <w:sz w:val="20"/>
                <w:szCs w:val="20"/>
              </w:rPr>
            </w:pPr>
            <w:r>
              <w:rPr>
                <w:rFonts w:cs="宋体"/>
                <w:b/>
                <w:color w:val="000000"/>
                <w:sz w:val="20"/>
                <w:szCs w:val="20"/>
              </w:rPr>
              <w:t>事业收入</w:t>
            </w:r>
          </w:p>
        </w:tc>
        <w:tc>
          <w:tcPr>
            <w:tcW w:w="129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90FE6">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经营收入</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408B9">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附属单位上缴收入</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644B4">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其他收入</w:t>
            </w:r>
          </w:p>
        </w:tc>
      </w:tr>
      <w:tr w14:paraId="0200DCE6">
        <w:tblPrEx>
          <w:tblCellMar>
            <w:top w:w="0" w:type="dxa"/>
            <w:left w:w="0" w:type="dxa"/>
            <w:bottom w:w="0" w:type="dxa"/>
            <w:right w:w="0" w:type="dxa"/>
          </w:tblCellMar>
        </w:tblPrEx>
        <w:trPr>
          <w:trHeight w:val="334" w:hRule="atLeast"/>
        </w:trPr>
        <w:tc>
          <w:tcPr>
            <w:tcW w:w="1430"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E8149">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功能分类科目编码</w:t>
            </w:r>
          </w:p>
        </w:tc>
        <w:tc>
          <w:tcPr>
            <w:tcW w:w="3067"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342AC52B">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项目（按“项”级功能分类科目）</w:t>
            </w: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A4889">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23E42">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96786">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3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4EFEF">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小计</w:t>
            </w:r>
          </w:p>
        </w:tc>
        <w:tc>
          <w:tcPr>
            <w:tcW w:w="145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F525F">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其中：教育收费</w:t>
            </w: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F2CAF">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87329">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58232">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r>
      <w:tr w14:paraId="763F0E46">
        <w:tblPrEx>
          <w:tblCellMar>
            <w:top w:w="0" w:type="dxa"/>
            <w:left w:w="0" w:type="dxa"/>
            <w:bottom w:w="0" w:type="dxa"/>
            <w:right w:w="0" w:type="dxa"/>
          </w:tblCellMar>
        </w:tblPrEx>
        <w:trPr>
          <w:trHeight w:val="334" w:hRule="atLeast"/>
        </w:trPr>
        <w:tc>
          <w:tcPr>
            <w:tcW w:w="143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CA025">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3067"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7341E83A">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E1561">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2E268">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73AD5">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540F6">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19369">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A3B4E">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65CB1">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B7462">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r>
      <w:tr w14:paraId="69144DFA">
        <w:tblPrEx>
          <w:tblCellMar>
            <w:top w:w="0" w:type="dxa"/>
            <w:left w:w="0" w:type="dxa"/>
            <w:bottom w:w="0" w:type="dxa"/>
            <w:right w:w="0" w:type="dxa"/>
          </w:tblCellMar>
        </w:tblPrEx>
        <w:trPr>
          <w:trHeight w:val="334" w:hRule="atLeast"/>
        </w:trPr>
        <w:tc>
          <w:tcPr>
            <w:tcW w:w="143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5F513">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3067"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3C8BC2B8">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04CBC">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4B4F0">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F9970">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63FC5">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53285">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E6413">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A9CF2">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AE08F">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r>
      <w:tr w14:paraId="1853EB92">
        <w:tblPrEx>
          <w:tblCellMar>
            <w:top w:w="0" w:type="dxa"/>
            <w:left w:w="0" w:type="dxa"/>
            <w:bottom w:w="0" w:type="dxa"/>
            <w:right w:w="0" w:type="dxa"/>
          </w:tblCellMar>
        </w:tblPrEx>
        <w:trPr>
          <w:trHeight w:val="312" w:hRule="exact"/>
        </w:trPr>
        <w:tc>
          <w:tcPr>
            <w:tcW w:w="143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BA922">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3067"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070E6DAA">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8A649">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C9615">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ECB65">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DB41A">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EE6BF">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2BE5E">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19D74">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D1C84">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r>
      <w:tr w14:paraId="08441323">
        <w:tblPrEx>
          <w:tblCellMar>
            <w:top w:w="0" w:type="dxa"/>
            <w:left w:w="0" w:type="dxa"/>
            <w:bottom w:w="0" w:type="dxa"/>
            <w:right w:w="0" w:type="dxa"/>
          </w:tblCellMar>
        </w:tblPrEx>
        <w:trPr>
          <w:trHeight w:val="338" w:hRule="atLeast"/>
        </w:trPr>
        <w:tc>
          <w:tcPr>
            <w:tcW w:w="44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3C912">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合计</w:t>
            </w:r>
          </w:p>
        </w:tc>
        <w:tc>
          <w:tcPr>
            <w:tcW w:w="14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7370E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1,138.32</w:t>
            </w:r>
            <w:r>
              <w:rPr>
                <w:rFonts w:ascii="Times New Roman" w:hAnsi="Times New Roman"/>
                <w:b/>
                <w:color w:val="000000"/>
                <w:sz w:val="20"/>
                <w:u w:color="auto"/>
              </w:rPr>
              <w:t xml:space="preserve"> </w:t>
            </w:r>
          </w:p>
        </w:tc>
        <w:tc>
          <w:tcPr>
            <w:tcW w:w="145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61B73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380.59</w:t>
            </w:r>
            <w:r>
              <w:rPr>
                <w:rFonts w:ascii="Times New Roman" w:hAnsi="Times New Roman"/>
                <w:b/>
                <w:color w:val="000000"/>
                <w:sz w:val="20"/>
                <w:u w:color="auto"/>
              </w:rPr>
              <w:t xml:space="preserve"> </w:t>
            </w:r>
          </w:p>
        </w:tc>
        <w:tc>
          <w:tcPr>
            <w:tcW w:w="125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E8A5A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4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5B038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750.47</w:t>
            </w:r>
            <w:r>
              <w:rPr>
                <w:rFonts w:ascii="Times New Roman" w:hAnsi="Times New Roman"/>
                <w:b/>
                <w:color w:val="000000"/>
                <w:sz w:val="20"/>
                <w:u w:color="auto"/>
              </w:rPr>
              <w:t xml:space="preserve"> </w:t>
            </w:r>
          </w:p>
        </w:tc>
        <w:tc>
          <w:tcPr>
            <w:tcW w:w="14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A90B5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2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B5725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3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755A8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F2B38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7.26</w:t>
            </w:r>
            <w:r>
              <w:rPr>
                <w:rFonts w:ascii="Times New Roman" w:hAnsi="Times New Roman"/>
                <w:b/>
                <w:color w:val="000000"/>
                <w:sz w:val="20"/>
                <w:u w:color="auto"/>
              </w:rPr>
              <w:t xml:space="preserve"> </w:t>
            </w:r>
          </w:p>
        </w:tc>
      </w:tr>
      <w:tr w14:paraId="4012EC9C">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A226A">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208</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B85050">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社会保障和就业支出</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0008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748A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D743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0919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B167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94DB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C16D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CDFF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D339989">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2A0EB">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20805</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68ADC7">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行政事业单位养老支出</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F2FD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5700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7EE9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F83B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3FA0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285B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1DFE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F5E9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54F4DC4">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F9111">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2080502</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B9AE0C">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事业单位离退休</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C884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6.19</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76BD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6.19</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A5F2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5B0E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5970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6669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C11D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F860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C0AFB5F">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29392">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2080505</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F3531D">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机关事业单位基本养老保险缴费支出</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B6D8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27.52</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DB76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27.52</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FEE92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01A0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05C2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8E5E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C65B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413D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3BEAC8D">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623D7">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2080506</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FF5DE4">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机关事业单位职业年金缴费支出</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AEF6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13.93</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F832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13.93</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7C48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89EE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6840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945D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3D2F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D638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1CA3DB1">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1B631">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210</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CC06C6">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卫生健康支出</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49D8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1,076.68</w:t>
            </w:r>
            <w:r>
              <w:rPr>
                <w:rFonts w:ascii="Times New Roman" w:hAnsi="Times New Roman"/>
                <w:b/>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F638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318.95</w:t>
            </w:r>
            <w:r>
              <w:rPr>
                <w:rFonts w:ascii="Times New Roman" w:hAnsi="Times New Roman"/>
                <w:b/>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0049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2292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750.47</w:t>
            </w:r>
            <w:r>
              <w:rPr>
                <w:rFonts w:ascii="Times New Roman" w:hAnsi="Times New Roman"/>
                <w:b/>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7E7C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C927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23EC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FA4E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7.26</w:t>
            </w:r>
            <w:r>
              <w:rPr>
                <w:rFonts w:ascii="Times New Roman" w:hAnsi="Times New Roman"/>
                <w:b/>
                <w:color w:val="000000"/>
                <w:sz w:val="20"/>
                <w:u w:color="auto"/>
              </w:rPr>
              <w:t xml:space="preserve"> </w:t>
            </w:r>
          </w:p>
        </w:tc>
      </w:tr>
      <w:tr w14:paraId="48F6B8E8">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B6058">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21003</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136230">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基层医疗卫生机构</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489B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989.89</w:t>
            </w:r>
            <w:r>
              <w:rPr>
                <w:rFonts w:ascii="Times New Roman" w:hAnsi="Times New Roman"/>
                <w:b/>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F383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232.16</w:t>
            </w:r>
            <w:r>
              <w:rPr>
                <w:rFonts w:ascii="Times New Roman" w:hAnsi="Times New Roman"/>
                <w:b/>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A3F9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5D26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750.47</w:t>
            </w:r>
            <w:r>
              <w:rPr>
                <w:rFonts w:ascii="Times New Roman" w:hAnsi="Times New Roman"/>
                <w:b/>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19E9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9821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4990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E104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7.26</w:t>
            </w:r>
            <w:r>
              <w:rPr>
                <w:rFonts w:ascii="Times New Roman" w:hAnsi="Times New Roman"/>
                <w:b/>
                <w:color w:val="000000"/>
                <w:sz w:val="20"/>
                <w:u w:color="auto"/>
              </w:rPr>
              <w:t xml:space="preserve"> </w:t>
            </w:r>
          </w:p>
        </w:tc>
      </w:tr>
      <w:tr w14:paraId="09EBDC69">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6CB64">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2100301</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E9912B">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城市社区卫生机构</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AB89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980.37</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0EEA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222.64</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0ED3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F562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750.47</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1093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1308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83B2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0E3C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7.26</w:t>
            </w:r>
            <w:r>
              <w:rPr>
                <w:rFonts w:ascii="Times New Roman" w:hAnsi="Times New Roman"/>
                <w:color w:val="000000"/>
                <w:sz w:val="20"/>
                <w:u w:color="auto"/>
              </w:rPr>
              <w:t xml:space="preserve"> </w:t>
            </w:r>
          </w:p>
        </w:tc>
      </w:tr>
      <w:tr w14:paraId="24EE275B">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DF350">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2100399</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1981B9">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其他基层医疗卫生机构支出</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91E2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9.52</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1356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9.52</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9E8B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3969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B10A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71B2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6FD5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94D4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834D2A0">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36F71">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21004</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300C7D">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公共卫生</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60CE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71.52</w:t>
            </w:r>
            <w:r>
              <w:rPr>
                <w:rFonts w:ascii="Times New Roman" w:hAnsi="Times New Roman"/>
                <w:b/>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FCCE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71.52</w:t>
            </w:r>
            <w:r>
              <w:rPr>
                <w:rFonts w:ascii="Times New Roman" w:hAnsi="Times New Roman"/>
                <w:b/>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990A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56D4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FAE5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38DB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66FE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101F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72D7A9A">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F7BCB">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2100408</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8C5830">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基本公共卫生服务</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8804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70.99</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840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70.99</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DFB0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E1AC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1C6A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E75C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2AAF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3160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431600A">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E1E52">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2100410</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5D8B1F">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突发公共卫生事件应急处置</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D08A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985F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B7F2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B4B8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5D57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43C7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DFE0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26A1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360D4E6">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23F3C">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21011</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260FF9">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行政事业单位医疗</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3D23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15.27</w:t>
            </w:r>
            <w:r>
              <w:rPr>
                <w:rFonts w:ascii="Times New Roman" w:hAnsi="Times New Roman"/>
                <w:b/>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CC59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15.27</w:t>
            </w:r>
            <w:r>
              <w:rPr>
                <w:rFonts w:ascii="Times New Roman" w:hAnsi="Times New Roman"/>
                <w:b/>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F901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A221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8144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CA0A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FD5F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2ED9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93D0481">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A93EA">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2101102</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C42852">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事业单位医疗</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5267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11.67</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8C79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11.67</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C28E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C7CD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6842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DEB4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3756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EBD9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083EAEE">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66D8E">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2101199</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6BDCCE">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其他行政事业单位医疗支出</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1265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3.60</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392D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3.60</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535D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C7C3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B3D8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30A0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4E51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C02F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F6BD335">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FF01C">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221</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90DAEA">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住房保障支出</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0165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EEF0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0E1B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1DC0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473C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2222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23E5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083B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1D0875D">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7040A">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22102</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EF6B3A">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住房改革支出</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1BF2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3AC8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49A1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B210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B32C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1A1C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0C54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126C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EA706BF">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6ADF9">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2210201</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408D9C">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住房公积金</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A0AD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14.01</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89D5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14.01</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092A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FB73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AE1D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2339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2D21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F453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45343582">
      <w:pPr>
        <w:keepNext w:val="0"/>
        <w:keepLines w:val="0"/>
        <w:pageBreakBefore w:val="0"/>
        <w:widowControl/>
        <w:kinsoku/>
        <w:overflowPunct/>
        <w:topLinePunct w:val="0"/>
        <w:autoSpaceDE/>
        <w:autoSpaceDN/>
        <w:bidi w:val="0"/>
        <w:adjustRightInd w:val="0"/>
        <w:snapToGrid w:val="0"/>
        <w:spacing w:line="200" w:lineRule="exact"/>
        <w:ind w:left="600" w:hanging="600" w:hangingChars="300"/>
        <w:rPr>
          <w:rFonts w:hint="default"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p>
    <w:tbl>
      <w:tblPr>
        <w:tblStyle w:val="13"/>
        <w:tblW w:w="15322" w:type="dxa"/>
        <w:tblInd w:w="0" w:type="dxa"/>
        <w:tblLayout w:type="fixed"/>
        <w:tblCellMar>
          <w:top w:w="0" w:type="dxa"/>
          <w:left w:w="0" w:type="dxa"/>
          <w:bottom w:w="0" w:type="dxa"/>
          <w:right w:w="0" w:type="dxa"/>
        </w:tblCellMar>
      </w:tblPr>
      <w:tblGrid>
        <w:gridCol w:w="1292"/>
        <w:gridCol w:w="3602"/>
        <w:gridCol w:w="1841"/>
        <w:gridCol w:w="1765"/>
        <w:gridCol w:w="1624"/>
        <w:gridCol w:w="1557"/>
        <w:gridCol w:w="1692"/>
        <w:gridCol w:w="1949"/>
      </w:tblGrid>
      <w:tr w14:paraId="52977893">
        <w:tblPrEx>
          <w:tblCellMar>
            <w:top w:w="0" w:type="dxa"/>
            <w:left w:w="0" w:type="dxa"/>
            <w:bottom w:w="0" w:type="dxa"/>
            <w:right w:w="0" w:type="dxa"/>
          </w:tblCellMar>
        </w:tblPrEx>
        <w:trPr>
          <w:trHeight w:val="65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762FC102">
            <w:pPr>
              <w:jc w:val="center"/>
              <w:textAlignment w:val="bottom"/>
              <w:rPr>
                <w:rFonts w:hint="default" w:cs="宋体"/>
                <w:b/>
                <w:color w:val="000000"/>
                <w:sz w:val="32"/>
                <w:szCs w:val="32"/>
              </w:rPr>
            </w:pPr>
            <w:r>
              <w:rPr>
                <w:rFonts w:cs="宋体"/>
                <w:b/>
                <w:color w:val="000000"/>
                <w:sz w:val="32"/>
                <w:szCs w:val="32"/>
              </w:rPr>
              <w:t>支出决算表</w:t>
            </w:r>
          </w:p>
        </w:tc>
      </w:tr>
      <w:tr w14:paraId="29A1475B">
        <w:tblPrEx>
          <w:tblCellMar>
            <w:top w:w="0" w:type="dxa"/>
            <w:left w:w="0" w:type="dxa"/>
            <w:bottom w:w="0" w:type="dxa"/>
            <w:right w:w="0" w:type="dxa"/>
          </w:tblCellMar>
        </w:tblPrEx>
        <w:trPr>
          <w:trHeight w:val="342" w:hRule="atLeast"/>
        </w:trPr>
        <w:tc>
          <w:tcPr>
            <w:tcW w:w="6735" w:type="dxa"/>
            <w:gridSpan w:val="3"/>
            <w:vMerge w:val="restart"/>
            <w:tcBorders>
              <w:top w:val="nil"/>
              <w:left w:val="nil"/>
              <w:right w:val="nil"/>
            </w:tcBorders>
            <w:shd w:val="clear" w:color="auto" w:fill="auto"/>
            <w:tcMar>
              <w:top w:w="15" w:type="dxa"/>
              <w:left w:w="15" w:type="dxa"/>
              <w:right w:w="15" w:type="dxa"/>
            </w:tcMar>
            <w:vAlign w:val="bottom"/>
          </w:tcPr>
          <w:p w14:paraId="4278F7B6">
            <w:pPr>
              <w:rPr>
                <w:rFonts w:hint="default" w:cs="宋体"/>
                <w:color w:val="000000"/>
                <w:sz w:val="20"/>
                <w:szCs w:val="20"/>
              </w:rPr>
            </w:pPr>
            <w:r>
              <w:rPr>
                <w:rFonts w:cs="宋体"/>
                <w:sz w:val="20"/>
                <w:szCs w:val="20"/>
              </w:rPr>
              <w:t>单位</w:t>
            </w:r>
            <w:r>
              <w:rPr>
                <w:rFonts w:cs="宋体"/>
                <w:color w:val="000000"/>
                <w:sz w:val="20"/>
                <w:szCs w:val="20"/>
              </w:rPr>
              <w:t>：</w:t>
            </w:r>
            <w:r>
              <w:rPr>
                <w:color w:val="000000"/>
                <w:sz w:val="20"/>
                <w:u w:color="auto"/>
              </w:rPr>
              <w:t xml:space="preserve">秀山土家族苗族自治县乌杨街道社区卫生服务中心 </w:t>
            </w:r>
          </w:p>
        </w:tc>
        <w:tc>
          <w:tcPr>
            <w:tcW w:w="1765" w:type="dxa"/>
            <w:tcBorders>
              <w:top w:val="nil"/>
              <w:left w:val="nil"/>
              <w:bottom w:val="nil"/>
              <w:right w:val="nil"/>
            </w:tcBorders>
            <w:shd w:val="clear" w:color="auto" w:fill="auto"/>
            <w:tcMar>
              <w:top w:w="15" w:type="dxa"/>
              <w:left w:w="15" w:type="dxa"/>
              <w:right w:w="15" w:type="dxa"/>
            </w:tcMar>
            <w:vAlign w:val="bottom"/>
          </w:tcPr>
          <w:p w14:paraId="0E0C3199">
            <w:pPr>
              <w:rPr>
                <w:rFonts w:hint="default" w:cs="宋体"/>
                <w:color w:val="000000"/>
                <w:sz w:val="20"/>
                <w:szCs w:val="20"/>
              </w:rPr>
            </w:pPr>
          </w:p>
        </w:tc>
        <w:tc>
          <w:tcPr>
            <w:tcW w:w="1624" w:type="dxa"/>
            <w:tcBorders>
              <w:top w:val="nil"/>
              <w:left w:val="nil"/>
              <w:bottom w:val="nil"/>
              <w:right w:val="nil"/>
            </w:tcBorders>
            <w:shd w:val="clear" w:color="auto" w:fill="auto"/>
            <w:tcMar>
              <w:top w:w="15" w:type="dxa"/>
              <w:left w:w="15" w:type="dxa"/>
              <w:right w:w="15" w:type="dxa"/>
            </w:tcMar>
            <w:vAlign w:val="bottom"/>
          </w:tcPr>
          <w:p w14:paraId="03FACF56">
            <w:pPr>
              <w:rPr>
                <w:rFonts w:hint="default" w:cs="宋体"/>
                <w:color w:val="000000"/>
                <w:sz w:val="20"/>
                <w:szCs w:val="20"/>
              </w:rPr>
            </w:pPr>
          </w:p>
        </w:tc>
        <w:tc>
          <w:tcPr>
            <w:tcW w:w="1557" w:type="dxa"/>
            <w:tcBorders>
              <w:top w:val="nil"/>
              <w:left w:val="nil"/>
              <w:bottom w:val="nil"/>
              <w:right w:val="nil"/>
            </w:tcBorders>
            <w:shd w:val="clear" w:color="auto" w:fill="auto"/>
            <w:tcMar>
              <w:top w:w="15" w:type="dxa"/>
              <w:left w:w="15" w:type="dxa"/>
              <w:right w:w="15" w:type="dxa"/>
            </w:tcMar>
            <w:vAlign w:val="bottom"/>
          </w:tcPr>
          <w:p w14:paraId="05C0A9A8">
            <w:pPr>
              <w:rPr>
                <w:rFonts w:hint="default" w:cs="宋体"/>
                <w:color w:val="000000"/>
                <w:sz w:val="20"/>
                <w:szCs w:val="20"/>
              </w:rPr>
            </w:pPr>
          </w:p>
        </w:tc>
        <w:tc>
          <w:tcPr>
            <w:tcW w:w="1692" w:type="dxa"/>
            <w:tcBorders>
              <w:top w:val="nil"/>
              <w:left w:val="nil"/>
              <w:bottom w:val="nil"/>
              <w:right w:val="nil"/>
            </w:tcBorders>
            <w:shd w:val="clear" w:color="auto" w:fill="auto"/>
            <w:tcMar>
              <w:top w:w="15" w:type="dxa"/>
              <w:left w:w="15" w:type="dxa"/>
              <w:right w:w="15" w:type="dxa"/>
            </w:tcMar>
            <w:vAlign w:val="bottom"/>
          </w:tcPr>
          <w:p w14:paraId="3FA67230">
            <w:pPr>
              <w:rPr>
                <w:rFonts w:hint="default" w:cs="宋体"/>
                <w:color w:val="000000"/>
                <w:sz w:val="20"/>
                <w:szCs w:val="20"/>
              </w:rPr>
            </w:pPr>
          </w:p>
        </w:tc>
        <w:tc>
          <w:tcPr>
            <w:tcW w:w="1949" w:type="dxa"/>
            <w:tcBorders>
              <w:top w:val="nil"/>
              <w:left w:val="nil"/>
              <w:bottom w:val="nil"/>
              <w:right w:val="nil"/>
            </w:tcBorders>
            <w:shd w:val="clear" w:color="auto" w:fill="auto"/>
            <w:tcMar>
              <w:top w:w="15" w:type="dxa"/>
              <w:left w:w="15" w:type="dxa"/>
              <w:right w:w="15" w:type="dxa"/>
            </w:tcMar>
            <w:vAlign w:val="bottom"/>
          </w:tcPr>
          <w:p w14:paraId="24700632">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03</w:t>
            </w:r>
            <w:r>
              <w:rPr>
                <w:rFonts w:cs="宋体"/>
                <w:color w:val="000000"/>
                <w:sz w:val="20"/>
                <w:szCs w:val="20"/>
              </w:rPr>
              <w:t>表</w:t>
            </w:r>
          </w:p>
        </w:tc>
      </w:tr>
      <w:tr w14:paraId="1D64B6A0">
        <w:tblPrEx>
          <w:tblCellMar>
            <w:top w:w="0" w:type="dxa"/>
            <w:left w:w="0" w:type="dxa"/>
            <w:bottom w:w="0" w:type="dxa"/>
            <w:right w:w="0" w:type="dxa"/>
          </w:tblCellMar>
        </w:tblPrEx>
        <w:trPr>
          <w:trHeight w:val="342" w:hRule="atLeast"/>
        </w:trPr>
        <w:tc>
          <w:tcPr>
            <w:tcW w:w="6735" w:type="dxa"/>
            <w:gridSpan w:val="3"/>
            <w:vMerge w:val="continue"/>
            <w:tcBorders>
              <w:left w:val="nil"/>
              <w:bottom w:val="nil"/>
              <w:right w:val="nil"/>
            </w:tcBorders>
            <w:shd w:val="clear" w:color="auto" w:fill="auto"/>
            <w:tcMar>
              <w:top w:w="15" w:type="dxa"/>
              <w:left w:w="15" w:type="dxa"/>
              <w:right w:w="15" w:type="dxa"/>
            </w:tcMar>
            <w:vAlign w:val="bottom"/>
          </w:tcPr>
          <w:p w14:paraId="67C121CB">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6C2FC222">
            <w:pPr>
              <w:rPr>
                <w:rFonts w:hint="default" w:cs="宋体"/>
                <w:color w:val="000000"/>
                <w:sz w:val="20"/>
                <w:szCs w:val="20"/>
              </w:rPr>
            </w:pPr>
          </w:p>
        </w:tc>
        <w:tc>
          <w:tcPr>
            <w:tcW w:w="1624" w:type="dxa"/>
            <w:tcBorders>
              <w:top w:val="nil"/>
              <w:left w:val="nil"/>
              <w:bottom w:val="nil"/>
              <w:right w:val="nil"/>
            </w:tcBorders>
            <w:shd w:val="clear" w:color="auto" w:fill="auto"/>
            <w:tcMar>
              <w:top w:w="15" w:type="dxa"/>
              <w:left w:w="15" w:type="dxa"/>
              <w:right w:w="15" w:type="dxa"/>
            </w:tcMar>
            <w:vAlign w:val="bottom"/>
          </w:tcPr>
          <w:p w14:paraId="1813AEA7">
            <w:pPr>
              <w:rPr>
                <w:rFonts w:hint="default" w:cs="宋体"/>
                <w:color w:val="000000"/>
                <w:sz w:val="20"/>
                <w:szCs w:val="20"/>
              </w:rPr>
            </w:pPr>
          </w:p>
        </w:tc>
        <w:tc>
          <w:tcPr>
            <w:tcW w:w="1557" w:type="dxa"/>
            <w:tcBorders>
              <w:top w:val="nil"/>
              <w:left w:val="nil"/>
              <w:bottom w:val="nil"/>
              <w:right w:val="nil"/>
            </w:tcBorders>
            <w:shd w:val="clear" w:color="auto" w:fill="auto"/>
            <w:tcMar>
              <w:top w:w="15" w:type="dxa"/>
              <w:left w:w="15" w:type="dxa"/>
              <w:right w:w="15" w:type="dxa"/>
            </w:tcMar>
            <w:vAlign w:val="bottom"/>
          </w:tcPr>
          <w:p w14:paraId="726E8A34">
            <w:pPr>
              <w:rPr>
                <w:rFonts w:hint="default" w:cs="宋体"/>
                <w:color w:val="000000"/>
                <w:sz w:val="20"/>
                <w:szCs w:val="20"/>
              </w:rPr>
            </w:pPr>
          </w:p>
        </w:tc>
        <w:tc>
          <w:tcPr>
            <w:tcW w:w="1692" w:type="dxa"/>
            <w:tcBorders>
              <w:top w:val="nil"/>
              <w:left w:val="nil"/>
              <w:bottom w:val="nil"/>
              <w:right w:val="nil"/>
            </w:tcBorders>
            <w:shd w:val="clear" w:color="auto" w:fill="auto"/>
            <w:tcMar>
              <w:top w:w="15" w:type="dxa"/>
              <w:left w:w="15" w:type="dxa"/>
              <w:right w:w="15" w:type="dxa"/>
            </w:tcMar>
            <w:vAlign w:val="bottom"/>
          </w:tcPr>
          <w:p w14:paraId="0DB45826">
            <w:pPr>
              <w:rPr>
                <w:rFonts w:hint="default" w:cs="宋体"/>
                <w:color w:val="000000"/>
                <w:sz w:val="20"/>
                <w:szCs w:val="20"/>
              </w:rPr>
            </w:pPr>
          </w:p>
        </w:tc>
        <w:tc>
          <w:tcPr>
            <w:tcW w:w="1949" w:type="dxa"/>
            <w:tcBorders>
              <w:top w:val="nil"/>
              <w:left w:val="nil"/>
              <w:bottom w:val="nil"/>
              <w:right w:val="nil"/>
            </w:tcBorders>
            <w:shd w:val="clear" w:color="auto" w:fill="auto"/>
            <w:tcMar>
              <w:top w:w="15" w:type="dxa"/>
              <w:left w:w="15" w:type="dxa"/>
              <w:right w:w="15" w:type="dxa"/>
            </w:tcMar>
            <w:vAlign w:val="bottom"/>
          </w:tcPr>
          <w:p w14:paraId="0C5E8BC3">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2B0CB240">
        <w:tblPrEx>
          <w:tblCellMar>
            <w:top w:w="0" w:type="dxa"/>
            <w:left w:w="0" w:type="dxa"/>
            <w:bottom w:w="0" w:type="dxa"/>
            <w:right w:w="0" w:type="dxa"/>
          </w:tblCellMar>
        </w:tblPrEx>
        <w:trPr>
          <w:trHeight w:val="362" w:hRule="atLeast"/>
        </w:trPr>
        <w:tc>
          <w:tcPr>
            <w:tcW w:w="48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6F11444">
            <w:pPr>
              <w:keepNext w:val="0"/>
              <w:keepLines w:val="0"/>
              <w:pageBreakBefore w:val="0"/>
              <w:widowControl/>
              <w:kinsoku/>
              <w:wordWrap/>
              <w:overflowPunct/>
              <w:topLinePunct w:val="0"/>
              <w:autoSpaceDE/>
              <w:autoSpaceDN/>
              <w:bidi w:val="0"/>
              <w:adjustRightInd w:val="0"/>
              <w:snapToGrid w:val="0"/>
              <w:spacing w:line="200" w:lineRule="exact"/>
              <w:jc w:val="center"/>
              <w:textAlignment w:val="bottom"/>
              <w:rPr>
                <w:rFonts w:hint="default" w:cs="宋体"/>
                <w:b/>
                <w:color w:val="000000"/>
                <w:sz w:val="20"/>
                <w:szCs w:val="20"/>
              </w:rPr>
            </w:pPr>
            <w:r>
              <w:rPr>
                <w:rFonts w:cs="宋体"/>
                <w:b/>
                <w:color w:val="000000"/>
                <w:sz w:val="20"/>
                <w:szCs w:val="20"/>
              </w:rPr>
              <w:t>项目</w:t>
            </w:r>
          </w:p>
        </w:tc>
        <w:tc>
          <w:tcPr>
            <w:tcW w:w="18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2C0DA">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本年支出合计</w:t>
            </w:r>
          </w:p>
        </w:tc>
        <w:tc>
          <w:tcPr>
            <w:tcW w:w="17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E9164">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基本支出</w:t>
            </w:r>
          </w:p>
        </w:tc>
        <w:tc>
          <w:tcPr>
            <w:tcW w:w="162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0CDDE">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项目支出</w:t>
            </w:r>
          </w:p>
        </w:tc>
        <w:tc>
          <w:tcPr>
            <w:tcW w:w="15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9B118">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上缴上级支出</w:t>
            </w:r>
          </w:p>
        </w:tc>
        <w:tc>
          <w:tcPr>
            <w:tcW w:w="169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6C7C7">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经营支出</w:t>
            </w:r>
          </w:p>
        </w:tc>
        <w:tc>
          <w:tcPr>
            <w:tcW w:w="19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3B66F">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对附属单位补助支出</w:t>
            </w:r>
          </w:p>
        </w:tc>
      </w:tr>
      <w:tr w14:paraId="583A4B87">
        <w:tblPrEx>
          <w:tblCellMar>
            <w:top w:w="0" w:type="dxa"/>
            <w:left w:w="0" w:type="dxa"/>
            <w:bottom w:w="0" w:type="dxa"/>
            <w:right w:w="0" w:type="dxa"/>
          </w:tblCellMar>
        </w:tblPrEx>
        <w:trPr>
          <w:trHeight w:val="338" w:hRule="atLeast"/>
        </w:trPr>
        <w:tc>
          <w:tcPr>
            <w:tcW w:w="1292"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84C9F">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功能分类科目编码</w:t>
            </w:r>
          </w:p>
        </w:tc>
        <w:tc>
          <w:tcPr>
            <w:tcW w:w="3602"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7415DA3B">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项目（按“项”级功能分类科目）</w:t>
            </w:r>
          </w:p>
        </w:tc>
        <w:tc>
          <w:tcPr>
            <w:tcW w:w="18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62AB4">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929BD">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6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7F829">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7025D">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6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7B633">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9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48E5C">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r>
      <w:tr w14:paraId="6D93B1B4">
        <w:tblPrEx>
          <w:tblCellMar>
            <w:top w:w="0" w:type="dxa"/>
            <w:left w:w="0" w:type="dxa"/>
            <w:bottom w:w="0" w:type="dxa"/>
            <w:right w:w="0" w:type="dxa"/>
          </w:tblCellMar>
        </w:tblPrEx>
        <w:trPr>
          <w:trHeight w:val="338" w:hRule="atLeast"/>
        </w:trPr>
        <w:tc>
          <w:tcPr>
            <w:tcW w:w="1292"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1D9C5">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360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3A481134">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8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31A94">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CA0BA">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6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E1630">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9C631">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6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1DD2D">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9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FCC7A">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r>
      <w:tr w14:paraId="47E15453">
        <w:tblPrEx>
          <w:tblCellMar>
            <w:top w:w="0" w:type="dxa"/>
            <w:left w:w="0" w:type="dxa"/>
            <w:bottom w:w="0" w:type="dxa"/>
            <w:right w:w="0" w:type="dxa"/>
          </w:tblCellMar>
        </w:tblPrEx>
        <w:trPr>
          <w:trHeight w:val="338" w:hRule="atLeast"/>
        </w:trPr>
        <w:tc>
          <w:tcPr>
            <w:tcW w:w="1292"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EFE59">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360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5CAAC9AC">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8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0952F">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FC346">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6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7D4E4">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104AE">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6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6A5D6">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9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9CCA9">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r>
      <w:tr w14:paraId="722B3AD8">
        <w:tblPrEx>
          <w:tblCellMar>
            <w:top w:w="0" w:type="dxa"/>
            <w:left w:w="0" w:type="dxa"/>
            <w:bottom w:w="0" w:type="dxa"/>
            <w:right w:w="0" w:type="dxa"/>
          </w:tblCellMar>
        </w:tblPrEx>
        <w:trPr>
          <w:trHeight w:val="312" w:hRule="exact"/>
        </w:trPr>
        <w:tc>
          <w:tcPr>
            <w:tcW w:w="1292"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D03E6">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360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4A8A1E7F">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8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4A931">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6366E">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6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1B2A8">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CDB91">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6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CB6F7">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9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F9A567">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r>
      <w:tr w14:paraId="2D858869">
        <w:tblPrEx>
          <w:tblCellMar>
            <w:top w:w="0" w:type="dxa"/>
            <w:left w:w="0" w:type="dxa"/>
            <w:bottom w:w="0" w:type="dxa"/>
            <w:right w:w="0" w:type="dxa"/>
          </w:tblCellMar>
        </w:tblPrEx>
        <w:trPr>
          <w:trHeight w:val="362" w:hRule="atLeast"/>
        </w:trPr>
        <w:tc>
          <w:tcPr>
            <w:tcW w:w="48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3CB8A">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合计</w:t>
            </w:r>
          </w:p>
        </w:tc>
        <w:tc>
          <w:tcPr>
            <w:tcW w:w="1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EE0CD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1,175.27</w:t>
            </w:r>
            <w:r>
              <w:rPr>
                <w:rFonts w:ascii="Times New Roman" w:hAnsi="Times New Roman"/>
                <w:b/>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075E8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1,155.38</w:t>
            </w:r>
            <w:r>
              <w:rPr>
                <w:rFonts w:ascii="Times New Roman" w:hAnsi="Times New Roman"/>
                <w:b/>
                <w:color w:val="000000"/>
                <w:sz w:val="20"/>
                <w:u w:color="auto"/>
              </w:rPr>
              <w:t xml:space="preserve"> </w:t>
            </w:r>
          </w:p>
        </w:tc>
        <w:tc>
          <w:tcPr>
            <w:tcW w:w="16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B2383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19.89</w:t>
            </w:r>
            <w:r>
              <w:rPr>
                <w:rFonts w:ascii="Times New Roman" w:hAnsi="Times New Roman"/>
                <w:b/>
                <w:color w:val="000000"/>
                <w:sz w:val="20"/>
                <w:u w:color="auto"/>
              </w:rPr>
              <w:t xml:space="preserve"> </w:t>
            </w:r>
          </w:p>
        </w:tc>
        <w:tc>
          <w:tcPr>
            <w:tcW w:w="15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B23E2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69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B35E3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9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F5C0B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37B1C68C">
        <w:tblPrEx>
          <w:tblCellMar>
            <w:top w:w="0" w:type="dxa"/>
            <w:left w:w="0" w:type="dxa"/>
            <w:bottom w:w="0" w:type="dxa"/>
            <w:right w:w="0" w:type="dxa"/>
          </w:tblCellMar>
        </w:tblPrEx>
        <w:trPr>
          <w:trHeight w:val="335"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CF057">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208</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5725E1">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社会保障和就业支出</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288C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3095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16B83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C079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4F0F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7349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F720ED7">
        <w:tblPrEx>
          <w:tblCellMar>
            <w:top w:w="0" w:type="dxa"/>
            <w:left w:w="0" w:type="dxa"/>
            <w:bottom w:w="0" w:type="dxa"/>
            <w:right w:w="0" w:type="dxa"/>
          </w:tblCellMar>
        </w:tblPrEx>
        <w:trPr>
          <w:trHeight w:val="307"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60D2D">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20805</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C0F99C">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行政事业单位养老支出</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33DA6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719E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58E0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EEEA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4EC5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1149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44A8F3F">
        <w:tblPrEx>
          <w:tblCellMar>
            <w:top w:w="0" w:type="dxa"/>
            <w:left w:w="0" w:type="dxa"/>
            <w:bottom w:w="0" w:type="dxa"/>
            <w:right w:w="0" w:type="dxa"/>
          </w:tblCellMar>
        </w:tblPrEx>
        <w:trPr>
          <w:trHeight w:val="337"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B87F2">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2080502</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5F9B42">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事业单位离退休</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D4F7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6.19</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703A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6.19</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9B50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AE57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7277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A07F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22A0DEE">
        <w:tblPrEx>
          <w:tblCellMar>
            <w:top w:w="0" w:type="dxa"/>
            <w:left w:w="0" w:type="dxa"/>
            <w:bottom w:w="0" w:type="dxa"/>
            <w:right w:w="0" w:type="dxa"/>
          </w:tblCellMar>
        </w:tblPrEx>
        <w:trPr>
          <w:trHeight w:val="38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93C85">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2080505</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E74E7F">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机关事业单位基本养老保险缴费支出</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A8D6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27.52</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014C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27.52</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BAC6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168B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8C20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8A186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D735198">
        <w:tblPrEx>
          <w:tblCellMar>
            <w:top w:w="0" w:type="dxa"/>
            <w:left w:w="0" w:type="dxa"/>
            <w:bottom w:w="0" w:type="dxa"/>
            <w:right w:w="0" w:type="dxa"/>
          </w:tblCellMar>
        </w:tblPrEx>
        <w:trPr>
          <w:trHeight w:val="38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003BA">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2080506</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F6231E">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机关事业单位职业年金缴费支出</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177E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13.93</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6A9F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13.93</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F413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7767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3488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823D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FD5F30D">
        <w:tblPrEx>
          <w:tblCellMar>
            <w:top w:w="0" w:type="dxa"/>
            <w:left w:w="0" w:type="dxa"/>
            <w:bottom w:w="0" w:type="dxa"/>
            <w:right w:w="0" w:type="dxa"/>
          </w:tblCellMar>
        </w:tblPrEx>
        <w:trPr>
          <w:trHeight w:val="38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ED9A0">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210</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99B3A0">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卫生健康支出</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9E06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1,113.62</w:t>
            </w:r>
            <w:r>
              <w:rPr>
                <w:rFonts w:ascii="Times New Roman" w:hAnsi="Times New Roman"/>
                <w:b/>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4793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1,093.73</w:t>
            </w:r>
            <w:r>
              <w:rPr>
                <w:rFonts w:ascii="Times New Roman" w:hAnsi="Times New Roman"/>
                <w:b/>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8C21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19.89</w:t>
            </w:r>
            <w:r>
              <w:rPr>
                <w:rFonts w:ascii="Times New Roman" w:hAnsi="Times New Roman"/>
                <w:b/>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E035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66AE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25BB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A644263">
        <w:tblPrEx>
          <w:tblCellMar>
            <w:top w:w="0" w:type="dxa"/>
            <w:left w:w="0" w:type="dxa"/>
            <w:bottom w:w="0" w:type="dxa"/>
            <w:right w:w="0" w:type="dxa"/>
          </w:tblCellMar>
        </w:tblPrEx>
        <w:trPr>
          <w:trHeight w:val="38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A3CEC">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21003</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6DD796">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基层医疗卫生机构</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12D1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1,026.84</w:t>
            </w:r>
            <w:r>
              <w:rPr>
                <w:rFonts w:ascii="Times New Roman" w:hAnsi="Times New Roman"/>
                <w:b/>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737A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1,007.48</w:t>
            </w:r>
            <w:r>
              <w:rPr>
                <w:rFonts w:ascii="Times New Roman" w:hAnsi="Times New Roman"/>
                <w:b/>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C286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19.36</w:t>
            </w:r>
            <w:r>
              <w:rPr>
                <w:rFonts w:ascii="Times New Roman" w:hAnsi="Times New Roman"/>
                <w:b/>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4391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7A72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77CF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585BB72">
        <w:tblPrEx>
          <w:tblCellMar>
            <w:top w:w="0" w:type="dxa"/>
            <w:left w:w="0" w:type="dxa"/>
            <w:bottom w:w="0" w:type="dxa"/>
            <w:right w:w="0" w:type="dxa"/>
          </w:tblCellMar>
        </w:tblPrEx>
        <w:trPr>
          <w:trHeight w:val="32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44CD7">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2100301</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4AEB0D">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城市社区卫生机构</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9656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1,017.32</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0AD6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1,007.48</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8E22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9.84</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F758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96DD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2109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0015BB1">
        <w:tblPrEx>
          <w:tblCellMar>
            <w:top w:w="0" w:type="dxa"/>
            <w:left w:w="0" w:type="dxa"/>
            <w:bottom w:w="0" w:type="dxa"/>
            <w:right w:w="0" w:type="dxa"/>
          </w:tblCellMar>
        </w:tblPrEx>
        <w:trPr>
          <w:trHeight w:val="38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AB9F9">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2100399</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4A5050">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其他基层医疗卫生机构支出</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BA28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9.52</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CC03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C940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9.52</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CB86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57EA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D286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21F3F2F">
        <w:tblPrEx>
          <w:tblCellMar>
            <w:top w:w="0" w:type="dxa"/>
            <w:left w:w="0" w:type="dxa"/>
            <w:bottom w:w="0" w:type="dxa"/>
            <w:right w:w="0" w:type="dxa"/>
          </w:tblCellMar>
        </w:tblPrEx>
        <w:trPr>
          <w:trHeight w:val="32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AA3F2">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21004</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598C1A">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公共卫生</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2897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71.52</w:t>
            </w:r>
            <w:r>
              <w:rPr>
                <w:rFonts w:ascii="Times New Roman" w:hAnsi="Times New Roman"/>
                <w:b/>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4CB21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70.99</w:t>
            </w:r>
            <w:r>
              <w:rPr>
                <w:rFonts w:ascii="Times New Roman" w:hAnsi="Times New Roman"/>
                <w:b/>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6413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0.53</w:t>
            </w:r>
            <w:r>
              <w:rPr>
                <w:rFonts w:ascii="Times New Roman" w:hAnsi="Times New Roman"/>
                <w:b/>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1D43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0CC6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DFB3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756011C">
        <w:tblPrEx>
          <w:tblCellMar>
            <w:top w:w="0" w:type="dxa"/>
            <w:left w:w="0" w:type="dxa"/>
            <w:bottom w:w="0" w:type="dxa"/>
            <w:right w:w="0" w:type="dxa"/>
          </w:tblCellMar>
        </w:tblPrEx>
        <w:trPr>
          <w:trHeight w:val="307"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A0F17">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2100408</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EE9FF0">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基本公共卫生服务</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E9DC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70.99</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FFFD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70.99</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A880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FF3C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9797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AB1E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2D3F885">
        <w:tblPrEx>
          <w:tblCellMar>
            <w:top w:w="0" w:type="dxa"/>
            <w:left w:w="0" w:type="dxa"/>
            <w:bottom w:w="0" w:type="dxa"/>
            <w:right w:w="0" w:type="dxa"/>
          </w:tblCellMar>
        </w:tblPrEx>
        <w:trPr>
          <w:trHeight w:val="38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E594D">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2100410</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6ABF18">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突发公共卫生事件应急处置</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B1CF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519C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5A32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D0B8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4262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E985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F99AEF6">
        <w:tblPrEx>
          <w:tblCellMar>
            <w:top w:w="0" w:type="dxa"/>
            <w:left w:w="0" w:type="dxa"/>
            <w:bottom w:w="0" w:type="dxa"/>
            <w:right w:w="0" w:type="dxa"/>
          </w:tblCellMar>
        </w:tblPrEx>
        <w:trPr>
          <w:trHeight w:val="337"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6BAEB">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21011</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4FD274">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行政事业单位医疗</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5D4E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15.27</w:t>
            </w:r>
            <w:r>
              <w:rPr>
                <w:rFonts w:ascii="Times New Roman" w:hAnsi="Times New Roman"/>
                <w:b/>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E52F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15.27</w:t>
            </w:r>
            <w:r>
              <w:rPr>
                <w:rFonts w:ascii="Times New Roman" w:hAnsi="Times New Roman"/>
                <w:b/>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A9C8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E10D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98B2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F30E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60EA6DB">
        <w:tblPrEx>
          <w:tblCellMar>
            <w:top w:w="0" w:type="dxa"/>
            <w:left w:w="0" w:type="dxa"/>
            <w:bottom w:w="0" w:type="dxa"/>
            <w:right w:w="0" w:type="dxa"/>
          </w:tblCellMar>
        </w:tblPrEx>
        <w:trPr>
          <w:trHeight w:val="277"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5DD21">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2101102</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A7C42A">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事业单位医疗</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A2AF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11.67</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970C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11.67</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D1E4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BF94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D67D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DEA3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949EC85">
        <w:tblPrEx>
          <w:tblCellMar>
            <w:top w:w="0" w:type="dxa"/>
            <w:left w:w="0" w:type="dxa"/>
            <w:bottom w:w="0" w:type="dxa"/>
            <w:right w:w="0" w:type="dxa"/>
          </w:tblCellMar>
        </w:tblPrEx>
        <w:trPr>
          <w:trHeight w:val="38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5CBF8">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2101199</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0FB7F4">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其他行政事业单位医疗支出</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C71B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3.60</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5796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3.60</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9E3F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2FC9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2AF7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5232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1A8AFDC">
        <w:tblPrEx>
          <w:tblCellMar>
            <w:top w:w="0" w:type="dxa"/>
            <w:left w:w="0" w:type="dxa"/>
            <w:bottom w:w="0" w:type="dxa"/>
            <w:right w:w="0" w:type="dxa"/>
          </w:tblCellMar>
        </w:tblPrEx>
        <w:trPr>
          <w:trHeight w:val="32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11BAC">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221</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9B93CF">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住房保障支出</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C7CE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36D8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036C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D8FB0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521F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8BAB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FC86BCB">
        <w:tblPrEx>
          <w:tblCellMar>
            <w:top w:w="0" w:type="dxa"/>
            <w:left w:w="0" w:type="dxa"/>
            <w:bottom w:w="0" w:type="dxa"/>
            <w:right w:w="0" w:type="dxa"/>
          </w:tblCellMar>
        </w:tblPrEx>
        <w:trPr>
          <w:trHeight w:val="32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830B5">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22102</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491125">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住房改革支出</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61AB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113F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A833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C1CC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E3EC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A53E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47574F6">
        <w:tblPrEx>
          <w:tblCellMar>
            <w:top w:w="0" w:type="dxa"/>
            <w:left w:w="0" w:type="dxa"/>
            <w:bottom w:w="0" w:type="dxa"/>
            <w:right w:w="0" w:type="dxa"/>
          </w:tblCellMar>
        </w:tblPrEx>
        <w:trPr>
          <w:trHeight w:val="317"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A64D9">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2210201</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25BDAA">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住房公积金</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1D43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14.01</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8C59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14.01</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FA96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34A2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943F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618F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2CE9F166">
      <w:pPr>
        <w:keepNext w:val="0"/>
        <w:keepLines w:val="0"/>
        <w:pageBreakBefore w:val="0"/>
        <w:widowControl/>
        <w:kinsoku/>
        <w:overflowPunct/>
        <w:topLinePunct w:val="0"/>
        <w:autoSpaceDE/>
        <w:autoSpaceDN/>
        <w:bidi w:val="0"/>
        <w:adjustRightInd w:val="0"/>
        <w:snapToGrid w:val="0"/>
        <w:rPr>
          <w:rFonts w:hint="default" w:cs="宋体"/>
          <w:sz w:val="20"/>
          <w:szCs w:val="20"/>
        </w:rPr>
      </w:pP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p>
    <w:p w14:paraId="6E8AD390">
      <w:pPr>
        <w:rPr>
          <w:rFonts w:hint="default" w:cs="宋体"/>
          <w:sz w:val="21"/>
          <w:szCs w:val="21"/>
        </w:rPr>
      </w:pPr>
      <w:r>
        <w:rPr>
          <w:rFonts w:cs="宋体"/>
          <w:sz w:val="21"/>
          <w:szCs w:val="21"/>
        </w:rPr>
        <w:br w:type="page"/>
      </w:r>
    </w:p>
    <w:p w14:paraId="613B6989">
      <w:pPr>
        <w:rPr>
          <w:rFonts w:hint="default" w:cs="宋体"/>
          <w:sz w:val="21"/>
          <w:szCs w:val="21"/>
        </w:rPr>
      </w:pPr>
    </w:p>
    <w:tbl>
      <w:tblPr>
        <w:tblStyle w:val="13"/>
        <w:tblW w:w="14678" w:type="dxa"/>
        <w:tblInd w:w="0" w:type="dxa"/>
        <w:tblLayout w:type="fixed"/>
        <w:tblCellMar>
          <w:top w:w="0" w:type="dxa"/>
          <w:left w:w="0" w:type="dxa"/>
          <w:bottom w:w="0" w:type="dxa"/>
          <w:right w:w="0" w:type="dxa"/>
        </w:tblCellMar>
      </w:tblPr>
      <w:tblGrid>
        <w:gridCol w:w="2967"/>
        <w:gridCol w:w="1521"/>
        <w:gridCol w:w="3179"/>
        <w:gridCol w:w="1694"/>
        <w:gridCol w:w="1694"/>
        <w:gridCol w:w="1694"/>
        <w:gridCol w:w="1929"/>
      </w:tblGrid>
      <w:tr w14:paraId="200B7548">
        <w:tblPrEx>
          <w:tblCellMar>
            <w:top w:w="0" w:type="dxa"/>
            <w:left w:w="0" w:type="dxa"/>
            <w:bottom w:w="0" w:type="dxa"/>
            <w:right w:w="0" w:type="dxa"/>
          </w:tblCellMar>
        </w:tblPrEx>
        <w:trPr>
          <w:trHeight w:val="90" w:hRule="atLeast"/>
        </w:trPr>
        <w:tc>
          <w:tcPr>
            <w:tcW w:w="14678" w:type="dxa"/>
            <w:gridSpan w:val="7"/>
            <w:tcBorders>
              <w:top w:val="nil"/>
              <w:left w:val="nil"/>
              <w:bottom w:val="nil"/>
              <w:right w:val="nil"/>
            </w:tcBorders>
            <w:shd w:val="clear" w:color="auto" w:fill="auto"/>
            <w:tcMar>
              <w:top w:w="15" w:type="dxa"/>
              <w:left w:w="15" w:type="dxa"/>
              <w:right w:w="15" w:type="dxa"/>
            </w:tcMar>
            <w:vAlign w:val="bottom"/>
          </w:tcPr>
          <w:p w14:paraId="31E2DE4F">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14:paraId="007180F7">
        <w:tblPrEx>
          <w:tblCellMar>
            <w:top w:w="0" w:type="dxa"/>
            <w:left w:w="0" w:type="dxa"/>
            <w:bottom w:w="0" w:type="dxa"/>
            <w:right w:w="0" w:type="dxa"/>
          </w:tblCellMar>
        </w:tblPrEx>
        <w:trPr>
          <w:trHeight w:val="90" w:hRule="atLeast"/>
        </w:trPr>
        <w:tc>
          <w:tcPr>
            <w:tcW w:w="7667" w:type="dxa"/>
            <w:gridSpan w:val="3"/>
            <w:vMerge w:val="restart"/>
            <w:tcBorders>
              <w:top w:val="nil"/>
              <w:left w:val="nil"/>
              <w:right w:val="nil"/>
            </w:tcBorders>
            <w:shd w:val="clear" w:color="auto" w:fill="auto"/>
            <w:tcMar>
              <w:top w:w="15" w:type="dxa"/>
              <w:left w:w="15" w:type="dxa"/>
              <w:right w:w="15" w:type="dxa"/>
            </w:tcMar>
            <w:vAlign w:val="bottom"/>
          </w:tcPr>
          <w:p w14:paraId="432700EF">
            <w:pPr>
              <w:keepNext w:val="0"/>
              <w:keepLines w:val="0"/>
              <w:pageBreakBefore w:val="0"/>
              <w:widowControl/>
              <w:kinsoku/>
              <w:wordWrap/>
              <w:overflowPunct/>
              <w:topLinePunct w:val="0"/>
              <w:autoSpaceDE/>
              <w:autoSpaceDN/>
              <w:bidi w:val="0"/>
              <w:adjustRightInd/>
              <w:snapToGrid/>
              <w:spacing w:line="280" w:lineRule="exact"/>
              <w:textAlignment w:val="auto"/>
              <w:rPr>
                <w:rFonts w:hint="default" w:cs="宋体"/>
                <w:color w:val="000000"/>
                <w:sz w:val="18"/>
                <w:szCs w:val="18"/>
              </w:rPr>
            </w:pPr>
            <w:r>
              <w:rPr>
                <w:rFonts w:cs="宋体"/>
                <w:sz w:val="20"/>
                <w:szCs w:val="20"/>
              </w:rPr>
              <w:t>单位</w:t>
            </w:r>
            <w:r>
              <w:rPr>
                <w:rFonts w:cs="宋体"/>
                <w:color w:val="000000"/>
                <w:sz w:val="20"/>
                <w:szCs w:val="20"/>
              </w:rPr>
              <w:t>：</w:t>
            </w:r>
            <w:r>
              <w:rPr>
                <w:color w:val="000000"/>
                <w:sz w:val="20"/>
                <w:u w:color="auto"/>
              </w:rPr>
              <w:t>秀山土家族苗族自治县乌杨街道社区卫生服务中心</w:t>
            </w:r>
          </w:p>
        </w:tc>
        <w:tc>
          <w:tcPr>
            <w:tcW w:w="1694" w:type="dxa"/>
            <w:tcBorders>
              <w:top w:val="nil"/>
              <w:left w:val="nil"/>
              <w:bottom w:val="nil"/>
              <w:right w:val="nil"/>
            </w:tcBorders>
            <w:shd w:val="clear" w:color="auto" w:fill="auto"/>
            <w:tcMar>
              <w:top w:w="15" w:type="dxa"/>
              <w:left w:w="15" w:type="dxa"/>
              <w:right w:w="15" w:type="dxa"/>
            </w:tcMar>
            <w:vAlign w:val="bottom"/>
          </w:tcPr>
          <w:p w14:paraId="06BDA477">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38D36F5A">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53F8FC09">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33561FBC">
            <w:pPr>
              <w:keepNext w:val="0"/>
              <w:keepLines w:val="0"/>
              <w:pageBreakBefore w:val="0"/>
              <w:widowControl/>
              <w:kinsoku/>
              <w:wordWrap/>
              <w:overflowPunct/>
              <w:topLinePunct w:val="0"/>
              <w:autoSpaceDE/>
              <w:autoSpaceDN/>
              <w:bidi w:val="0"/>
              <w:adjustRightInd/>
              <w:snapToGrid/>
              <w:spacing w:line="26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04</w:t>
            </w:r>
            <w:r>
              <w:rPr>
                <w:rFonts w:cs="宋体"/>
                <w:color w:val="000000"/>
                <w:sz w:val="20"/>
                <w:szCs w:val="20"/>
              </w:rPr>
              <w:t>表</w:t>
            </w:r>
          </w:p>
        </w:tc>
      </w:tr>
      <w:tr w14:paraId="004479B4">
        <w:tblPrEx>
          <w:tblCellMar>
            <w:top w:w="0" w:type="dxa"/>
            <w:left w:w="0" w:type="dxa"/>
            <w:bottom w:w="0" w:type="dxa"/>
            <w:right w:w="0" w:type="dxa"/>
          </w:tblCellMar>
        </w:tblPrEx>
        <w:trPr>
          <w:trHeight w:val="90" w:hRule="atLeast"/>
        </w:trPr>
        <w:tc>
          <w:tcPr>
            <w:tcW w:w="7667" w:type="dxa"/>
            <w:gridSpan w:val="3"/>
            <w:vMerge w:val="continue"/>
            <w:tcBorders>
              <w:left w:val="nil"/>
              <w:bottom w:val="nil"/>
              <w:right w:val="nil"/>
            </w:tcBorders>
            <w:shd w:val="clear" w:color="auto" w:fill="auto"/>
            <w:tcMar>
              <w:top w:w="15" w:type="dxa"/>
              <w:left w:w="15" w:type="dxa"/>
              <w:right w:w="15" w:type="dxa"/>
            </w:tcMar>
            <w:vAlign w:val="bottom"/>
          </w:tcPr>
          <w:p w14:paraId="0E556095">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4A86A4C0">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0033C461">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1CF0F308">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4006865F">
            <w:pPr>
              <w:keepNext w:val="0"/>
              <w:keepLines w:val="0"/>
              <w:pageBreakBefore w:val="0"/>
              <w:widowControl/>
              <w:kinsoku/>
              <w:wordWrap/>
              <w:overflowPunct/>
              <w:topLinePunct w:val="0"/>
              <w:autoSpaceDE/>
              <w:autoSpaceDN/>
              <w:bidi w:val="0"/>
              <w:adjustRightInd/>
              <w:snapToGrid/>
              <w:spacing w:line="26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374E3CBE">
        <w:tblPrEx>
          <w:tblCellMar>
            <w:top w:w="0" w:type="dxa"/>
            <w:left w:w="0" w:type="dxa"/>
            <w:bottom w:w="0" w:type="dxa"/>
            <w:right w:w="0" w:type="dxa"/>
          </w:tblCellMar>
        </w:tblPrEx>
        <w:trPr>
          <w:trHeight w:val="90" w:hRule="atLeast"/>
        </w:trPr>
        <w:tc>
          <w:tcPr>
            <w:tcW w:w="44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BD1DA">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19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7E747">
            <w:pPr>
              <w:spacing w:line="200" w:lineRule="exact"/>
              <w:jc w:val="center"/>
              <w:textAlignment w:val="center"/>
              <w:rPr>
                <w:rFonts w:hint="default" w:cs="宋体"/>
                <w:b/>
                <w:color w:val="000000"/>
                <w:sz w:val="18"/>
                <w:szCs w:val="18"/>
              </w:rPr>
            </w:pPr>
            <w:r>
              <w:rPr>
                <w:rFonts w:cs="宋体"/>
                <w:b/>
                <w:color w:val="000000"/>
                <w:sz w:val="18"/>
                <w:szCs w:val="18"/>
              </w:rPr>
              <w:t>支     出</w:t>
            </w:r>
          </w:p>
        </w:tc>
      </w:tr>
      <w:tr w14:paraId="5F4FE28B">
        <w:tblPrEx>
          <w:tblCellMar>
            <w:top w:w="0" w:type="dxa"/>
            <w:left w:w="0" w:type="dxa"/>
            <w:bottom w:w="0" w:type="dxa"/>
            <w:right w:w="0" w:type="dxa"/>
          </w:tblCellMar>
        </w:tblPrEx>
        <w:trPr>
          <w:trHeight w:val="90" w:hRule="atLeast"/>
        </w:trPr>
        <w:tc>
          <w:tcPr>
            <w:tcW w:w="29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8FD84">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411D2">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79"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4A0194">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11" w:type="dxa"/>
            <w:gridSpan w:val="4"/>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78AB7A">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14:paraId="5AE14353">
        <w:tblPrEx>
          <w:tblCellMar>
            <w:top w:w="0" w:type="dxa"/>
            <w:left w:w="0" w:type="dxa"/>
            <w:bottom w:w="0" w:type="dxa"/>
            <w:right w:w="0" w:type="dxa"/>
          </w:tblCellMar>
        </w:tblPrEx>
        <w:trPr>
          <w:trHeight w:val="90" w:hRule="atLeast"/>
        </w:trPr>
        <w:tc>
          <w:tcPr>
            <w:tcW w:w="2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4F4D3">
            <w:pPr>
              <w:spacing w:line="200" w:lineRule="exact"/>
              <w:jc w:val="center"/>
              <w:rPr>
                <w:rFonts w:hint="default" w:cs="宋体"/>
                <w:b/>
                <w:color w:val="000000"/>
                <w:sz w:val="18"/>
                <w:szCs w:val="18"/>
              </w:rPr>
            </w:pPr>
          </w:p>
        </w:tc>
        <w:tc>
          <w:tcPr>
            <w:tcW w:w="15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9F4DC">
            <w:pPr>
              <w:spacing w:line="200" w:lineRule="exact"/>
              <w:jc w:val="center"/>
              <w:rPr>
                <w:rFonts w:hint="default" w:cs="宋体"/>
                <w:b/>
                <w:color w:val="000000"/>
                <w:sz w:val="18"/>
                <w:szCs w:val="18"/>
              </w:rPr>
            </w:pPr>
          </w:p>
        </w:tc>
        <w:tc>
          <w:tcPr>
            <w:tcW w:w="317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741565">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A4DE7">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8B03B">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686A0">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90FBA">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14:paraId="308C465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78750">
            <w:pPr>
              <w:spacing w:line="200" w:lineRule="exact"/>
              <w:textAlignment w:val="center"/>
              <w:rPr>
                <w:rFonts w:hint="default" w:cs="宋体"/>
                <w:b/>
                <w:bCs/>
                <w:color w:val="000000"/>
                <w:sz w:val="18"/>
                <w:szCs w:val="18"/>
              </w:rPr>
            </w:pPr>
            <w:r>
              <w:rPr>
                <w:rFonts w:cs="宋体"/>
                <w:b/>
                <w:bCs/>
                <w:color w:val="000000"/>
                <w:sz w:val="18"/>
                <w:szCs w:val="18"/>
              </w:rPr>
              <w:t>一、一般公共预算财政拨款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E8555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380.59</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180A0">
            <w:pPr>
              <w:spacing w:line="200" w:lineRule="exact"/>
              <w:textAlignment w:val="center"/>
              <w:rPr>
                <w:rFonts w:hint="default" w:cs="宋体"/>
                <w:b/>
                <w:bCs/>
                <w:color w:val="000000"/>
                <w:sz w:val="18"/>
                <w:szCs w:val="18"/>
              </w:rPr>
            </w:pPr>
            <w:r>
              <w:rPr>
                <w:rFonts w:cs="宋体"/>
                <w:b/>
                <w:bCs/>
                <w:color w:val="000000"/>
                <w:sz w:val="18"/>
                <w:szCs w:val="18"/>
              </w:rPr>
              <w:t>一、一般公共服务支出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2CB2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B043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30BD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3869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C0ACC4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ABF6C">
            <w:pPr>
              <w:spacing w:line="200" w:lineRule="exact"/>
              <w:textAlignment w:val="center"/>
              <w:rPr>
                <w:rFonts w:hint="default" w:cs="宋体"/>
                <w:b/>
                <w:bCs/>
                <w:color w:val="000000"/>
                <w:sz w:val="18"/>
                <w:szCs w:val="18"/>
              </w:rPr>
            </w:pPr>
            <w:r>
              <w:rPr>
                <w:rFonts w:cs="宋体"/>
                <w:b/>
                <w:bCs/>
                <w:color w:val="000000"/>
                <w:sz w:val="18"/>
                <w:szCs w:val="18"/>
              </w:rPr>
              <w:t>二、政府性基金预算财政拨款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693F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776DD">
            <w:pPr>
              <w:spacing w:line="200" w:lineRule="exact"/>
              <w:textAlignment w:val="center"/>
              <w:rPr>
                <w:rFonts w:hint="default" w:cs="宋体"/>
                <w:b/>
                <w:bCs/>
                <w:color w:val="000000"/>
                <w:sz w:val="18"/>
                <w:szCs w:val="18"/>
              </w:rPr>
            </w:pPr>
            <w:r>
              <w:rPr>
                <w:rFonts w:cs="宋体"/>
                <w:b/>
                <w:bCs/>
                <w:color w:val="000000"/>
                <w:sz w:val="18"/>
                <w:szCs w:val="18"/>
              </w:rPr>
              <w:t>二、外交支出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5F52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7CAB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805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18AD6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AED652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D7F37">
            <w:pPr>
              <w:spacing w:line="200" w:lineRule="exact"/>
              <w:textAlignment w:val="center"/>
              <w:rPr>
                <w:rFonts w:hint="default" w:cs="宋体"/>
                <w:b/>
                <w:bCs/>
                <w:color w:val="000000"/>
                <w:sz w:val="18"/>
                <w:szCs w:val="18"/>
              </w:rPr>
            </w:pPr>
            <w:r>
              <w:rPr>
                <w:rFonts w:cs="宋体"/>
                <w:b/>
                <w:bCs/>
                <w:color w:val="000000"/>
                <w:sz w:val="18"/>
                <w:szCs w:val="18"/>
              </w:rPr>
              <w:t>三、国有资本经营预算财政拨款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A700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234CD">
            <w:pPr>
              <w:spacing w:line="200" w:lineRule="exact"/>
              <w:textAlignment w:val="center"/>
              <w:rPr>
                <w:rFonts w:hint="default" w:cs="宋体"/>
                <w:b/>
                <w:bCs/>
                <w:color w:val="000000"/>
                <w:sz w:val="18"/>
                <w:szCs w:val="18"/>
              </w:rPr>
            </w:pPr>
            <w:r>
              <w:rPr>
                <w:rFonts w:cs="宋体"/>
                <w:b/>
                <w:bCs/>
                <w:color w:val="000000"/>
                <w:sz w:val="18"/>
                <w:szCs w:val="18"/>
              </w:rPr>
              <w:t>三、国防支出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42E0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CA6D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777D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8050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F4E7B1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EC639">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DDBE90E">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7F43D">
            <w:pPr>
              <w:spacing w:line="200" w:lineRule="exact"/>
              <w:textAlignment w:val="center"/>
              <w:rPr>
                <w:rFonts w:hint="default" w:cs="宋体"/>
                <w:b/>
                <w:bCs/>
                <w:color w:val="000000"/>
                <w:sz w:val="18"/>
                <w:szCs w:val="18"/>
              </w:rPr>
            </w:pPr>
            <w:r>
              <w:rPr>
                <w:rFonts w:cs="宋体"/>
                <w:b/>
                <w:bCs/>
                <w:color w:val="000000"/>
                <w:sz w:val="18"/>
                <w:szCs w:val="18"/>
              </w:rPr>
              <w:t>四、公共安全支出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CC35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27C4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441D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D34E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DF85B7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C1D0E">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33CCC79">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6A0E8">
            <w:pPr>
              <w:spacing w:line="200" w:lineRule="exact"/>
              <w:textAlignment w:val="center"/>
              <w:rPr>
                <w:rFonts w:hint="default" w:cs="宋体"/>
                <w:b/>
                <w:bCs/>
                <w:color w:val="000000"/>
                <w:sz w:val="18"/>
                <w:szCs w:val="18"/>
              </w:rPr>
            </w:pPr>
            <w:r>
              <w:rPr>
                <w:rFonts w:cs="宋体"/>
                <w:b/>
                <w:bCs/>
                <w:color w:val="000000"/>
                <w:sz w:val="18"/>
                <w:szCs w:val="18"/>
              </w:rPr>
              <w:t>五、教育支出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492E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D33D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481C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76EC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D13578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6373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A17CC86">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80B63">
            <w:pPr>
              <w:spacing w:line="200" w:lineRule="exact"/>
              <w:textAlignment w:val="center"/>
              <w:rPr>
                <w:rFonts w:hint="default" w:cs="宋体"/>
                <w:b/>
                <w:bCs/>
                <w:color w:val="000000"/>
                <w:sz w:val="18"/>
                <w:szCs w:val="18"/>
              </w:rPr>
            </w:pPr>
            <w:r>
              <w:rPr>
                <w:rFonts w:cs="宋体"/>
                <w:b/>
                <w:bCs/>
                <w:color w:val="000000"/>
                <w:sz w:val="18"/>
                <w:szCs w:val="18"/>
              </w:rPr>
              <w:t>六、科学技术支出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8048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15AE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F068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DD40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53E32BA">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B75EF">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C0BF62F">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DEBE1">
            <w:pPr>
              <w:spacing w:line="200" w:lineRule="exact"/>
              <w:textAlignment w:val="center"/>
              <w:rPr>
                <w:rFonts w:hint="default" w:cs="宋体"/>
                <w:b/>
                <w:bCs/>
                <w:color w:val="000000"/>
                <w:sz w:val="18"/>
                <w:szCs w:val="18"/>
              </w:rPr>
            </w:pPr>
            <w:r>
              <w:rPr>
                <w:rFonts w:cs="宋体"/>
                <w:b/>
                <w:bCs/>
                <w:color w:val="000000"/>
                <w:sz w:val="18"/>
                <w:szCs w:val="18"/>
              </w:rPr>
              <w:t>七、文化旅游体育与传媒支出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368B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7A77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B4394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6731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304F88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4FA5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F63701D">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B0887">
            <w:pPr>
              <w:spacing w:line="200" w:lineRule="exact"/>
              <w:textAlignment w:val="center"/>
              <w:rPr>
                <w:rFonts w:hint="default" w:cs="宋体"/>
                <w:b/>
                <w:bCs/>
                <w:color w:val="000000"/>
                <w:sz w:val="18"/>
                <w:szCs w:val="18"/>
              </w:rPr>
            </w:pPr>
            <w:r>
              <w:rPr>
                <w:rFonts w:cs="宋体"/>
                <w:b/>
                <w:bCs/>
                <w:color w:val="000000"/>
                <w:sz w:val="18"/>
                <w:szCs w:val="18"/>
              </w:rPr>
              <w:t>八、社会保障和就业支出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2A3E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47.64</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3597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47.64</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87EF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82BA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35ECCD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669D7">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7E0AC02">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4B4ED">
            <w:pPr>
              <w:spacing w:line="200" w:lineRule="exact"/>
              <w:textAlignment w:val="center"/>
              <w:rPr>
                <w:rFonts w:hint="default" w:cs="宋体"/>
                <w:b/>
                <w:bCs/>
                <w:color w:val="000000"/>
                <w:sz w:val="18"/>
                <w:szCs w:val="18"/>
              </w:rPr>
            </w:pPr>
            <w:r>
              <w:rPr>
                <w:rFonts w:cs="宋体"/>
                <w:b/>
                <w:bCs/>
                <w:color w:val="000000"/>
                <w:sz w:val="18"/>
                <w:szCs w:val="18"/>
              </w:rPr>
              <w:t>九、卫生健康支出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E36B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340.60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24308">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340.60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289F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5B67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40F740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733A6">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801C5">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893BA1">
            <w:pPr>
              <w:spacing w:line="200" w:lineRule="exact"/>
              <w:textAlignment w:val="center"/>
              <w:rPr>
                <w:rFonts w:hint="default" w:cs="宋体"/>
                <w:b/>
                <w:bCs/>
                <w:color w:val="000000"/>
                <w:sz w:val="18"/>
                <w:szCs w:val="18"/>
              </w:rPr>
            </w:pPr>
            <w:r>
              <w:rPr>
                <w:rFonts w:cs="宋体"/>
                <w:b/>
                <w:bCs/>
                <w:color w:val="000000"/>
                <w:sz w:val="18"/>
                <w:szCs w:val="18"/>
              </w:rPr>
              <w:t>十、节能环保支出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D582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5317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4AE1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5BA1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051237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3412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A3A1F">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5F09D">
            <w:pPr>
              <w:spacing w:line="200" w:lineRule="exact"/>
              <w:textAlignment w:val="center"/>
              <w:rPr>
                <w:rFonts w:hint="default" w:cs="宋体"/>
                <w:b/>
                <w:bCs/>
                <w:color w:val="000000"/>
                <w:sz w:val="18"/>
                <w:szCs w:val="18"/>
              </w:rPr>
            </w:pPr>
            <w:r>
              <w:rPr>
                <w:rFonts w:cs="宋体"/>
                <w:b/>
                <w:bCs/>
                <w:color w:val="000000"/>
                <w:sz w:val="18"/>
                <w:szCs w:val="18"/>
              </w:rPr>
              <w:t>十一、城乡社区支出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4454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B035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278C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1800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A5FA73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2BA2E">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8EA68">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9C653">
            <w:pPr>
              <w:spacing w:line="200" w:lineRule="exact"/>
              <w:textAlignment w:val="center"/>
              <w:rPr>
                <w:rFonts w:hint="default" w:cs="宋体"/>
                <w:b/>
                <w:bCs/>
                <w:color w:val="000000"/>
                <w:sz w:val="18"/>
                <w:szCs w:val="18"/>
              </w:rPr>
            </w:pPr>
            <w:r>
              <w:rPr>
                <w:rFonts w:cs="宋体"/>
                <w:b/>
                <w:bCs/>
                <w:color w:val="000000"/>
                <w:sz w:val="18"/>
                <w:szCs w:val="18"/>
              </w:rPr>
              <w:t>十二、农林水支出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A374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5147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E8B4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E133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4D7C1E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E0F09">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A624B">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CAB67">
            <w:pPr>
              <w:spacing w:line="200" w:lineRule="exact"/>
              <w:textAlignment w:val="center"/>
              <w:rPr>
                <w:rFonts w:hint="default" w:cs="宋体"/>
                <w:b/>
                <w:bCs/>
                <w:color w:val="000000"/>
                <w:sz w:val="18"/>
                <w:szCs w:val="18"/>
              </w:rPr>
            </w:pPr>
            <w:r>
              <w:rPr>
                <w:rFonts w:cs="宋体"/>
                <w:b/>
                <w:bCs/>
                <w:color w:val="000000"/>
                <w:sz w:val="18"/>
                <w:szCs w:val="18"/>
              </w:rPr>
              <w:t>十三、交通运输支出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DD9E4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02C6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6A14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5B99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5610A48">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1D3F0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93A8A">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D2753">
            <w:pPr>
              <w:spacing w:line="200" w:lineRule="exact"/>
              <w:textAlignment w:val="center"/>
              <w:rPr>
                <w:rFonts w:hint="default" w:cs="宋体"/>
                <w:b/>
                <w:bCs/>
                <w:color w:val="000000"/>
                <w:sz w:val="18"/>
                <w:szCs w:val="18"/>
              </w:rPr>
            </w:pPr>
            <w:r>
              <w:rPr>
                <w:rFonts w:cs="宋体"/>
                <w:b/>
                <w:bCs/>
                <w:color w:val="000000"/>
                <w:sz w:val="18"/>
                <w:szCs w:val="18"/>
              </w:rPr>
              <w:t>十四、资源勘探工业信息等支出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4DB2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F3E4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F7F5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EAB4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1D3331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1E5B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3DE8F4">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73622">
            <w:pPr>
              <w:spacing w:line="200" w:lineRule="exact"/>
              <w:textAlignment w:val="center"/>
              <w:rPr>
                <w:rFonts w:hint="default" w:cs="宋体"/>
                <w:b/>
                <w:bCs/>
                <w:color w:val="000000"/>
                <w:sz w:val="18"/>
                <w:szCs w:val="18"/>
              </w:rPr>
            </w:pPr>
            <w:r>
              <w:rPr>
                <w:rFonts w:cs="宋体"/>
                <w:b/>
                <w:bCs/>
                <w:color w:val="000000"/>
                <w:sz w:val="18"/>
                <w:szCs w:val="18"/>
              </w:rPr>
              <w:t>十五、商业服务业等支出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A999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1B24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4D72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BCC3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110383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07EED">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F1215">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35868">
            <w:pPr>
              <w:spacing w:line="200" w:lineRule="exact"/>
              <w:textAlignment w:val="center"/>
              <w:rPr>
                <w:rFonts w:hint="default" w:cs="宋体"/>
                <w:b/>
                <w:bCs/>
                <w:color w:val="000000"/>
                <w:sz w:val="18"/>
                <w:szCs w:val="18"/>
              </w:rPr>
            </w:pPr>
            <w:r>
              <w:rPr>
                <w:rFonts w:cs="宋体"/>
                <w:b/>
                <w:bCs/>
                <w:color w:val="000000"/>
                <w:sz w:val="18"/>
                <w:szCs w:val="18"/>
              </w:rPr>
              <w:t>十六、金融支出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0F12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5F6E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A8E9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D646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71173E8">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F77C6">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F48E2">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6857B">
            <w:pPr>
              <w:spacing w:line="200" w:lineRule="exact"/>
              <w:textAlignment w:val="center"/>
              <w:rPr>
                <w:rFonts w:hint="default" w:cs="宋体"/>
                <w:b/>
                <w:bCs/>
                <w:color w:val="000000"/>
                <w:sz w:val="18"/>
                <w:szCs w:val="18"/>
              </w:rPr>
            </w:pPr>
            <w:r>
              <w:rPr>
                <w:rFonts w:cs="宋体"/>
                <w:b/>
                <w:bCs/>
                <w:color w:val="000000"/>
                <w:sz w:val="18"/>
                <w:szCs w:val="18"/>
              </w:rPr>
              <w:t>十七、援助其他地区支出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1DEC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A786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C61E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EDFA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410FE3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D703A">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6D2B7">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6627D">
            <w:pPr>
              <w:spacing w:line="200" w:lineRule="exact"/>
              <w:textAlignment w:val="center"/>
              <w:rPr>
                <w:rFonts w:hint="default" w:cs="宋体"/>
                <w:b/>
                <w:bCs/>
                <w:color w:val="000000"/>
                <w:sz w:val="18"/>
                <w:szCs w:val="18"/>
              </w:rPr>
            </w:pPr>
            <w:r>
              <w:rPr>
                <w:rFonts w:cs="宋体"/>
                <w:b/>
                <w:bCs/>
                <w:color w:val="000000"/>
                <w:sz w:val="18"/>
                <w:szCs w:val="18"/>
              </w:rPr>
              <w:t>十八、自然资源海洋气象等支出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9838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0D44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05DD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25E7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2560B3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CC1D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81DC6">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E13D4">
            <w:pPr>
              <w:spacing w:line="200" w:lineRule="exact"/>
              <w:textAlignment w:val="center"/>
              <w:rPr>
                <w:rFonts w:hint="default" w:cs="宋体"/>
                <w:b/>
                <w:bCs/>
                <w:color w:val="000000"/>
                <w:sz w:val="18"/>
                <w:szCs w:val="18"/>
              </w:rPr>
            </w:pPr>
            <w:r>
              <w:rPr>
                <w:rFonts w:cs="宋体"/>
                <w:b/>
                <w:bCs/>
                <w:color w:val="000000"/>
                <w:sz w:val="18"/>
                <w:szCs w:val="18"/>
              </w:rPr>
              <w:t>十九、住房保障支出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0CF0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14.01</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D541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14.01</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10CD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1ADD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D267BE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F4F5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F3603">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955AA">
            <w:pPr>
              <w:spacing w:line="200" w:lineRule="exact"/>
              <w:textAlignment w:val="center"/>
              <w:rPr>
                <w:rFonts w:hint="default" w:cs="宋体"/>
                <w:b/>
                <w:bCs/>
                <w:color w:val="000000"/>
                <w:sz w:val="18"/>
                <w:szCs w:val="18"/>
              </w:rPr>
            </w:pPr>
            <w:r>
              <w:rPr>
                <w:rFonts w:cs="宋体"/>
                <w:b/>
                <w:bCs/>
                <w:color w:val="000000"/>
                <w:sz w:val="18"/>
                <w:szCs w:val="18"/>
              </w:rPr>
              <w:t>二十、粮油物资储备支出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50FC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DEDE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3C70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66A2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AF276D2">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7DDA6">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DB8ED">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2E334">
            <w:pPr>
              <w:spacing w:line="200" w:lineRule="exact"/>
              <w:textAlignment w:val="center"/>
              <w:rPr>
                <w:rFonts w:hint="default" w:cs="宋体"/>
                <w:b/>
                <w:bCs/>
                <w:color w:val="000000"/>
                <w:sz w:val="18"/>
                <w:szCs w:val="18"/>
              </w:rPr>
            </w:pPr>
            <w:r>
              <w:rPr>
                <w:rFonts w:cs="宋体"/>
                <w:b/>
                <w:bCs/>
                <w:color w:val="000000"/>
                <w:sz w:val="18"/>
                <w:szCs w:val="18"/>
              </w:rPr>
              <w:t>二十一、国有资本经营预算支出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F87C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DCA3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57FC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6B5C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52A5B2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0AB87">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28F03">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B7B0E">
            <w:pPr>
              <w:spacing w:line="200" w:lineRule="exact"/>
              <w:textAlignment w:val="center"/>
              <w:rPr>
                <w:rFonts w:hint="default" w:cs="宋体"/>
                <w:b/>
                <w:bCs/>
                <w:color w:val="000000"/>
                <w:sz w:val="18"/>
                <w:szCs w:val="18"/>
              </w:rPr>
            </w:pPr>
            <w:r>
              <w:rPr>
                <w:rFonts w:cs="宋体"/>
                <w:b/>
                <w:bCs/>
                <w:color w:val="000000"/>
                <w:sz w:val="18"/>
                <w:szCs w:val="18"/>
              </w:rPr>
              <w:t>二十二、灾害防治及应急管理支出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3CA3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36EC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C7A7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A3AD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8E802B5">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3A0A7">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239B5">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BC9E8">
            <w:pPr>
              <w:spacing w:line="200" w:lineRule="exact"/>
              <w:textAlignment w:val="center"/>
              <w:rPr>
                <w:rFonts w:hint="default" w:cs="宋体"/>
                <w:b/>
                <w:bCs/>
                <w:color w:val="000000"/>
                <w:sz w:val="18"/>
                <w:szCs w:val="18"/>
              </w:rPr>
            </w:pPr>
            <w:r>
              <w:rPr>
                <w:rFonts w:cs="宋体"/>
                <w:b/>
                <w:bCs/>
                <w:color w:val="000000"/>
                <w:sz w:val="18"/>
                <w:szCs w:val="18"/>
              </w:rPr>
              <w:t>二十三、其他支出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732F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9890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A326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C6BA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7229358">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47DC970">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A2DE0">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B260F">
            <w:pPr>
              <w:spacing w:line="200" w:lineRule="exact"/>
              <w:textAlignment w:val="center"/>
              <w:rPr>
                <w:rFonts w:hint="default" w:cs="宋体"/>
                <w:b/>
                <w:bCs/>
                <w:color w:val="000000"/>
                <w:sz w:val="18"/>
                <w:szCs w:val="18"/>
              </w:rPr>
            </w:pPr>
            <w:r>
              <w:rPr>
                <w:rFonts w:cs="宋体"/>
                <w:b/>
                <w:bCs/>
                <w:color w:val="000000"/>
                <w:sz w:val="18"/>
                <w:szCs w:val="18"/>
              </w:rPr>
              <w:t>二十四、债务还本支出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51CB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51CB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A06F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FAAD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E4BF52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EF11ECA">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B4931">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90DE6">
            <w:pPr>
              <w:spacing w:line="200" w:lineRule="exact"/>
              <w:textAlignment w:val="center"/>
              <w:rPr>
                <w:rFonts w:hint="default" w:cs="宋体"/>
                <w:b/>
                <w:bCs/>
                <w:color w:val="000000"/>
                <w:sz w:val="18"/>
                <w:szCs w:val="18"/>
              </w:rPr>
            </w:pPr>
            <w:r>
              <w:rPr>
                <w:rFonts w:cs="宋体"/>
                <w:b/>
                <w:bCs/>
                <w:color w:val="000000"/>
                <w:sz w:val="18"/>
                <w:szCs w:val="18"/>
              </w:rPr>
              <w:t>二十五、债务付息支出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A265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B379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57AD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9256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FC4FE78">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19FBF04">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1725B6">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2A8FF">
            <w:pPr>
              <w:spacing w:line="200" w:lineRule="exact"/>
              <w:textAlignment w:val="center"/>
              <w:rPr>
                <w:rFonts w:hint="default" w:cs="宋体"/>
                <w:b/>
                <w:bCs/>
                <w:color w:val="000000"/>
                <w:sz w:val="18"/>
                <w:szCs w:val="18"/>
              </w:rPr>
            </w:pPr>
            <w:r>
              <w:rPr>
                <w:rFonts w:cs="宋体"/>
                <w:b/>
                <w:bCs/>
                <w:color w:val="000000"/>
                <w:sz w:val="18"/>
                <w:szCs w:val="18"/>
              </w:rPr>
              <w:t>二十六、抗疫特别国债安排的支出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5510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2DBD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C6DA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CE56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2F8C85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9A988">
            <w:pPr>
              <w:spacing w:line="200" w:lineRule="exact"/>
              <w:jc w:val="center"/>
              <w:textAlignment w:val="center"/>
              <w:rPr>
                <w:rFonts w:hint="default" w:cs="宋体"/>
                <w:b/>
                <w:bCs/>
                <w:color w:val="000000"/>
                <w:sz w:val="18"/>
                <w:szCs w:val="18"/>
              </w:rPr>
            </w:pPr>
            <w:r>
              <w:rPr>
                <w:rFonts w:cs="宋体"/>
                <w:b/>
                <w:bCs/>
                <w:color w:val="000000"/>
                <w:sz w:val="18"/>
                <w:szCs w:val="18"/>
              </w:rPr>
              <w:t>本年收入合计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08A3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380.59</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81CF9">
            <w:pPr>
              <w:spacing w:line="200" w:lineRule="exact"/>
              <w:jc w:val="center"/>
              <w:textAlignment w:val="center"/>
              <w:rPr>
                <w:rFonts w:hint="default" w:cs="宋体"/>
                <w:b/>
                <w:bCs/>
                <w:color w:val="000000"/>
                <w:sz w:val="18"/>
                <w:szCs w:val="18"/>
              </w:rPr>
            </w:pPr>
            <w:r>
              <w:rPr>
                <w:rFonts w:cs="宋体"/>
                <w:b/>
                <w:bCs/>
                <w:color w:val="000000"/>
                <w:sz w:val="18"/>
                <w:szCs w:val="18"/>
              </w:rPr>
              <w:t>本年支出合计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6111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402.25</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7ACFB">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402.25</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F681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705C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7FDDA52">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C1617">
            <w:pPr>
              <w:spacing w:line="200" w:lineRule="exact"/>
              <w:textAlignment w:val="center"/>
              <w:rPr>
                <w:rFonts w:hint="default" w:cs="宋体"/>
                <w:b/>
                <w:bCs/>
                <w:color w:val="000000"/>
                <w:sz w:val="18"/>
                <w:szCs w:val="18"/>
              </w:rPr>
            </w:pPr>
            <w:r>
              <w:rPr>
                <w:rFonts w:cs="宋体"/>
                <w:b/>
                <w:bCs/>
                <w:color w:val="000000"/>
                <w:sz w:val="18"/>
                <w:szCs w:val="18"/>
              </w:rPr>
              <w:t>年初财政拨款结转和结余</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EF7C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21.65</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911FA">
            <w:pPr>
              <w:spacing w:line="200" w:lineRule="exact"/>
              <w:textAlignment w:val="center"/>
              <w:rPr>
                <w:rFonts w:hint="default" w:cs="宋体"/>
                <w:b/>
                <w:bCs/>
                <w:color w:val="000000"/>
                <w:sz w:val="18"/>
                <w:szCs w:val="18"/>
              </w:rPr>
            </w:pPr>
            <w:r>
              <w:rPr>
                <w:rFonts w:cs="宋体"/>
                <w:b/>
                <w:bCs/>
                <w:color w:val="000000"/>
                <w:sz w:val="18"/>
                <w:szCs w:val="18"/>
              </w:rPr>
              <w:t>年末财政拨款结转和结余</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B091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3E06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5EC3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E6AD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E6B68A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7C3F0">
            <w:pPr>
              <w:spacing w:line="200" w:lineRule="exact"/>
              <w:textAlignment w:val="center"/>
              <w:rPr>
                <w:rFonts w:hint="default" w:cs="宋体"/>
                <w:b/>
                <w:bCs/>
                <w:color w:val="000000"/>
                <w:sz w:val="18"/>
                <w:szCs w:val="18"/>
              </w:rPr>
            </w:pPr>
            <w:r>
              <w:rPr>
                <w:rFonts w:cs="宋体"/>
                <w:b/>
                <w:bCs/>
                <w:color w:val="000000"/>
                <w:sz w:val="18"/>
                <w:szCs w:val="18"/>
              </w:rPr>
              <w:t xml:space="preserve">  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EB0E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21.65</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2C7125A">
            <w:pPr>
              <w:spacing w:line="200" w:lineRule="exact"/>
              <w:rPr>
                <w:rFonts w:hint="default" w:cs="宋体"/>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A01F3F1">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0A243BC">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EB99672">
            <w:pPr>
              <w:spacing w:line="200" w:lineRule="exac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49DF8BB">
            <w:pPr>
              <w:spacing w:line="200" w:lineRule="exact"/>
              <w:rPr>
                <w:rFonts w:hint="default" w:ascii="Times New Roman" w:hAnsi="Times New Roman"/>
                <w:color w:val="000000"/>
                <w:sz w:val="18"/>
                <w:szCs w:val="18"/>
              </w:rPr>
            </w:pPr>
          </w:p>
        </w:tc>
      </w:tr>
      <w:tr w14:paraId="77D0C39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B2F84">
            <w:pPr>
              <w:spacing w:line="200" w:lineRule="exact"/>
              <w:textAlignment w:val="center"/>
              <w:rPr>
                <w:rFonts w:hint="default" w:cs="宋体"/>
                <w:b/>
                <w:bCs/>
                <w:color w:val="000000"/>
                <w:sz w:val="18"/>
                <w:szCs w:val="18"/>
              </w:rPr>
            </w:pPr>
            <w:r>
              <w:rPr>
                <w:rFonts w:cs="宋体"/>
                <w:b/>
                <w:bCs/>
                <w:color w:val="000000"/>
                <w:sz w:val="18"/>
                <w:szCs w:val="18"/>
              </w:rPr>
              <w:t xml:space="preserve">  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37DB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1B22B">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91DCA">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E3FDE">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9B21F">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E60F3">
            <w:pPr>
              <w:spacing w:line="200" w:lineRule="exact"/>
              <w:jc w:val="right"/>
              <w:rPr>
                <w:rFonts w:hint="default" w:ascii="Times New Roman" w:hAnsi="Times New Roman"/>
                <w:color w:val="000000"/>
                <w:sz w:val="18"/>
                <w:szCs w:val="18"/>
              </w:rPr>
            </w:pPr>
          </w:p>
        </w:tc>
      </w:tr>
      <w:tr w14:paraId="6A1D9A9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26269">
            <w:pPr>
              <w:spacing w:line="200" w:lineRule="exact"/>
              <w:textAlignment w:val="center"/>
              <w:rPr>
                <w:rFonts w:hint="default" w:cs="宋体"/>
                <w:b/>
                <w:bCs/>
                <w:color w:val="000000"/>
                <w:sz w:val="18"/>
                <w:szCs w:val="18"/>
              </w:rPr>
            </w:pPr>
            <w:r>
              <w:rPr>
                <w:rFonts w:cs="宋体"/>
                <w:b/>
                <w:bCs/>
                <w:color w:val="000000"/>
                <w:sz w:val="18"/>
                <w:szCs w:val="18"/>
              </w:rPr>
              <w:t xml:space="preserve">  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7902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5843B">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63C66">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54A6A">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C0F21">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35C36">
            <w:pPr>
              <w:spacing w:line="200" w:lineRule="exact"/>
              <w:jc w:val="right"/>
              <w:rPr>
                <w:rFonts w:hint="default" w:ascii="Times New Roman" w:hAnsi="Times New Roman"/>
                <w:color w:val="000000"/>
                <w:sz w:val="18"/>
                <w:szCs w:val="18"/>
              </w:rPr>
            </w:pPr>
          </w:p>
        </w:tc>
      </w:tr>
      <w:tr w14:paraId="7B0D084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F8F24">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2AB99">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402.25</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ABE57">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786E9">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402.25</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AE02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402.25</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7FF5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CDC0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bl>
    <w:p w14:paraId="3AF3ECA1">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3"/>
        <w:tblW w:w="15322" w:type="dxa"/>
        <w:tblInd w:w="0" w:type="dxa"/>
        <w:tblLayout w:type="fixed"/>
        <w:tblCellMar>
          <w:top w:w="0" w:type="dxa"/>
          <w:left w:w="0" w:type="dxa"/>
          <w:bottom w:w="0" w:type="dxa"/>
          <w:right w:w="0" w:type="dxa"/>
        </w:tblCellMar>
      </w:tblPr>
      <w:tblGrid>
        <w:gridCol w:w="1305"/>
        <w:gridCol w:w="4073"/>
        <w:gridCol w:w="3306"/>
        <w:gridCol w:w="3297"/>
        <w:gridCol w:w="3341"/>
      </w:tblGrid>
      <w:tr w14:paraId="1552064B">
        <w:tblPrEx>
          <w:tblCellMar>
            <w:top w:w="0" w:type="dxa"/>
            <w:left w:w="0" w:type="dxa"/>
            <w:bottom w:w="0" w:type="dxa"/>
            <w:right w:w="0" w:type="dxa"/>
          </w:tblCellMar>
        </w:tblPrEx>
        <w:trPr>
          <w:trHeight w:val="510" w:hRule="atLeast"/>
        </w:trPr>
        <w:tc>
          <w:tcPr>
            <w:tcW w:w="15322" w:type="dxa"/>
            <w:gridSpan w:val="5"/>
            <w:tcBorders>
              <w:top w:val="nil"/>
              <w:left w:val="nil"/>
              <w:bottom w:val="nil"/>
              <w:right w:val="nil"/>
            </w:tcBorders>
            <w:shd w:val="clear" w:color="auto" w:fill="auto"/>
            <w:tcMar>
              <w:top w:w="15" w:type="dxa"/>
              <w:left w:w="15" w:type="dxa"/>
              <w:right w:w="15" w:type="dxa"/>
            </w:tcMar>
            <w:vAlign w:val="bottom"/>
          </w:tcPr>
          <w:p w14:paraId="204CC280">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14:paraId="6E063A87">
        <w:tblPrEx>
          <w:tblCellMar>
            <w:top w:w="0" w:type="dxa"/>
            <w:left w:w="0" w:type="dxa"/>
            <w:bottom w:w="0" w:type="dxa"/>
            <w:right w:w="0" w:type="dxa"/>
          </w:tblCellMar>
        </w:tblPrEx>
        <w:trPr>
          <w:trHeight w:val="255" w:hRule="atLeast"/>
        </w:trPr>
        <w:tc>
          <w:tcPr>
            <w:tcW w:w="8684" w:type="dxa"/>
            <w:gridSpan w:val="3"/>
            <w:vMerge w:val="restart"/>
            <w:tcBorders>
              <w:top w:val="nil"/>
              <w:left w:val="nil"/>
              <w:right w:val="nil"/>
            </w:tcBorders>
            <w:shd w:val="clear" w:color="auto" w:fill="auto"/>
            <w:tcMar>
              <w:top w:w="15" w:type="dxa"/>
              <w:left w:w="15" w:type="dxa"/>
              <w:right w:w="15" w:type="dxa"/>
            </w:tcMar>
            <w:vAlign w:val="bottom"/>
          </w:tcPr>
          <w:p w14:paraId="5F6D3D4F">
            <w:pPr>
              <w:keepNext w:val="0"/>
              <w:keepLines w:val="0"/>
              <w:pageBreakBefore w:val="0"/>
              <w:widowControl/>
              <w:kinsoku/>
              <w:wordWrap/>
              <w:overflowPunct/>
              <w:topLinePunct w:val="0"/>
              <w:autoSpaceDE/>
              <w:autoSpaceDN/>
              <w:bidi w:val="0"/>
              <w:adjustRightInd/>
              <w:snapToGrid/>
              <w:spacing w:line="280" w:lineRule="exact"/>
              <w:textAlignment w:val="auto"/>
              <w:rPr>
                <w:rFonts w:hint="default" w:cs="宋体"/>
                <w:color w:val="000000"/>
                <w:sz w:val="20"/>
                <w:szCs w:val="20"/>
              </w:rPr>
            </w:pPr>
            <w:r>
              <w:rPr>
                <w:rFonts w:cs="宋体"/>
                <w:sz w:val="20"/>
                <w:szCs w:val="20"/>
              </w:rPr>
              <w:t>单位</w:t>
            </w:r>
            <w:r>
              <w:rPr>
                <w:rFonts w:cs="宋体"/>
                <w:color w:val="000000"/>
                <w:sz w:val="20"/>
                <w:szCs w:val="20"/>
              </w:rPr>
              <w:t>：</w:t>
            </w:r>
            <w:r>
              <w:rPr>
                <w:color w:val="000000"/>
                <w:sz w:val="20"/>
                <w:u w:color="auto"/>
              </w:rPr>
              <w:t>秀山土家族苗族自治县乌杨街道社区卫生服务中心</w:t>
            </w:r>
          </w:p>
        </w:tc>
        <w:tc>
          <w:tcPr>
            <w:tcW w:w="3297" w:type="dxa"/>
            <w:tcBorders>
              <w:top w:val="nil"/>
              <w:left w:val="nil"/>
              <w:bottom w:val="nil"/>
              <w:right w:val="nil"/>
            </w:tcBorders>
            <w:shd w:val="clear" w:color="auto" w:fill="auto"/>
            <w:tcMar>
              <w:top w:w="15" w:type="dxa"/>
              <w:left w:w="15" w:type="dxa"/>
              <w:right w:w="15" w:type="dxa"/>
            </w:tcMar>
            <w:vAlign w:val="bottom"/>
          </w:tcPr>
          <w:p w14:paraId="680B720A">
            <w:pPr>
              <w:rPr>
                <w:rFonts w:hint="default" w:cs="宋体"/>
                <w:color w:val="000000"/>
                <w:sz w:val="20"/>
                <w:szCs w:val="20"/>
              </w:rPr>
            </w:pPr>
          </w:p>
        </w:tc>
        <w:tc>
          <w:tcPr>
            <w:tcW w:w="3341" w:type="dxa"/>
            <w:tcBorders>
              <w:top w:val="nil"/>
              <w:left w:val="nil"/>
              <w:bottom w:val="nil"/>
              <w:right w:val="nil"/>
            </w:tcBorders>
            <w:shd w:val="clear" w:color="auto" w:fill="auto"/>
            <w:tcMar>
              <w:top w:w="15" w:type="dxa"/>
              <w:left w:w="15" w:type="dxa"/>
              <w:right w:w="15" w:type="dxa"/>
            </w:tcMar>
            <w:vAlign w:val="bottom"/>
          </w:tcPr>
          <w:p w14:paraId="671418AF">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05</w:t>
            </w:r>
            <w:r>
              <w:rPr>
                <w:rFonts w:cs="宋体"/>
                <w:color w:val="000000"/>
                <w:sz w:val="20"/>
                <w:szCs w:val="20"/>
              </w:rPr>
              <w:t>表</w:t>
            </w:r>
          </w:p>
        </w:tc>
      </w:tr>
      <w:tr w14:paraId="79E9C59D">
        <w:tblPrEx>
          <w:tblCellMar>
            <w:top w:w="0" w:type="dxa"/>
            <w:left w:w="0" w:type="dxa"/>
            <w:bottom w:w="0" w:type="dxa"/>
            <w:right w:w="0" w:type="dxa"/>
          </w:tblCellMar>
        </w:tblPrEx>
        <w:trPr>
          <w:trHeight w:val="285" w:hRule="atLeast"/>
        </w:trPr>
        <w:tc>
          <w:tcPr>
            <w:tcW w:w="8684" w:type="dxa"/>
            <w:gridSpan w:val="3"/>
            <w:vMerge w:val="continue"/>
            <w:tcBorders>
              <w:left w:val="nil"/>
              <w:bottom w:val="nil"/>
              <w:right w:val="nil"/>
            </w:tcBorders>
            <w:shd w:val="clear" w:color="auto" w:fill="auto"/>
            <w:tcMar>
              <w:top w:w="15" w:type="dxa"/>
              <w:left w:w="15" w:type="dxa"/>
              <w:right w:w="15" w:type="dxa"/>
            </w:tcMar>
            <w:vAlign w:val="bottom"/>
          </w:tcPr>
          <w:p w14:paraId="1EE28ECC">
            <w:pPr>
              <w:rPr>
                <w:rFonts w:hint="default" w:cs="宋体"/>
                <w:color w:val="000000"/>
                <w:sz w:val="20"/>
                <w:szCs w:val="20"/>
              </w:rPr>
            </w:pPr>
          </w:p>
        </w:tc>
        <w:tc>
          <w:tcPr>
            <w:tcW w:w="3297" w:type="dxa"/>
            <w:tcBorders>
              <w:top w:val="nil"/>
              <w:left w:val="nil"/>
              <w:bottom w:val="nil"/>
              <w:right w:val="nil"/>
            </w:tcBorders>
            <w:shd w:val="clear" w:color="auto" w:fill="auto"/>
            <w:tcMar>
              <w:top w:w="15" w:type="dxa"/>
              <w:left w:w="15" w:type="dxa"/>
              <w:right w:w="15" w:type="dxa"/>
            </w:tcMar>
            <w:vAlign w:val="bottom"/>
          </w:tcPr>
          <w:p w14:paraId="317ED10C">
            <w:pPr>
              <w:rPr>
                <w:rFonts w:hint="default" w:cs="宋体"/>
                <w:color w:val="000000"/>
                <w:sz w:val="20"/>
                <w:szCs w:val="20"/>
              </w:rPr>
            </w:pPr>
          </w:p>
        </w:tc>
        <w:tc>
          <w:tcPr>
            <w:tcW w:w="3341" w:type="dxa"/>
            <w:tcBorders>
              <w:top w:val="nil"/>
              <w:left w:val="nil"/>
              <w:bottom w:val="nil"/>
              <w:right w:val="nil"/>
            </w:tcBorders>
            <w:shd w:val="clear" w:color="auto" w:fill="auto"/>
            <w:tcMar>
              <w:top w:w="15" w:type="dxa"/>
              <w:left w:w="15" w:type="dxa"/>
              <w:right w:w="15" w:type="dxa"/>
            </w:tcMar>
            <w:vAlign w:val="bottom"/>
          </w:tcPr>
          <w:p w14:paraId="6ECE75B7">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27078433">
        <w:tblPrEx>
          <w:tblCellMar>
            <w:top w:w="0" w:type="dxa"/>
            <w:left w:w="0" w:type="dxa"/>
            <w:bottom w:w="0" w:type="dxa"/>
            <w:right w:w="0" w:type="dxa"/>
          </w:tblCellMar>
        </w:tblPrEx>
        <w:trPr>
          <w:trHeight w:val="308" w:hRule="atLeast"/>
        </w:trPr>
        <w:tc>
          <w:tcPr>
            <w:tcW w:w="53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0EC70">
            <w:pPr>
              <w:jc w:val="center"/>
              <w:textAlignment w:val="center"/>
              <w:rPr>
                <w:rFonts w:hint="default" w:cs="宋体"/>
                <w:b/>
                <w:color w:val="000000"/>
                <w:sz w:val="20"/>
                <w:szCs w:val="20"/>
              </w:rPr>
            </w:pPr>
            <w:r>
              <w:rPr>
                <w:rFonts w:cs="宋体"/>
                <w:b/>
                <w:color w:val="000000"/>
                <w:sz w:val="20"/>
                <w:szCs w:val="20"/>
              </w:rPr>
              <w:t>项目</w:t>
            </w:r>
          </w:p>
        </w:tc>
        <w:tc>
          <w:tcPr>
            <w:tcW w:w="9944"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B550065">
            <w:pPr>
              <w:jc w:val="center"/>
              <w:textAlignment w:val="center"/>
              <w:rPr>
                <w:rFonts w:hint="default" w:cs="宋体"/>
                <w:b/>
                <w:color w:val="000000"/>
                <w:sz w:val="20"/>
                <w:szCs w:val="20"/>
              </w:rPr>
            </w:pPr>
            <w:r>
              <w:rPr>
                <w:rFonts w:cs="宋体"/>
                <w:b/>
                <w:color w:val="000000"/>
                <w:sz w:val="20"/>
                <w:szCs w:val="20"/>
              </w:rPr>
              <w:t>本年支出</w:t>
            </w:r>
          </w:p>
        </w:tc>
      </w:tr>
      <w:tr w14:paraId="49489F0D">
        <w:tblPrEx>
          <w:tblCellMar>
            <w:top w:w="0" w:type="dxa"/>
            <w:left w:w="0" w:type="dxa"/>
            <w:bottom w:w="0" w:type="dxa"/>
            <w:right w:w="0" w:type="dxa"/>
          </w:tblCellMar>
        </w:tblPrEx>
        <w:trPr>
          <w:trHeight w:val="326" w:hRule="atLeast"/>
        </w:trPr>
        <w:tc>
          <w:tcPr>
            <w:tcW w:w="130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D846B">
            <w:pPr>
              <w:jc w:val="center"/>
              <w:textAlignment w:val="center"/>
              <w:rPr>
                <w:rFonts w:hint="default" w:cs="宋体"/>
                <w:b/>
                <w:color w:val="000000"/>
                <w:sz w:val="20"/>
                <w:szCs w:val="20"/>
              </w:rPr>
            </w:pPr>
            <w:r>
              <w:rPr>
                <w:rFonts w:cs="宋体"/>
                <w:b/>
                <w:color w:val="000000"/>
                <w:sz w:val="20"/>
                <w:szCs w:val="20"/>
              </w:rPr>
              <w:t>功能分类科目编码</w:t>
            </w:r>
          </w:p>
        </w:tc>
        <w:tc>
          <w:tcPr>
            <w:tcW w:w="407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B4F965">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0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03A00B">
            <w:pPr>
              <w:jc w:val="center"/>
              <w:textAlignment w:val="center"/>
              <w:rPr>
                <w:rFonts w:hint="default" w:cs="宋体"/>
                <w:b/>
                <w:color w:val="000000"/>
                <w:sz w:val="20"/>
                <w:szCs w:val="20"/>
              </w:rPr>
            </w:pPr>
            <w:r>
              <w:rPr>
                <w:rFonts w:cs="宋体"/>
                <w:b/>
                <w:color w:val="000000"/>
                <w:sz w:val="20"/>
                <w:szCs w:val="20"/>
              </w:rPr>
              <w:t>合计</w:t>
            </w:r>
          </w:p>
        </w:tc>
        <w:tc>
          <w:tcPr>
            <w:tcW w:w="3297"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032AE4">
            <w:pPr>
              <w:jc w:val="center"/>
              <w:textAlignment w:val="center"/>
              <w:rPr>
                <w:rFonts w:hint="default" w:cs="宋体"/>
                <w:b/>
                <w:color w:val="000000"/>
                <w:sz w:val="20"/>
                <w:szCs w:val="20"/>
              </w:rPr>
            </w:pPr>
            <w:r>
              <w:rPr>
                <w:rFonts w:cs="宋体"/>
                <w:b/>
                <w:color w:val="000000"/>
                <w:sz w:val="20"/>
                <w:szCs w:val="20"/>
              </w:rPr>
              <w:t>基本支出</w:t>
            </w:r>
          </w:p>
        </w:tc>
        <w:tc>
          <w:tcPr>
            <w:tcW w:w="334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9D0EDC">
            <w:pPr>
              <w:jc w:val="center"/>
              <w:textAlignment w:val="center"/>
              <w:rPr>
                <w:rFonts w:hint="default" w:cs="宋体"/>
                <w:b/>
                <w:color w:val="000000"/>
                <w:sz w:val="20"/>
                <w:szCs w:val="20"/>
              </w:rPr>
            </w:pPr>
            <w:r>
              <w:rPr>
                <w:rFonts w:cs="宋体"/>
                <w:b/>
                <w:color w:val="000000"/>
                <w:sz w:val="20"/>
                <w:szCs w:val="20"/>
              </w:rPr>
              <w:t>项目支出</w:t>
            </w:r>
          </w:p>
        </w:tc>
      </w:tr>
      <w:tr w14:paraId="022B336F">
        <w:tblPrEx>
          <w:tblCellMar>
            <w:top w:w="0" w:type="dxa"/>
            <w:left w:w="0" w:type="dxa"/>
            <w:bottom w:w="0" w:type="dxa"/>
            <w:right w:w="0" w:type="dxa"/>
          </w:tblCellMar>
        </w:tblPrEx>
        <w:trPr>
          <w:trHeight w:val="326" w:hRule="atLeast"/>
        </w:trPr>
        <w:tc>
          <w:tcPr>
            <w:tcW w:w="13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A65D0">
            <w:pPr>
              <w:jc w:val="center"/>
              <w:rPr>
                <w:rFonts w:hint="default" w:cs="宋体"/>
                <w:b/>
                <w:color w:val="000000"/>
                <w:sz w:val="20"/>
                <w:szCs w:val="20"/>
              </w:rPr>
            </w:pPr>
          </w:p>
        </w:tc>
        <w:tc>
          <w:tcPr>
            <w:tcW w:w="407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394C72">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D8536A">
            <w:pPr>
              <w:jc w:val="center"/>
              <w:rPr>
                <w:rFonts w:hint="default" w:cs="宋体"/>
                <w:b/>
                <w:color w:val="000000"/>
                <w:sz w:val="20"/>
                <w:szCs w:val="20"/>
              </w:rPr>
            </w:pPr>
          </w:p>
        </w:tc>
        <w:tc>
          <w:tcPr>
            <w:tcW w:w="329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69094E">
            <w:pPr>
              <w:jc w:val="center"/>
              <w:rPr>
                <w:rFonts w:hint="default" w:cs="宋体"/>
                <w:b/>
                <w:color w:val="000000"/>
                <w:sz w:val="20"/>
                <w:szCs w:val="20"/>
              </w:rPr>
            </w:pPr>
          </w:p>
        </w:tc>
        <w:tc>
          <w:tcPr>
            <w:tcW w:w="334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95146F">
            <w:pPr>
              <w:jc w:val="center"/>
              <w:rPr>
                <w:rFonts w:hint="default" w:cs="宋体"/>
                <w:b/>
                <w:color w:val="000000"/>
                <w:sz w:val="20"/>
                <w:szCs w:val="20"/>
              </w:rPr>
            </w:pPr>
          </w:p>
        </w:tc>
      </w:tr>
      <w:tr w14:paraId="7004FD49">
        <w:tblPrEx>
          <w:tblCellMar>
            <w:top w:w="0" w:type="dxa"/>
            <w:left w:w="0" w:type="dxa"/>
            <w:bottom w:w="0" w:type="dxa"/>
            <w:right w:w="0" w:type="dxa"/>
          </w:tblCellMar>
        </w:tblPrEx>
        <w:trPr>
          <w:trHeight w:val="615" w:hRule="atLeast"/>
        </w:trPr>
        <w:tc>
          <w:tcPr>
            <w:tcW w:w="13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86327">
            <w:pPr>
              <w:jc w:val="center"/>
              <w:rPr>
                <w:rFonts w:hint="default" w:cs="宋体"/>
                <w:b/>
                <w:color w:val="000000"/>
                <w:sz w:val="20"/>
                <w:szCs w:val="20"/>
              </w:rPr>
            </w:pPr>
          </w:p>
        </w:tc>
        <w:tc>
          <w:tcPr>
            <w:tcW w:w="407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2BB679">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69305E">
            <w:pPr>
              <w:jc w:val="center"/>
              <w:rPr>
                <w:rFonts w:hint="default" w:cs="宋体"/>
                <w:b/>
                <w:color w:val="000000"/>
                <w:sz w:val="20"/>
                <w:szCs w:val="20"/>
              </w:rPr>
            </w:pPr>
          </w:p>
        </w:tc>
        <w:tc>
          <w:tcPr>
            <w:tcW w:w="329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B958DC">
            <w:pPr>
              <w:jc w:val="center"/>
              <w:rPr>
                <w:rFonts w:hint="default" w:cs="宋体"/>
                <w:b/>
                <w:color w:val="000000"/>
                <w:sz w:val="20"/>
                <w:szCs w:val="20"/>
              </w:rPr>
            </w:pPr>
          </w:p>
        </w:tc>
        <w:tc>
          <w:tcPr>
            <w:tcW w:w="334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B8876E">
            <w:pPr>
              <w:jc w:val="center"/>
              <w:rPr>
                <w:rFonts w:hint="default" w:cs="宋体"/>
                <w:b/>
                <w:color w:val="000000"/>
                <w:sz w:val="20"/>
                <w:szCs w:val="20"/>
              </w:rPr>
            </w:pPr>
          </w:p>
        </w:tc>
      </w:tr>
      <w:tr w14:paraId="196E4384">
        <w:tblPrEx>
          <w:tblCellMar>
            <w:top w:w="0" w:type="dxa"/>
            <w:left w:w="0" w:type="dxa"/>
            <w:bottom w:w="0" w:type="dxa"/>
            <w:right w:w="0" w:type="dxa"/>
          </w:tblCellMar>
        </w:tblPrEx>
        <w:trPr>
          <w:trHeight w:val="308" w:hRule="atLeast"/>
        </w:trPr>
        <w:tc>
          <w:tcPr>
            <w:tcW w:w="5378"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614F0">
            <w:pPr>
              <w:jc w:val="center"/>
              <w:textAlignment w:val="center"/>
              <w:rPr>
                <w:rFonts w:hint="default" w:cs="宋体"/>
                <w:b/>
                <w:color w:val="000000"/>
                <w:sz w:val="20"/>
                <w:szCs w:val="20"/>
              </w:rPr>
            </w:pPr>
            <w:r>
              <w:rPr>
                <w:rFonts w:cs="宋体"/>
                <w:b/>
                <w:color w:val="000000"/>
                <w:sz w:val="20"/>
                <w:szCs w:val="20"/>
              </w:rPr>
              <w:t>合计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FC7049">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402.25</w:t>
            </w:r>
            <w:r>
              <w:rPr>
                <w:rFonts w:ascii="Times New Roman" w:hAnsi="Times New Roman"/>
                <w:b/>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B491EA">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382.36</w:t>
            </w:r>
            <w:r>
              <w:rPr>
                <w:rFonts w:ascii="Times New Roman" w:hAnsi="Times New Roman"/>
                <w:b/>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71DC71">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19.89</w:t>
            </w:r>
            <w:r>
              <w:rPr>
                <w:rFonts w:ascii="Times New Roman" w:hAnsi="Times New Roman"/>
                <w:b/>
                <w:color w:val="000000"/>
                <w:sz w:val="20"/>
                <w:u w:color="auto"/>
              </w:rPr>
              <w:t xml:space="preserve"> </w:t>
            </w:r>
          </w:p>
        </w:tc>
      </w:tr>
      <w:tr w14:paraId="435E27E3">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05B58">
            <w:pPr>
              <w:textAlignment w:val="center"/>
              <w:rPr>
                <w:rFonts w:hint="default" w:cs="宋体"/>
                <w:color w:val="000000"/>
                <w:sz w:val="20"/>
                <w:szCs w:val="20"/>
              </w:rPr>
            </w:pPr>
            <w:r>
              <w:rPr>
                <w:rFonts w:cs="宋体"/>
                <w:b/>
                <w:color w:val="000000"/>
                <w:sz w:val="20"/>
                <w:szCs w:val="20"/>
              </w:rPr>
              <w:t>208</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74A433">
            <w:pPr>
              <w:textAlignment w:val="center"/>
              <w:rPr>
                <w:rFonts w:hint="default" w:cs="宋体"/>
                <w:color w:val="000000"/>
                <w:sz w:val="20"/>
                <w:szCs w:val="20"/>
              </w:rPr>
            </w:pPr>
            <w:r>
              <w:rPr>
                <w:rFonts w:cs="宋体"/>
                <w:b/>
                <w:color w:val="000000"/>
                <w:sz w:val="20"/>
                <w:szCs w:val="20"/>
              </w:rPr>
              <w:t>社会保障和就业支出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13D0C4">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6F207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3E0CD9">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79CB57D">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8B08E">
            <w:pPr>
              <w:textAlignment w:val="center"/>
              <w:rPr>
                <w:rFonts w:hint="default" w:cs="宋体"/>
                <w:color w:val="000000"/>
                <w:sz w:val="20"/>
                <w:szCs w:val="20"/>
              </w:rPr>
            </w:pPr>
            <w:r>
              <w:rPr>
                <w:rFonts w:cs="宋体"/>
                <w:b/>
                <w:color w:val="000000"/>
                <w:sz w:val="20"/>
                <w:szCs w:val="20"/>
              </w:rPr>
              <w:t>20805</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B06327">
            <w:pPr>
              <w:textAlignment w:val="center"/>
              <w:rPr>
                <w:rFonts w:hint="default" w:cs="宋体"/>
                <w:color w:val="000000"/>
                <w:sz w:val="20"/>
                <w:szCs w:val="20"/>
              </w:rPr>
            </w:pPr>
            <w:r>
              <w:rPr>
                <w:rFonts w:cs="宋体"/>
                <w:b/>
                <w:color w:val="000000"/>
                <w:sz w:val="20"/>
                <w:szCs w:val="20"/>
              </w:rPr>
              <w:t>行政事业单位养老支出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B9BCB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09EC5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F9F869">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F159313">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6E2AE">
            <w:pPr>
              <w:textAlignment w:val="center"/>
              <w:rPr>
                <w:rFonts w:hint="default" w:cs="宋体"/>
                <w:color w:val="000000"/>
                <w:sz w:val="20"/>
                <w:szCs w:val="20"/>
              </w:rPr>
            </w:pPr>
            <w:r>
              <w:rPr>
                <w:rFonts w:cs="宋体"/>
                <w:color w:val="000000"/>
                <w:sz w:val="20"/>
                <w:szCs w:val="20"/>
              </w:rPr>
              <w:t>2080502</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6372A0">
            <w:pPr>
              <w:textAlignment w:val="center"/>
              <w:rPr>
                <w:rFonts w:hint="default" w:cs="宋体"/>
                <w:color w:val="000000"/>
                <w:sz w:val="20"/>
                <w:szCs w:val="20"/>
              </w:rPr>
            </w:pPr>
            <w:r>
              <w:rPr>
                <w:rFonts w:cs="宋体"/>
                <w:color w:val="000000"/>
                <w:sz w:val="20"/>
                <w:szCs w:val="20"/>
              </w:rPr>
              <w:t>事业单位离退休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E3AB4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6.19</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532E4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6.19</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AB5C4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AB62345">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61E95C">
            <w:pPr>
              <w:textAlignment w:val="center"/>
              <w:rPr>
                <w:rFonts w:hint="default" w:cs="宋体"/>
                <w:color w:val="000000"/>
                <w:sz w:val="20"/>
                <w:szCs w:val="20"/>
              </w:rPr>
            </w:pPr>
            <w:r>
              <w:rPr>
                <w:rFonts w:cs="宋体"/>
                <w:color w:val="000000"/>
                <w:sz w:val="20"/>
                <w:szCs w:val="20"/>
              </w:rPr>
              <w:t>2080505</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C82FF7">
            <w:pPr>
              <w:textAlignment w:val="center"/>
              <w:rPr>
                <w:rFonts w:hint="default" w:cs="宋体"/>
                <w:color w:val="000000"/>
                <w:sz w:val="20"/>
                <w:szCs w:val="20"/>
              </w:rPr>
            </w:pPr>
            <w:r>
              <w:rPr>
                <w:rFonts w:cs="宋体"/>
                <w:color w:val="000000"/>
                <w:sz w:val="20"/>
                <w:szCs w:val="20"/>
              </w:rPr>
              <w:t>机关事业单位基本养老保险缴费支出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15D14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27.52</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4B758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27.52</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E3318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7B42697">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0C686">
            <w:pPr>
              <w:textAlignment w:val="center"/>
              <w:rPr>
                <w:rFonts w:hint="default" w:cs="宋体"/>
                <w:color w:val="000000"/>
                <w:sz w:val="20"/>
                <w:szCs w:val="20"/>
              </w:rPr>
            </w:pPr>
            <w:r>
              <w:rPr>
                <w:rFonts w:cs="宋体"/>
                <w:color w:val="000000"/>
                <w:sz w:val="20"/>
                <w:szCs w:val="20"/>
              </w:rPr>
              <w:t>2080506</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C42198">
            <w:pPr>
              <w:textAlignment w:val="center"/>
              <w:rPr>
                <w:rFonts w:hint="default" w:cs="宋体"/>
                <w:color w:val="000000"/>
                <w:sz w:val="20"/>
                <w:szCs w:val="20"/>
              </w:rPr>
            </w:pPr>
            <w:r>
              <w:rPr>
                <w:rFonts w:cs="宋体"/>
                <w:color w:val="000000"/>
                <w:sz w:val="20"/>
                <w:szCs w:val="20"/>
              </w:rPr>
              <w:t>机关事业单位职业年金缴费支出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03B60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13.93</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CAF60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13.93</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88E5E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EC0A8E0">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A6923">
            <w:pPr>
              <w:textAlignment w:val="center"/>
              <w:rPr>
                <w:rFonts w:hint="default" w:cs="宋体"/>
                <w:color w:val="000000"/>
                <w:sz w:val="20"/>
                <w:szCs w:val="20"/>
              </w:rPr>
            </w:pPr>
            <w:r>
              <w:rPr>
                <w:rFonts w:cs="宋体"/>
                <w:b/>
                <w:color w:val="000000"/>
                <w:sz w:val="20"/>
                <w:szCs w:val="20"/>
              </w:rPr>
              <w:t>210</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5BFC00">
            <w:pPr>
              <w:textAlignment w:val="center"/>
              <w:rPr>
                <w:rFonts w:hint="default" w:cs="宋体"/>
                <w:color w:val="000000"/>
                <w:sz w:val="20"/>
                <w:szCs w:val="20"/>
              </w:rPr>
            </w:pPr>
            <w:r>
              <w:rPr>
                <w:rFonts w:cs="宋体"/>
                <w:b/>
                <w:color w:val="000000"/>
                <w:sz w:val="20"/>
                <w:szCs w:val="20"/>
              </w:rPr>
              <w:t>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54EB5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340.60</w:t>
            </w:r>
            <w:r>
              <w:rPr>
                <w:rFonts w:ascii="Times New Roman" w:hAnsi="Times New Roman"/>
                <w:b/>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D2CC3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320.71</w:t>
            </w:r>
            <w:r>
              <w:rPr>
                <w:rFonts w:ascii="Times New Roman" w:hAnsi="Times New Roman"/>
                <w:b/>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C7C3E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19.89</w:t>
            </w:r>
            <w:r>
              <w:rPr>
                <w:rFonts w:ascii="Times New Roman" w:hAnsi="Times New Roman"/>
                <w:b/>
                <w:color w:val="000000"/>
                <w:sz w:val="20"/>
                <w:u w:color="auto"/>
              </w:rPr>
              <w:t xml:space="preserve"> </w:t>
            </w:r>
          </w:p>
        </w:tc>
      </w:tr>
      <w:tr w14:paraId="1F997448">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47268">
            <w:pPr>
              <w:textAlignment w:val="center"/>
              <w:rPr>
                <w:rFonts w:hint="default" w:cs="宋体"/>
                <w:color w:val="000000"/>
                <w:sz w:val="20"/>
                <w:szCs w:val="20"/>
              </w:rPr>
            </w:pPr>
            <w:r>
              <w:rPr>
                <w:rFonts w:cs="宋体"/>
                <w:b/>
                <w:color w:val="000000"/>
                <w:sz w:val="20"/>
                <w:szCs w:val="20"/>
              </w:rPr>
              <w:t>21003</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E4395E">
            <w:pPr>
              <w:textAlignment w:val="center"/>
              <w:rPr>
                <w:rFonts w:hint="default" w:cs="宋体"/>
                <w:color w:val="000000"/>
                <w:sz w:val="20"/>
                <w:szCs w:val="20"/>
              </w:rPr>
            </w:pPr>
            <w:r>
              <w:rPr>
                <w:rFonts w:cs="宋体"/>
                <w:b/>
                <w:color w:val="000000"/>
                <w:sz w:val="20"/>
                <w:szCs w:val="20"/>
              </w:rPr>
              <w:t>基层医疗卫生机构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AD33B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253.81</w:t>
            </w:r>
            <w:r>
              <w:rPr>
                <w:rFonts w:ascii="Times New Roman" w:hAnsi="Times New Roman"/>
                <w:b/>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9C89A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234.45</w:t>
            </w:r>
            <w:r>
              <w:rPr>
                <w:rFonts w:ascii="Times New Roman" w:hAnsi="Times New Roman"/>
                <w:b/>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1AD72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19.36</w:t>
            </w:r>
            <w:r>
              <w:rPr>
                <w:rFonts w:ascii="Times New Roman" w:hAnsi="Times New Roman"/>
                <w:b/>
                <w:color w:val="000000"/>
                <w:sz w:val="20"/>
                <w:u w:color="auto"/>
              </w:rPr>
              <w:t xml:space="preserve"> </w:t>
            </w:r>
          </w:p>
        </w:tc>
      </w:tr>
      <w:tr w14:paraId="618283B3">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CAE88">
            <w:pPr>
              <w:textAlignment w:val="center"/>
              <w:rPr>
                <w:rFonts w:hint="default" w:cs="宋体"/>
                <w:color w:val="000000"/>
                <w:sz w:val="20"/>
                <w:szCs w:val="20"/>
              </w:rPr>
            </w:pPr>
            <w:r>
              <w:rPr>
                <w:rFonts w:cs="宋体"/>
                <w:color w:val="000000"/>
                <w:sz w:val="20"/>
                <w:szCs w:val="20"/>
              </w:rPr>
              <w:t>2100301</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7581A6">
            <w:pPr>
              <w:textAlignment w:val="center"/>
              <w:rPr>
                <w:rFonts w:hint="default" w:cs="宋体"/>
                <w:color w:val="000000"/>
                <w:sz w:val="20"/>
                <w:szCs w:val="20"/>
              </w:rPr>
            </w:pPr>
            <w:r>
              <w:rPr>
                <w:rFonts w:cs="宋体"/>
                <w:color w:val="000000"/>
                <w:sz w:val="20"/>
                <w:szCs w:val="20"/>
              </w:rPr>
              <w:t>城市社区卫生机构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D2D1A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244.29</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6A0E8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234.45</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97687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9.84</w:t>
            </w:r>
            <w:r>
              <w:rPr>
                <w:rFonts w:ascii="Times New Roman" w:hAnsi="Times New Roman"/>
                <w:color w:val="000000"/>
                <w:sz w:val="20"/>
                <w:u w:color="auto"/>
              </w:rPr>
              <w:t xml:space="preserve"> </w:t>
            </w:r>
          </w:p>
        </w:tc>
      </w:tr>
      <w:tr w14:paraId="6668DCB3">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7084D">
            <w:pPr>
              <w:textAlignment w:val="center"/>
              <w:rPr>
                <w:rFonts w:hint="default" w:cs="宋体"/>
                <w:color w:val="000000"/>
                <w:sz w:val="20"/>
                <w:szCs w:val="20"/>
              </w:rPr>
            </w:pPr>
            <w:r>
              <w:rPr>
                <w:rFonts w:cs="宋体"/>
                <w:color w:val="000000"/>
                <w:sz w:val="20"/>
                <w:szCs w:val="20"/>
              </w:rPr>
              <w:t>2100399</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007BD6">
            <w:pPr>
              <w:textAlignment w:val="center"/>
              <w:rPr>
                <w:rFonts w:hint="default" w:cs="宋体"/>
                <w:color w:val="000000"/>
                <w:sz w:val="20"/>
                <w:szCs w:val="20"/>
              </w:rPr>
            </w:pPr>
            <w:r>
              <w:rPr>
                <w:rFonts w:cs="宋体"/>
                <w:color w:val="000000"/>
                <w:sz w:val="20"/>
                <w:szCs w:val="20"/>
              </w:rPr>
              <w:t>其他基层医疗卫生机构支出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7169E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9.52</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3FF4C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FAF52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9.52</w:t>
            </w:r>
            <w:r>
              <w:rPr>
                <w:rFonts w:ascii="Times New Roman" w:hAnsi="Times New Roman"/>
                <w:color w:val="000000"/>
                <w:sz w:val="20"/>
                <w:u w:color="auto"/>
              </w:rPr>
              <w:t xml:space="preserve"> </w:t>
            </w:r>
          </w:p>
        </w:tc>
      </w:tr>
      <w:tr w14:paraId="78B39F3C">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775C9">
            <w:pPr>
              <w:textAlignment w:val="center"/>
              <w:rPr>
                <w:rFonts w:hint="default" w:cs="宋体"/>
                <w:color w:val="000000"/>
                <w:sz w:val="20"/>
                <w:szCs w:val="20"/>
              </w:rPr>
            </w:pPr>
            <w:r>
              <w:rPr>
                <w:rFonts w:cs="宋体"/>
                <w:b/>
                <w:color w:val="000000"/>
                <w:sz w:val="20"/>
                <w:szCs w:val="20"/>
              </w:rPr>
              <w:t>21004</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4A3864">
            <w:pPr>
              <w:textAlignment w:val="center"/>
              <w:rPr>
                <w:rFonts w:hint="default" w:cs="宋体"/>
                <w:color w:val="000000"/>
                <w:sz w:val="20"/>
                <w:szCs w:val="20"/>
              </w:rPr>
            </w:pPr>
            <w:r>
              <w:rPr>
                <w:rFonts w:cs="宋体"/>
                <w:b/>
                <w:color w:val="000000"/>
                <w:sz w:val="20"/>
                <w:szCs w:val="20"/>
              </w:rPr>
              <w:t>公共卫生</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B0DEB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71.52</w:t>
            </w:r>
            <w:r>
              <w:rPr>
                <w:rFonts w:ascii="Times New Roman" w:hAnsi="Times New Roman"/>
                <w:b/>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917ED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70.99</w:t>
            </w:r>
            <w:r>
              <w:rPr>
                <w:rFonts w:ascii="Times New Roman" w:hAnsi="Times New Roman"/>
                <w:b/>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DD2B9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0.53</w:t>
            </w:r>
            <w:r>
              <w:rPr>
                <w:rFonts w:ascii="Times New Roman" w:hAnsi="Times New Roman"/>
                <w:b/>
                <w:color w:val="000000"/>
                <w:sz w:val="20"/>
                <w:u w:color="auto"/>
              </w:rPr>
              <w:t xml:space="preserve"> </w:t>
            </w:r>
          </w:p>
        </w:tc>
      </w:tr>
      <w:tr w14:paraId="3BA292FE">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B95B83">
            <w:pPr>
              <w:textAlignment w:val="center"/>
              <w:rPr>
                <w:rFonts w:hint="default" w:cs="宋体"/>
                <w:color w:val="000000"/>
                <w:sz w:val="20"/>
                <w:szCs w:val="20"/>
              </w:rPr>
            </w:pPr>
            <w:r>
              <w:rPr>
                <w:rFonts w:cs="宋体"/>
                <w:color w:val="000000"/>
                <w:sz w:val="20"/>
                <w:szCs w:val="20"/>
              </w:rPr>
              <w:t>2100408</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57B68A">
            <w:pPr>
              <w:textAlignment w:val="center"/>
              <w:rPr>
                <w:rFonts w:hint="default" w:cs="宋体"/>
                <w:color w:val="000000"/>
                <w:sz w:val="20"/>
                <w:szCs w:val="20"/>
              </w:rPr>
            </w:pPr>
            <w:r>
              <w:rPr>
                <w:rFonts w:cs="宋体"/>
                <w:color w:val="000000"/>
                <w:sz w:val="20"/>
                <w:szCs w:val="20"/>
              </w:rPr>
              <w:t>基本公共卫生服务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F0EBA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70.99</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4DECC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70.99</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55802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C23CA20">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5BF50">
            <w:pPr>
              <w:textAlignment w:val="center"/>
              <w:rPr>
                <w:rFonts w:hint="default" w:cs="宋体"/>
                <w:color w:val="000000"/>
                <w:sz w:val="20"/>
                <w:szCs w:val="20"/>
              </w:rPr>
            </w:pPr>
            <w:r>
              <w:rPr>
                <w:rFonts w:cs="宋体"/>
                <w:color w:val="000000"/>
                <w:sz w:val="20"/>
                <w:szCs w:val="20"/>
              </w:rPr>
              <w:t>2100410</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5990D7">
            <w:pPr>
              <w:textAlignment w:val="center"/>
              <w:rPr>
                <w:rFonts w:hint="default" w:cs="宋体"/>
                <w:color w:val="000000"/>
                <w:sz w:val="20"/>
                <w:szCs w:val="20"/>
              </w:rPr>
            </w:pPr>
            <w:r>
              <w:rPr>
                <w:rFonts w:cs="宋体"/>
                <w:color w:val="000000"/>
                <w:sz w:val="20"/>
                <w:szCs w:val="20"/>
              </w:rPr>
              <w:t>突发公共卫生事件应急处置</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106DF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96D2F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78B74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r>
      <w:tr w14:paraId="2BE05613">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636BB">
            <w:pPr>
              <w:textAlignment w:val="center"/>
              <w:rPr>
                <w:rFonts w:hint="default" w:cs="宋体"/>
                <w:color w:val="000000"/>
                <w:sz w:val="20"/>
                <w:szCs w:val="20"/>
              </w:rPr>
            </w:pPr>
            <w:r>
              <w:rPr>
                <w:rFonts w:cs="宋体"/>
                <w:b/>
                <w:color w:val="000000"/>
                <w:sz w:val="20"/>
                <w:szCs w:val="20"/>
              </w:rPr>
              <w:t>21011</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ACBDE6">
            <w:pPr>
              <w:textAlignment w:val="center"/>
              <w:rPr>
                <w:rFonts w:hint="default" w:cs="宋体"/>
                <w:color w:val="000000"/>
                <w:sz w:val="20"/>
                <w:szCs w:val="20"/>
              </w:rPr>
            </w:pPr>
            <w:r>
              <w:rPr>
                <w:rFonts w:cs="宋体"/>
                <w:b/>
                <w:color w:val="000000"/>
                <w:sz w:val="20"/>
                <w:szCs w:val="20"/>
              </w:rPr>
              <w:t>行政事业单位医疗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DF761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15.27</w:t>
            </w:r>
            <w:r>
              <w:rPr>
                <w:rFonts w:ascii="Times New Roman" w:hAnsi="Times New Roman"/>
                <w:b/>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D156F0">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15.27</w:t>
            </w:r>
            <w:r>
              <w:rPr>
                <w:rFonts w:ascii="Times New Roman" w:hAnsi="Times New Roman"/>
                <w:b/>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785B0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F45A0AC">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0CB6A">
            <w:pPr>
              <w:textAlignment w:val="center"/>
              <w:rPr>
                <w:rFonts w:hint="default" w:cs="宋体"/>
                <w:color w:val="000000"/>
                <w:sz w:val="20"/>
                <w:szCs w:val="20"/>
              </w:rPr>
            </w:pPr>
            <w:r>
              <w:rPr>
                <w:rFonts w:cs="宋体"/>
                <w:color w:val="000000"/>
                <w:sz w:val="20"/>
                <w:szCs w:val="20"/>
              </w:rPr>
              <w:t>2101102</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AF4621">
            <w:pPr>
              <w:textAlignment w:val="center"/>
              <w:rPr>
                <w:rFonts w:hint="default" w:cs="宋体"/>
                <w:color w:val="000000"/>
                <w:sz w:val="20"/>
                <w:szCs w:val="20"/>
              </w:rPr>
            </w:pPr>
            <w:r>
              <w:rPr>
                <w:rFonts w:cs="宋体"/>
                <w:color w:val="000000"/>
                <w:sz w:val="20"/>
                <w:szCs w:val="20"/>
              </w:rPr>
              <w:t>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46396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11.67</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FB7B5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11.67</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43962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2C04DE7">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ABFE2">
            <w:pPr>
              <w:textAlignment w:val="center"/>
              <w:rPr>
                <w:rFonts w:hint="default" w:cs="宋体"/>
                <w:color w:val="000000"/>
                <w:sz w:val="20"/>
                <w:szCs w:val="20"/>
              </w:rPr>
            </w:pPr>
            <w:r>
              <w:rPr>
                <w:rFonts w:cs="宋体"/>
                <w:color w:val="000000"/>
                <w:sz w:val="20"/>
                <w:szCs w:val="20"/>
              </w:rPr>
              <w:t>2101199</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2B4294">
            <w:pPr>
              <w:textAlignment w:val="center"/>
              <w:rPr>
                <w:rFonts w:hint="default" w:cs="宋体"/>
                <w:color w:val="000000"/>
                <w:sz w:val="20"/>
                <w:szCs w:val="20"/>
              </w:rPr>
            </w:pPr>
            <w:r>
              <w:rPr>
                <w:rFonts w:cs="宋体"/>
                <w:color w:val="000000"/>
                <w:sz w:val="20"/>
                <w:szCs w:val="20"/>
              </w:rPr>
              <w:t>其他行政事业单位医疗支出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D601B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3.60</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6E271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3.60</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E2BD4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2003543">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A99D7">
            <w:pPr>
              <w:textAlignment w:val="center"/>
              <w:rPr>
                <w:rFonts w:hint="default" w:cs="宋体"/>
                <w:color w:val="000000"/>
                <w:sz w:val="20"/>
                <w:szCs w:val="20"/>
              </w:rPr>
            </w:pPr>
            <w:r>
              <w:rPr>
                <w:rFonts w:cs="宋体"/>
                <w:b/>
                <w:color w:val="000000"/>
                <w:sz w:val="20"/>
                <w:szCs w:val="20"/>
              </w:rPr>
              <w:t>221</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4D0369">
            <w:pPr>
              <w:textAlignment w:val="center"/>
              <w:rPr>
                <w:rFonts w:hint="default" w:cs="宋体"/>
                <w:color w:val="000000"/>
                <w:sz w:val="20"/>
                <w:szCs w:val="20"/>
              </w:rPr>
            </w:pPr>
            <w:r>
              <w:rPr>
                <w:rFonts w:cs="宋体"/>
                <w:b/>
                <w:color w:val="000000"/>
                <w:sz w:val="20"/>
                <w:szCs w:val="20"/>
              </w:rPr>
              <w:t>住房保障支出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D51E7F">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00D9E4">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5543F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76C24AF">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5FFFF">
            <w:pPr>
              <w:textAlignment w:val="center"/>
              <w:rPr>
                <w:rFonts w:hint="default" w:cs="宋体"/>
                <w:color w:val="000000"/>
                <w:sz w:val="20"/>
                <w:szCs w:val="20"/>
              </w:rPr>
            </w:pPr>
            <w:r>
              <w:rPr>
                <w:rFonts w:cs="宋体"/>
                <w:b/>
                <w:color w:val="000000"/>
                <w:sz w:val="20"/>
                <w:szCs w:val="20"/>
              </w:rPr>
              <w:t>22102</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4D0067">
            <w:pPr>
              <w:textAlignment w:val="center"/>
              <w:rPr>
                <w:rFonts w:hint="default" w:cs="宋体"/>
                <w:color w:val="000000"/>
                <w:sz w:val="20"/>
                <w:szCs w:val="20"/>
              </w:rPr>
            </w:pPr>
            <w:r>
              <w:rPr>
                <w:rFonts w:cs="宋体"/>
                <w:b/>
                <w:color w:val="000000"/>
                <w:sz w:val="20"/>
                <w:szCs w:val="20"/>
              </w:rPr>
              <w:t>住房改革支出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6BC92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A2932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70931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347DA75">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C8E2F">
            <w:pPr>
              <w:textAlignment w:val="center"/>
              <w:rPr>
                <w:rFonts w:hint="default" w:cs="宋体"/>
                <w:color w:val="000000"/>
                <w:sz w:val="20"/>
                <w:szCs w:val="20"/>
              </w:rPr>
            </w:pPr>
            <w:r>
              <w:rPr>
                <w:rFonts w:cs="宋体"/>
                <w:color w:val="000000"/>
                <w:sz w:val="20"/>
                <w:szCs w:val="20"/>
              </w:rPr>
              <w:t>2210201</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D84141">
            <w:pPr>
              <w:textAlignment w:val="center"/>
              <w:rPr>
                <w:rFonts w:hint="default" w:cs="宋体"/>
                <w:color w:val="000000"/>
                <w:sz w:val="20"/>
                <w:szCs w:val="20"/>
              </w:rPr>
            </w:pPr>
            <w:r>
              <w:rPr>
                <w:rFonts w:cs="宋体"/>
                <w:color w:val="000000"/>
                <w:sz w:val="20"/>
                <w:szCs w:val="20"/>
              </w:rPr>
              <w:t>住房公积金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20133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14.01</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D3CB1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14.01</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FEAE0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154FA1A0">
      <w:pPr>
        <w:rPr>
          <w:rFonts w:hint="default"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p>
    <w:tbl>
      <w:tblPr>
        <w:tblStyle w:val="13"/>
        <w:tblW w:w="15304" w:type="dxa"/>
        <w:tblInd w:w="0" w:type="dxa"/>
        <w:tblLayout w:type="fixed"/>
        <w:tblCellMar>
          <w:top w:w="0" w:type="dxa"/>
          <w:left w:w="0" w:type="dxa"/>
          <w:bottom w:w="0" w:type="dxa"/>
          <w:right w:w="0" w:type="dxa"/>
        </w:tblCellMar>
      </w:tblPr>
      <w:tblGrid>
        <w:gridCol w:w="803"/>
        <w:gridCol w:w="2809"/>
        <w:gridCol w:w="1541"/>
        <w:gridCol w:w="873"/>
        <w:gridCol w:w="2032"/>
        <w:gridCol w:w="1418"/>
        <w:gridCol w:w="873"/>
        <w:gridCol w:w="3463"/>
        <w:gridCol w:w="1492"/>
      </w:tblGrid>
      <w:tr w14:paraId="76FC3C47">
        <w:tblPrEx>
          <w:tblCellMar>
            <w:top w:w="0" w:type="dxa"/>
            <w:left w:w="0" w:type="dxa"/>
            <w:bottom w:w="0" w:type="dxa"/>
            <w:right w:w="0" w:type="dxa"/>
          </w:tblCellMar>
        </w:tblPrEx>
        <w:trPr>
          <w:trHeight w:val="90" w:hRule="atLeast"/>
        </w:trPr>
        <w:tc>
          <w:tcPr>
            <w:tcW w:w="15304" w:type="dxa"/>
            <w:gridSpan w:val="9"/>
            <w:tcBorders>
              <w:top w:val="nil"/>
              <w:left w:val="nil"/>
              <w:bottom w:val="nil"/>
              <w:right w:val="nil"/>
            </w:tcBorders>
            <w:shd w:val="clear" w:color="auto" w:fill="auto"/>
            <w:tcMar>
              <w:top w:w="15" w:type="dxa"/>
              <w:left w:w="15" w:type="dxa"/>
              <w:right w:w="15" w:type="dxa"/>
            </w:tcMar>
            <w:vAlign w:val="bottom"/>
          </w:tcPr>
          <w:p w14:paraId="00D9E84C">
            <w:pPr>
              <w:keepNext w:val="0"/>
              <w:keepLines w:val="0"/>
              <w:pageBreakBefore w:val="0"/>
              <w:widowControl/>
              <w:kinsoku/>
              <w:wordWrap/>
              <w:overflowPunct/>
              <w:topLinePunct w:val="0"/>
              <w:autoSpaceDE/>
              <w:autoSpaceDN/>
              <w:bidi w:val="0"/>
              <w:adjustRightInd/>
              <w:snapToGrid/>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14:paraId="4605D587">
        <w:tblPrEx>
          <w:tblCellMar>
            <w:top w:w="0" w:type="dxa"/>
            <w:left w:w="0" w:type="dxa"/>
            <w:bottom w:w="0" w:type="dxa"/>
            <w:right w:w="0" w:type="dxa"/>
          </w:tblCellMar>
        </w:tblPrEx>
        <w:trPr>
          <w:trHeight w:val="334" w:hRule="atLeast"/>
        </w:trPr>
        <w:tc>
          <w:tcPr>
            <w:tcW w:w="8058" w:type="dxa"/>
            <w:gridSpan w:val="5"/>
            <w:vMerge w:val="restart"/>
            <w:tcBorders>
              <w:top w:val="nil"/>
              <w:left w:val="nil"/>
              <w:right w:val="nil"/>
            </w:tcBorders>
            <w:shd w:val="clear" w:color="auto" w:fill="auto"/>
            <w:tcMar>
              <w:top w:w="15" w:type="dxa"/>
              <w:left w:w="15" w:type="dxa"/>
              <w:right w:w="15" w:type="dxa"/>
            </w:tcMar>
            <w:vAlign w:val="bottom"/>
          </w:tcPr>
          <w:p w14:paraId="23E6D9E9">
            <w:pPr>
              <w:keepNext w:val="0"/>
              <w:keepLines w:val="0"/>
              <w:pageBreakBefore w:val="0"/>
              <w:widowControl/>
              <w:kinsoku/>
              <w:wordWrap/>
              <w:overflowPunct/>
              <w:topLinePunct w:val="0"/>
              <w:autoSpaceDE/>
              <w:autoSpaceDN/>
              <w:bidi w:val="0"/>
              <w:adjustRightInd/>
              <w:snapToGrid/>
              <w:spacing w:line="280" w:lineRule="exact"/>
              <w:textAlignment w:val="auto"/>
              <w:rPr>
                <w:rFonts w:hint="default" w:cs="宋体"/>
                <w:color w:val="000000"/>
                <w:sz w:val="18"/>
                <w:szCs w:val="18"/>
              </w:rPr>
            </w:pPr>
            <w:r>
              <w:rPr>
                <w:rFonts w:cs="宋体"/>
                <w:sz w:val="20"/>
                <w:szCs w:val="20"/>
              </w:rPr>
              <w:t>单位</w:t>
            </w:r>
            <w:r>
              <w:rPr>
                <w:rFonts w:cs="宋体"/>
                <w:color w:val="000000"/>
                <w:sz w:val="20"/>
                <w:szCs w:val="20"/>
              </w:rPr>
              <w:t>：</w:t>
            </w:r>
            <w:r>
              <w:rPr>
                <w:color w:val="000000"/>
                <w:sz w:val="20"/>
                <w:u w:color="auto"/>
              </w:rPr>
              <w:t>秀山土家族苗族自治县乌杨街道社区卫生服务中心</w:t>
            </w:r>
          </w:p>
        </w:tc>
        <w:tc>
          <w:tcPr>
            <w:tcW w:w="1418" w:type="dxa"/>
            <w:tcBorders>
              <w:top w:val="nil"/>
              <w:left w:val="nil"/>
              <w:bottom w:val="nil"/>
              <w:right w:val="nil"/>
            </w:tcBorders>
            <w:shd w:val="clear" w:color="auto" w:fill="auto"/>
            <w:tcMar>
              <w:top w:w="15" w:type="dxa"/>
              <w:left w:w="15" w:type="dxa"/>
              <w:right w:w="15" w:type="dxa"/>
            </w:tcMar>
            <w:vAlign w:val="bottom"/>
          </w:tcPr>
          <w:p w14:paraId="40D54DAA">
            <w:pPr>
              <w:keepNext w:val="0"/>
              <w:keepLines w:val="0"/>
              <w:pageBreakBefore w:val="0"/>
              <w:widowControl/>
              <w:kinsoku/>
              <w:wordWrap/>
              <w:overflowPunct/>
              <w:topLinePunct w:val="0"/>
              <w:autoSpaceDE/>
              <w:autoSpaceDN/>
              <w:bidi w:val="0"/>
              <w:adjustRightInd/>
              <w:snapToGrid/>
              <w:spacing w:line="200" w:lineRule="exact"/>
              <w:rPr>
                <w:rFonts w:hint="default" w:cs="宋体"/>
                <w:color w:val="000000"/>
                <w:sz w:val="18"/>
                <w:szCs w:val="18"/>
              </w:rPr>
            </w:pPr>
          </w:p>
        </w:tc>
        <w:tc>
          <w:tcPr>
            <w:tcW w:w="873" w:type="dxa"/>
            <w:tcBorders>
              <w:top w:val="nil"/>
              <w:left w:val="nil"/>
              <w:bottom w:val="nil"/>
              <w:right w:val="nil"/>
            </w:tcBorders>
            <w:shd w:val="clear" w:color="auto" w:fill="auto"/>
            <w:tcMar>
              <w:top w:w="15" w:type="dxa"/>
              <w:left w:w="15" w:type="dxa"/>
              <w:right w:w="15" w:type="dxa"/>
            </w:tcMar>
            <w:vAlign w:val="bottom"/>
          </w:tcPr>
          <w:p w14:paraId="1456459E">
            <w:pPr>
              <w:keepNext w:val="0"/>
              <w:keepLines w:val="0"/>
              <w:pageBreakBefore w:val="0"/>
              <w:widowControl/>
              <w:kinsoku/>
              <w:wordWrap/>
              <w:overflowPunct/>
              <w:topLinePunct w:val="0"/>
              <w:autoSpaceDE/>
              <w:autoSpaceDN/>
              <w:bidi w:val="0"/>
              <w:adjustRightInd/>
              <w:snapToGrid/>
              <w:spacing w:line="200" w:lineRule="exact"/>
              <w:rPr>
                <w:rFonts w:hint="default" w:cs="宋体"/>
                <w:color w:val="000000"/>
                <w:sz w:val="18"/>
                <w:szCs w:val="18"/>
              </w:rPr>
            </w:pPr>
          </w:p>
        </w:tc>
        <w:tc>
          <w:tcPr>
            <w:tcW w:w="3463" w:type="dxa"/>
            <w:tcBorders>
              <w:top w:val="nil"/>
              <w:left w:val="nil"/>
              <w:bottom w:val="nil"/>
              <w:right w:val="nil"/>
            </w:tcBorders>
            <w:shd w:val="clear" w:color="auto" w:fill="auto"/>
            <w:tcMar>
              <w:top w:w="15" w:type="dxa"/>
              <w:left w:w="15" w:type="dxa"/>
              <w:right w:w="15" w:type="dxa"/>
            </w:tcMar>
            <w:vAlign w:val="bottom"/>
          </w:tcPr>
          <w:p w14:paraId="6E268766">
            <w:pPr>
              <w:keepNext w:val="0"/>
              <w:keepLines w:val="0"/>
              <w:pageBreakBefore w:val="0"/>
              <w:widowControl/>
              <w:kinsoku/>
              <w:wordWrap/>
              <w:overflowPunct/>
              <w:topLinePunct w:val="0"/>
              <w:autoSpaceDE/>
              <w:autoSpaceDN/>
              <w:bidi w:val="0"/>
              <w:adjustRightInd/>
              <w:snapToGrid/>
              <w:spacing w:line="200" w:lineRule="exact"/>
              <w:rPr>
                <w:rFonts w:hint="default" w:cs="宋体"/>
                <w:color w:val="000000"/>
                <w:sz w:val="18"/>
                <w:szCs w:val="18"/>
              </w:rPr>
            </w:pPr>
          </w:p>
        </w:tc>
        <w:tc>
          <w:tcPr>
            <w:tcW w:w="1492" w:type="dxa"/>
            <w:tcBorders>
              <w:top w:val="nil"/>
              <w:left w:val="nil"/>
              <w:bottom w:val="nil"/>
              <w:right w:val="nil"/>
            </w:tcBorders>
            <w:shd w:val="clear" w:color="auto" w:fill="auto"/>
            <w:tcMar>
              <w:top w:w="15" w:type="dxa"/>
              <w:left w:w="15" w:type="dxa"/>
              <w:right w:w="15" w:type="dxa"/>
            </w:tcMar>
            <w:vAlign w:val="bottom"/>
          </w:tcPr>
          <w:p w14:paraId="57A66B54">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06</w:t>
            </w:r>
            <w:r>
              <w:rPr>
                <w:rFonts w:cs="宋体"/>
                <w:color w:val="000000"/>
                <w:sz w:val="20"/>
                <w:szCs w:val="20"/>
              </w:rPr>
              <w:t>表</w:t>
            </w:r>
          </w:p>
        </w:tc>
      </w:tr>
      <w:tr w14:paraId="43773C87">
        <w:tblPrEx>
          <w:tblCellMar>
            <w:top w:w="0" w:type="dxa"/>
            <w:left w:w="0" w:type="dxa"/>
            <w:bottom w:w="0" w:type="dxa"/>
            <w:right w:w="0" w:type="dxa"/>
          </w:tblCellMar>
        </w:tblPrEx>
        <w:trPr>
          <w:trHeight w:val="520" w:hRule="atLeast"/>
        </w:trPr>
        <w:tc>
          <w:tcPr>
            <w:tcW w:w="8058" w:type="dxa"/>
            <w:gridSpan w:val="5"/>
            <w:vMerge w:val="continue"/>
            <w:tcBorders>
              <w:left w:val="nil"/>
              <w:bottom w:val="nil"/>
              <w:right w:val="nil"/>
            </w:tcBorders>
            <w:shd w:val="clear" w:color="auto" w:fill="auto"/>
            <w:tcMar>
              <w:top w:w="15" w:type="dxa"/>
              <w:left w:w="15" w:type="dxa"/>
              <w:right w:w="15" w:type="dxa"/>
            </w:tcMar>
            <w:vAlign w:val="bottom"/>
          </w:tcPr>
          <w:p w14:paraId="7B0A407C">
            <w:pPr>
              <w:keepNext w:val="0"/>
              <w:keepLines w:val="0"/>
              <w:pageBreakBefore w:val="0"/>
              <w:widowControl/>
              <w:kinsoku/>
              <w:wordWrap/>
              <w:overflowPunct/>
              <w:topLinePunct w:val="0"/>
              <w:autoSpaceDE/>
              <w:autoSpaceDN/>
              <w:bidi w:val="0"/>
              <w:adjustRightInd/>
              <w:snapToGrid/>
              <w:spacing w:line="200" w:lineRule="exact"/>
              <w:rPr>
                <w:rFonts w:hint="default" w:cs="宋体"/>
                <w:color w:val="000000"/>
                <w:sz w:val="18"/>
                <w:szCs w:val="18"/>
              </w:rPr>
            </w:pPr>
          </w:p>
        </w:tc>
        <w:tc>
          <w:tcPr>
            <w:tcW w:w="1418" w:type="dxa"/>
            <w:tcBorders>
              <w:top w:val="nil"/>
              <w:left w:val="nil"/>
              <w:bottom w:val="nil"/>
              <w:right w:val="nil"/>
            </w:tcBorders>
            <w:shd w:val="clear" w:color="auto" w:fill="auto"/>
            <w:tcMar>
              <w:top w:w="15" w:type="dxa"/>
              <w:left w:w="15" w:type="dxa"/>
              <w:right w:w="15" w:type="dxa"/>
            </w:tcMar>
            <w:vAlign w:val="bottom"/>
          </w:tcPr>
          <w:p w14:paraId="6E578D72">
            <w:pPr>
              <w:keepNext w:val="0"/>
              <w:keepLines w:val="0"/>
              <w:pageBreakBefore w:val="0"/>
              <w:widowControl/>
              <w:kinsoku/>
              <w:wordWrap/>
              <w:overflowPunct/>
              <w:topLinePunct w:val="0"/>
              <w:autoSpaceDE/>
              <w:autoSpaceDN/>
              <w:bidi w:val="0"/>
              <w:adjustRightInd/>
              <w:snapToGrid/>
              <w:spacing w:line="200" w:lineRule="exact"/>
              <w:rPr>
                <w:rFonts w:hint="default" w:cs="宋体"/>
                <w:color w:val="000000"/>
                <w:sz w:val="18"/>
                <w:szCs w:val="18"/>
              </w:rPr>
            </w:pPr>
          </w:p>
        </w:tc>
        <w:tc>
          <w:tcPr>
            <w:tcW w:w="873" w:type="dxa"/>
            <w:tcBorders>
              <w:top w:val="nil"/>
              <w:left w:val="nil"/>
              <w:bottom w:val="nil"/>
              <w:right w:val="nil"/>
            </w:tcBorders>
            <w:shd w:val="clear" w:color="auto" w:fill="auto"/>
            <w:tcMar>
              <w:top w:w="15" w:type="dxa"/>
              <w:left w:w="15" w:type="dxa"/>
              <w:right w:w="15" w:type="dxa"/>
            </w:tcMar>
            <w:vAlign w:val="bottom"/>
          </w:tcPr>
          <w:p w14:paraId="116FA801">
            <w:pPr>
              <w:keepNext w:val="0"/>
              <w:keepLines w:val="0"/>
              <w:pageBreakBefore w:val="0"/>
              <w:widowControl/>
              <w:kinsoku/>
              <w:wordWrap/>
              <w:overflowPunct/>
              <w:topLinePunct w:val="0"/>
              <w:autoSpaceDE/>
              <w:autoSpaceDN/>
              <w:bidi w:val="0"/>
              <w:adjustRightInd/>
              <w:snapToGrid/>
              <w:spacing w:line="200" w:lineRule="exact"/>
              <w:rPr>
                <w:rFonts w:hint="default" w:cs="宋体"/>
                <w:color w:val="000000"/>
                <w:sz w:val="18"/>
                <w:szCs w:val="18"/>
              </w:rPr>
            </w:pPr>
          </w:p>
        </w:tc>
        <w:tc>
          <w:tcPr>
            <w:tcW w:w="3463" w:type="dxa"/>
            <w:tcBorders>
              <w:top w:val="nil"/>
              <w:left w:val="nil"/>
              <w:bottom w:val="nil"/>
              <w:right w:val="nil"/>
            </w:tcBorders>
            <w:shd w:val="clear" w:color="auto" w:fill="auto"/>
            <w:tcMar>
              <w:top w:w="15" w:type="dxa"/>
              <w:left w:w="15" w:type="dxa"/>
              <w:right w:w="15" w:type="dxa"/>
            </w:tcMar>
            <w:vAlign w:val="bottom"/>
          </w:tcPr>
          <w:p w14:paraId="5F33EAF1">
            <w:pPr>
              <w:keepNext w:val="0"/>
              <w:keepLines w:val="0"/>
              <w:pageBreakBefore w:val="0"/>
              <w:widowControl/>
              <w:kinsoku/>
              <w:wordWrap/>
              <w:overflowPunct/>
              <w:topLinePunct w:val="0"/>
              <w:autoSpaceDE/>
              <w:autoSpaceDN/>
              <w:bidi w:val="0"/>
              <w:adjustRightInd/>
              <w:snapToGrid/>
              <w:spacing w:line="200" w:lineRule="exact"/>
              <w:rPr>
                <w:rFonts w:hint="default" w:cs="宋体"/>
                <w:color w:val="000000"/>
                <w:sz w:val="18"/>
                <w:szCs w:val="18"/>
              </w:rPr>
            </w:pPr>
          </w:p>
        </w:tc>
        <w:tc>
          <w:tcPr>
            <w:tcW w:w="1492" w:type="dxa"/>
            <w:tcBorders>
              <w:top w:val="nil"/>
              <w:left w:val="nil"/>
              <w:bottom w:val="nil"/>
              <w:right w:val="nil"/>
            </w:tcBorders>
            <w:shd w:val="clear" w:color="auto" w:fill="auto"/>
            <w:tcMar>
              <w:top w:w="15" w:type="dxa"/>
              <w:left w:w="15" w:type="dxa"/>
              <w:right w:w="15" w:type="dxa"/>
            </w:tcMar>
            <w:vAlign w:val="bottom"/>
          </w:tcPr>
          <w:p w14:paraId="6EFB09E1">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7BD72CF2">
        <w:tblPrEx>
          <w:tblCellMar>
            <w:top w:w="0" w:type="dxa"/>
            <w:left w:w="0" w:type="dxa"/>
            <w:bottom w:w="0" w:type="dxa"/>
            <w:right w:w="0" w:type="dxa"/>
          </w:tblCellMar>
        </w:tblPrEx>
        <w:trPr>
          <w:trHeight w:val="90" w:hRule="atLeast"/>
        </w:trPr>
        <w:tc>
          <w:tcPr>
            <w:tcW w:w="51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6055A">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人员经费</w:t>
            </w:r>
          </w:p>
        </w:tc>
        <w:tc>
          <w:tcPr>
            <w:tcW w:w="10151" w:type="dxa"/>
            <w:gridSpan w:val="6"/>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879CC9D">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公用经费</w:t>
            </w:r>
          </w:p>
        </w:tc>
      </w:tr>
      <w:tr w14:paraId="26D7EC05">
        <w:tblPrEx>
          <w:tblCellMar>
            <w:top w:w="0" w:type="dxa"/>
            <w:left w:w="0" w:type="dxa"/>
            <w:bottom w:w="0" w:type="dxa"/>
            <w:right w:w="0" w:type="dxa"/>
          </w:tblCellMar>
        </w:tblPrEx>
        <w:trPr>
          <w:trHeight w:val="312" w:hRule="atLeast"/>
        </w:trPr>
        <w:tc>
          <w:tcPr>
            <w:tcW w:w="80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7538C">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809"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0A6B9C">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54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F6A967">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金额</w:t>
            </w:r>
          </w:p>
        </w:tc>
        <w:tc>
          <w:tcPr>
            <w:tcW w:w="87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D2CEF">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03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EE6CA7">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418"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5F3196">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金额</w:t>
            </w:r>
          </w:p>
        </w:tc>
        <w:tc>
          <w:tcPr>
            <w:tcW w:w="87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CDE39">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46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841AF3">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49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636D67">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金额</w:t>
            </w:r>
          </w:p>
        </w:tc>
      </w:tr>
      <w:tr w14:paraId="6899787D">
        <w:tblPrEx>
          <w:tblCellMar>
            <w:top w:w="0" w:type="dxa"/>
            <w:left w:w="0" w:type="dxa"/>
            <w:bottom w:w="0" w:type="dxa"/>
            <w:right w:w="0" w:type="dxa"/>
          </w:tblCellMar>
        </w:tblPrEx>
        <w:trPr>
          <w:trHeight w:val="312" w:hRule="atLeast"/>
        </w:trPr>
        <w:tc>
          <w:tcPr>
            <w:tcW w:w="80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4ED4A">
            <w:pPr>
              <w:keepNext w:val="0"/>
              <w:keepLines w:val="0"/>
              <w:pageBreakBefore w:val="0"/>
              <w:widowControl/>
              <w:kinsoku/>
              <w:wordWrap/>
              <w:overflowPunct/>
              <w:topLinePunct w:val="0"/>
              <w:autoSpaceDE/>
              <w:autoSpaceDN/>
              <w:bidi w:val="0"/>
              <w:adjustRightInd/>
              <w:snapToGrid/>
              <w:spacing w:line="192" w:lineRule="exact"/>
              <w:jc w:val="center"/>
              <w:rPr>
                <w:rFonts w:hint="default" w:cs="宋体"/>
                <w:b/>
                <w:color w:val="000000"/>
                <w:sz w:val="18"/>
                <w:szCs w:val="18"/>
              </w:rPr>
            </w:pPr>
          </w:p>
        </w:tc>
        <w:tc>
          <w:tcPr>
            <w:tcW w:w="280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B6DBCF">
            <w:pPr>
              <w:keepNext w:val="0"/>
              <w:keepLines w:val="0"/>
              <w:pageBreakBefore w:val="0"/>
              <w:widowControl/>
              <w:kinsoku/>
              <w:wordWrap/>
              <w:overflowPunct/>
              <w:topLinePunct w:val="0"/>
              <w:autoSpaceDE/>
              <w:autoSpaceDN/>
              <w:bidi w:val="0"/>
              <w:adjustRightInd/>
              <w:snapToGrid/>
              <w:spacing w:line="192" w:lineRule="exact"/>
              <w:jc w:val="center"/>
              <w:rPr>
                <w:rFonts w:hint="default" w:cs="宋体"/>
                <w:b/>
                <w:color w:val="000000"/>
                <w:sz w:val="18"/>
                <w:szCs w:val="18"/>
              </w:rPr>
            </w:pPr>
          </w:p>
        </w:tc>
        <w:tc>
          <w:tcPr>
            <w:tcW w:w="154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0D2EF9">
            <w:pPr>
              <w:keepNext w:val="0"/>
              <w:keepLines w:val="0"/>
              <w:pageBreakBefore w:val="0"/>
              <w:widowControl/>
              <w:kinsoku/>
              <w:wordWrap/>
              <w:overflowPunct/>
              <w:topLinePunct w:val="0"/>
              <w:autoSpaceDE/>
              <w:autoSpaceDN/>
              <w:bidi w:val="0"/>
              <w:adjustRightInd/>
              <w:snapToGrid/>
              <w:spacing w:line="192" w:lineRule="exact"/>
              <w:jc w:val="center"/>
              <w:rPr>
                <w:rFonts w:hint="default" w:cs="宋体"/>
                <w:b/>
                <w:color w:val="000000"/>
                <w:sz w:val="18"/>
                <w:szCs w:val="18"/>
              </w:rPr>
            </w:pPr>
          </w:p>
        </w:tc>
        <w:tc>
          <w:tcPr>
            <w:tcW w:w="87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44254">
            <w:pPr>
              <w:keepNext w:val="0"/>
              <w:keepLines w:val="0"/>
              <w:pageBreakBefore w:val="0"/>
              <w:widowControl/>
              <w:kinsoku/>
              <w:wordWrap/>
              <w:overflowPunct/>
              <w:topLinePunct w:val="0"/>
              <w:autoSpaceDE/>
              <w:autoSpaceDN/>
              <w:bidi w:val="0"/>
              <w:adjustRightInd/>
              <w:snapToGrid/>
              <w:spacing w:line="192" w:lineRule="exact"/>
              <w:jc w:val="center"/>
              <w:rPr>
                <w:rFonts w:hint="default" w:cs="宋体"/>
                <w:b/>
                <w:color w:val="000000"/>
                <w:sz w:val="18"/>
                <w:szCs w:val="18"/>
              </w:rPr>
            </w:pPr>
          </w:p>
        </w:tc>
        <w:tc>
          <w:tcPr>
            <w:tcW w:w="203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E6A3CB">
            <w:pPr>
              <w:keepNext w:val="0"/>
              <w:keepLines w:val="0"/>
              <w:pageBreakBefore w:val="0"/>
              <w:widowControl/>
              <w:kinsoku/>
              <w:wordWrap/>
              <w:overflowPunct/>
              <w:topLinePunct w:val="0"/>
              <w:autoSpaceDE/>
              <w:autoSpaceDN/>
              <w:bidi w:val="0"/>
              <w:adjustRightInd/>
              <w:snapToGrid/>
              <w:spacing w:line="192" w:lineRule="exact"/>
              <w:jc w:val="center"/>
              <w:rPr>
                <w:rFonts w:hint="default" w:cs="宋体"/>
                <w:b/>
                <w:color w:val="000000"/>
                <w:sz w:val="18"/>
                <w:szCs w:val="18"/>
              </w:rPr>
            </w:pPr>
          </w:p>
        </w:tc>
        <w:tc>
          <w:tcPr>
            <w:tcW w:w="1418"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1802C6">
            <w:pPr>
              <w:keepNext w:val="0"/>
              <w:keepLines w:val="0"/>
              <w:pageBreakBefore w:val="0"/>
              <w:widowControl/>
              <w:kinsoku/>
              <w:wordWrap/>
              <w:overflowPunct/>
              <w:topLinePunct w:val="0"/>
              <w:autoSpaceDE/>
              <w:autoSpaceDN/>
              <w:bidi w:val="0"/>
              <w:adjustRightInd/>
              <w:snapToGrid/>
              <w:spacing w:line="192" w:lineRule="exact"/>
              <w:jc w:val="center"/>
              <w:rPr>
                <w:rFonts w:hint="default" w:cs="宋体"/>
                <w:b/>
                <w:color w:val="000000"/>
                <w:sz w:val="18"/>
                <w:szCs w:val="18"/>
              </w:rPr>
            </w:pPr>
          </w:p>
        </w:tc>
        <w:tc>
          <w:tcPr>
            <w:tcW w:w="87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B19C2">
            <w:pPr>
              <w:keepNext w:val="0"/>
              <w:keepLines w:val="0"/>
              <w:pageBreakBefore w:val="0"/>
              <w:widowControl/>
              <w:kinsoku/>
              <w:wordWrap/>
              <w:overflowPunct/>
              <w:topLinePunct w:val="0"/>
              <w:autoSpaceDE/>
              <w:autoSpaceDN/>
              <w:bidi w:val="0"/>
              <w:adjustRightInd/>
              <w:snapToGrid/>
              <w:spacing w:line="192" w:lineRule="exact"/>
              <w:jc w:val="center"/>
              <w:rPr>
                <w:rFonts w:hint="default" w:cs="宋体"/>
                <w:b/>
                <w:color w:val="000000"/>
                <w:sz w:val="18"/>
                <w:szCs w:val="18"/>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959DE0">
            <w:pPr>
              <w:keepNext w:val="0"/>
              <w:keepLines w:val="0"/>
              <w:pageBreakBefore w:val="0"/>
              <w:widowControl/>
              <w:kinsoku/>
              <w:wordWrap/>
              <w:overflowPunct/>
              <w:topLinePunct w:val="0"/>
              <w:autoSpaceDE/>
              <w:autoSpaceDN/>
              <w:bidi w:val="0"/>
              <w:adjustRightInd/>
              <w:snapToGrid/>
              <w:spacing w:line="192" w:lineRule="exact"/>
              <w:jc w:val="center"/>
              <w:rPr>
                <w:rFonts w:hint="default" w:cs="宋体"/>
                <w:b/>
                <w:color w:val="000000"/>
                <w:sz w:val="18"/>
                <w:szCs w:val="18"/>
              </w:rPr>
            </w:pPr>
          </w:p>
        </w:tc>
        <w:tc>
          <w:tcPr>
            <w:tcW w:w="149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89105D">
            <w:pPr>
              <w:keepNext w:val="0"/>
              <w:keepLines w:val="0"/>
              <w:pageBreakBefore w:val="0"/>
              <w:widowControl/>
              <w:kinsoku/>
              <w:wordWrap/>
              <w:overflowPunct/>
              <w:topLinePunct w:val="0"/>
              <w:autoSpaceDE/>
              <w:autoSpaceDN/>
              <w:bidi w:val="0"/>
              <w:adjustRightInd/>
              <w:snapToGrid/>
              <w:spacing w:line="192" w:lineRule="exact"/>
              <w:jc w:val="center"/>
              <w:rPr>
                <w:rFonts w:hint="default" w:cs="宋体"/>
                <w:b/>
                <w:color w:val="000000"/>
                <w:sz w:val="18"/>
                <w:szCs w:val="18"/>
              </w:rPr>
            </w:pPr>
          </w:p>
        </w:tc>
      </w:tr>
      <w:tr w14:paraId="4536D18A">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BA86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301</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A68A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工资福利支出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A730B">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372.66</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1738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302</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FEA4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商品和服务支出</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065C1">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D0AA2">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310</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2FFF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资本性支出</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B1333">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E020025">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AE36F">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30101</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5EDA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基本工资</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40E46">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127.35</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DCC4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30201</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1447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办公费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7F37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4A87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31001</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2914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房屋建筑物购建</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DA093">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8783B32">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E11C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30102</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9460C">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津贴补贴</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CCCE9">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15.88</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9920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30202</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0290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印刷费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B0558">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338A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31002</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37C3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办公设备购置</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4C539">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5A54A3B">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2EAB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30103</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DA34F">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奖金</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6ADE1">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C0838F">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30203</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94DA2">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咨询费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D6F62">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F0F2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31003</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E1D8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专用设备购置</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D0E6D">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1AB7309">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EC93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30106</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3959F">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伙食补助费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3FBB5">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1B932">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30204</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42D5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手续费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3DFE7">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369AF">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31005</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F7C8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基础设施建设</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E8F11">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798CBF2">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6415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30107</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2E6D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绩效工资</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47A14">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136.70</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E50D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30205</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7A72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水费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0F7E8">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C1FF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31006</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5454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大型修缮</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A2C3E">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CA25CD3">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D34AF">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30108</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D773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528F9">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27.52</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0C02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30206</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0957C">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电费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B039B">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60D3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31007</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68BB4">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C0D18">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BBB201B">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B71A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30109</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694D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职业年金缴费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D3A95">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35.59</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6915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30207</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EDB94">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邮电费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1D4E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7245F">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31008</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6812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物资储备</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3FFC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1B989AA">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06835">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30110</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2744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3CAD8">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11.67</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453C2">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30208</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E715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取暖费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2B360">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5759C">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31009</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F003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土地补偿</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C1994">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D341022">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C7D2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30111</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CF7B2">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E3424">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5EBF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30209</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D4B3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物业管理费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B0A5E">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F52A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31010</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0477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安置补助</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A4E16">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A64B34C">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5E05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30112</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3BFD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其他社会保障缴费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67B04">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3.95</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B620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30211</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7CC6C">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差旅费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E374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6C032">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31011</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D7DE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33B12">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61947FE">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D6082">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30113</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7C80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住房公积金</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41962">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14.01</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E853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30212</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5955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因公出国（境）费用</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DD5A8">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E44A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31012</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3761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拆迁补偿</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3D620">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1C9E30E">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C734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30114</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615A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医疗费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08D679">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47B0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30213</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83C6F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维修（护）费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165BB">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BF4C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31013</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8228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公务用车购置</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6290B">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63CEAF5">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39B7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30199</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0D835">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其他工资福利支出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4FB0A">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E009F">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30214</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0C14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租赁费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A029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CA69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31019</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72FB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其他交通工具购置</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747B0">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0051F7F">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2C5C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303</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7704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对个人和家庭的补助</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5736D">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9.70</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FD87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30215</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1FF6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会议费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2CB50">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0451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31021</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1843F">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文物和陈列品购置</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6E641">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255F57F">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F264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30301</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C659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离休费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B203A">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6805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30216</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205E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培训费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A8880">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FCD6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31022</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0629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无形资产购置</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D289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CC4F500">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C672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30302</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AA44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退休费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ED073">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42144">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30217</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62FB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公务接待费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14095">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942D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31099</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DBBB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其他资本性支出</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144C51">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8E0C59D">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0E84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30303</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3963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退职（役）费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46EB8">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DA93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30218</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B0C4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专用材料费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48FAF">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B84D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312</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A18E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对企业补助</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58DB1">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18B06F5">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8BF75">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30304</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887D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抚恤金</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12E02">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1EAB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30224</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8EDF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被装购置费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93F2A">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E091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31201</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E743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资本金注入</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14346">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957F11C">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78F6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30305</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00084">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生活补助</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4979F">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3.50</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1E1D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30225</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D79B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专用燃料费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C6AC6">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287F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31203</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C1F0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7C741">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74C7486">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0B55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30306</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726C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救济费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CE7FE">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4CD3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30226</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2BA8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劳务费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84F8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F239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31204</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33F6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费用补贴</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FEC216">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D665D01">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44A05">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30307</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B248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医疗费补助</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304B4">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6.19</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D8C5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30227</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8D4B4">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委托业务费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B447D">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F8F3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31205</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74EC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利息补贴</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562ED">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7DC8ABA">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40C7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30308</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5E12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助学金</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4765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FC5F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30228</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2DAD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工会经费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6F783">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8143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31206</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677EC">
            <w:pPr>
              <w:keepNext w:val="0"/>
              <w:keepLines w:val="0"/>
              <w:pageBreakBefore w:val="0"/>
              <w:widowControl/>
              <w:kinsoku/>
              <w:wordWrap/>
              <w:overflowPunct/>
              <w:topLinePunct w:val="0"/>
              <w:autoSpaceDE/>
              <w:autoSpaceDN/>
              <w:bidi w:val="0"/>
              <w:adjustRightInd/>
              <w:snapToGrid/>
              <w:spacing w:line="192" w:lineRule="exact"/>
              <w:ind w:firstLine="180" w:firstLineChars="100"/>
              <w:textAlignment w:val="center"/>
              <w:rPr>
                <w:rFonts w:hint="default" w:cs="宋体"/>
                <w:color w:val="000000"/>
                <w:sz w:val="18"/>
                <w:szCs w:val="18"/>
              </w:rPr>
            </w:pPr>
            <w:r>
              <w:rPr>
                <w:rFonts w:cs="宋体"/>
                <w:color w:val="000000"/>
                <w:sz w:val="18"/>
                <w:szCs w:val="18"/>
              </w:rPr>
              <w:t>其他资本性补助</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4215D">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D955BB4">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056FC">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30309</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4D2C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奖励金</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70A18">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A34EC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30229</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AFE8C">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福利费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EAD0E">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3F6FC">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31299</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C4F8C">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其他对企业补助</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420C9">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BFA792A">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ACFD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30310</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885D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个人农业生产补贴</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F8751">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CAF82">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30231</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99275">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05A3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A7915">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399</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E22FC">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其他支出</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243EF">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2B32212">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41F7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30311</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D78AF">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代缴社会保险费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AD9FD">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ADB44">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30239</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FE36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其他交通费用</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F7355">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C8BB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39907</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EA97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国家赔偿费用支出</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B77B4">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C4BD03F">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E0EF5">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30399</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F9B8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3D879">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D2B1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30240</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A49FF">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税金及附加费用</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CAAE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2C38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39908</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0B75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568C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96E6E93">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40B68">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F7C3E">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522FB4A">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574A2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30299</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D2C1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F0DE5">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0A3B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39909</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BA835">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经常性赠与</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22DF4">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BC0AADC">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D09F0">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ABF60">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31F7E32">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F9AF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307</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6696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债务利息及费用支出</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3CF87">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A4B8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39910</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3A40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资本性赠与</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642475">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81BDEB8">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23F0F">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0F5E9">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4E8CD25">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B3E2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30701</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1F73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国内债务付息</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1EC0B">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EAA0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39999</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2E1E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其他支出</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78887">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C6BF07C">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4D909">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E5802">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C8638D4">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946F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30702</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9294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国外债务付息</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BC06D">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28C53">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C697B">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D40A8">
            <w:pPr>
              <w:keepNext w:val="0"/>
              <w:keepLines w:val="0"/>
              <w:pageBreakBefore w:val="0"/>
              <w:widowControl/>
              <w:kinsoku/>
              <w:wordWrap/>
              <w:overflowPunct/>
              <w:topLinePunct w:val="0"/>
              <w:autoSpaceDE/>
              <w:autoSpaceDN/>
              <w:bidi w:val="0"/>
              <w:adjustRightInd/>
              <w:snapToGrid/>
              <w:spacing w:line="192" w:lineRule="exact"/>
              <w:jc w:val="right"/>
              <w:rPr>
                <w:rFonts w:hint="default" w:ascii="Times New Roman" w:hAnsi="Times New Roman"/>
                <w:color w:val="000000"/>
                <w:sz w:val="18"/>
                <w:szCs w:val="18"/>
              </w:rPr>
            </w:pPr>
          </w:p>
        </w:tc>
      </w:tr>
      <w:tr w14:paraId="5C2BBE69">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788CD">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5D1F8">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63C3CC0">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5AD1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30703</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3449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国内债务发行费用</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8743F">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892E7">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10F05">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F5D5E">
            <w:pPr>
              <w:keepNext w:val="0"/>
              <w:keepLines w:val="0"/>
              <w:pageBreakBefore w:val="0"/>
              <w:widowControl/>
              <w:kinsoku/>
              <w:wordWrap/>
              <w:overflowPunct/>
              <w:topLinePunct w:val="0"/>
              <w:autoSpaceDE/>
              <w:autoSpaceDN/>
              <w:bidi w:val="0"/>
              <w:adjustRightInd/>
              <w:snapToGrid/>
              <w:spacing w:line="192" w:lineRule="exact"/>
              <w:jc w:val="right"/>
              <w:rPr>
                <w:rFonts w:hint="default" w:ascii="Times New Roman" w:hAnsi="Times New Roman"/>
                <w:color w:val="000000"/>
                <w:sz w:val="18"/>
                <w:szCs w:val="18"/>
              </w:rPr>
            </w:pPr>
          </w:p>
        </w:tc>
      </w:tr>
      <w:tr w14:paraId="23F16741">
        <w:tblPrEx>
          <w:tblCellMar>
            <w:top w:w="0" w:type="dxa"/>
            <w:left w:w="0" w:type="dxa"/>
            <w:bottom w:w="0" w:type="dxa"/>
            <w:right w:w="0" w:type="dxa"/>
          </w:tblCellMar>
        </w:tblPrEx>
        <w:trPr>
          <w:trHeight w:val="155"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48B0C">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F9DC8">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5403F2D">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34D9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30704</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08AE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国外债务发行费用</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23B5B">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D6E51">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3E7FC">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4EDB8">
            <w:pPr>
              <w:keepNext w:val="0"/>
              <w:keepLines w:val="0"/>
              <w:pageBreakBefore w:val="0"/>
              <w:widowControl/>
              <w:kinsoku/>
              <w:wordWrap/>
              <w:overflowPunct/>
              <w:topLinePunct w:val="0"/>
              <w:autoSpaceDE/>
              <w:autoSpaceDN/>
              <w:bidi w:val="0"/>
              <w:adjustRightInd/>
              <w:snapToGrid/>
              <w:spacing w:line="192" w:lineRule="exact"/>
              <w:jc w:val="right"/>
              <w:rPr>
                <w:rFonts w:hint="default" w:ascii="Times New Roman" w:hAnsi="Times New Roman"/>
                <w:color w:val="000000"/>
                <w:sz w:val="18"/>
                <w:szCs w:val="18"/>
              </w:rPr>
            </w:pPr>
          </w:p>
        </w:tc>
      </w:tr>
      <w:tr w14:paraId="00E6B326">
        <w:tblPrEx>
          <w:tblCellMar>
            <w:top w:w="0" w:type="dxa"/>
            <w:left w:w="0" w:type="dxa"/>
            <w:bottom w:w="0" w:type="dxa"/>
            <w:right w:w="0" w:type="dxa"/>
          </w:tblCellMar>
        </w:tblPrEx>
        <w:trPr>
          <w:trHeight w:val="310" w:hRule="atLeast"/>
        </w:trPr>
        <w:tc>
          <w:tcPr>
            <w:tcW w:w="3612"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52506">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人员经费合计</w:t>
            </w:r>
          </w:p>
        </w:tc>
        <w:tc>
          <w:tcPr>
            <w:tcW w:w="154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82C3903">
            <w:pPr>
              <w:keepNext w:val="0"/>
              <w:keepLines w:val="0"/>
              <w:pageBreakBefore w:val="0"/>
              <w:widowControl/>
              <w:kinsoku/>
              <w:wordWrap/>
              <w:overflowPunct/>
              <w:topLinePunct w:val="0"/>
              <w:autoSpaceDE/>
              <w:autoSpaceDN/>
              <w:bidi w:val="0"/>
              <w:adjustRightInd/>
              <w:snapToGrid/>
              <w:spacing w:line="192" w:lineRule="exact"/>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382.36</w:t>
            </w:r>
            <w:r>
              <w:rPr>
                <w:rFonts w:ascii="Times New Roman" w:hAnsi="Times New Roman"/>
                <w:color w:val="000000"/>
                <w:sz w:val="18"/>
                <w:u w:color="auto"/>
              </w:rPr>
              <w:t xml:space="preserve"> </w:t>
            </w:r>
          </w:p>
        </w:tc>
        <w:tc>
          <w:tcPr>
            <w:tcW w:w="8659" w:type="dxa"/>
            <w:gridSpan w:val="5"/>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EAF916">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公用经费合计</w:t>
            </w:r>
          </w:p>
        </w:tc>
        <w:tc>
          <w:tcPr>
            <w:tcW w:w="149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CB8C6D">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bl>
    <w:p w14:paraId="6D8F47AC">
      <w:pPr>
        <w:keepNext w:val="0"/>
        <w:keepLines w:val="0"/>
        <w:pageBreakBefore w:val="0"/>
        <w:widowControl/>
        <w:kinsoku/>
        <w:wordWrap/>
        <w:overflowPunct/>
        <w:topLinePunct w:val="0"/>
        <w:autoSpaceDE/>
        <w:autoSpaceDN/>
        <w:bidi w:val="0"/>
        <w:adjustRightInd/>
        <w:snapToGrid/>
        <w:spacing w:line="280" w:lineRule="exact"/>
        <w:rPr>
          <w:rFonts w:hint="default"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3"/>
        <w:tblW w:w="15322" w:type="dxa"/>
        <w:tblInd w:w="0" w:type="dxa"/>
        <w:tblLayout w:type="fixed"/>
        <w:tblCellMar>
          <w:top w:w="0" w:type="dxa"/>
          <w:left w:w="0" w:type="dxa"/>
          <w:bottom w:w="0" w:type="dxa"/>
          <w:right w:w="0" w:type="dxa"/>
        </w:tblCellMar>
      </w:tblPr>
      <w:tblGrid>
        <w:gridCol w:w="1320"/>
        <w:gridCol w:w="3594"/>
        <w:gridCol w:w="1701"/>
        <w:gridCol w:w="1701"/>
        <w:gridCol w:w="1701"/>
        <w:gridCol w:w="1701"/>
        <w:gridCol w:w="1765"/>
        <w:gridCol w:w="1839"/>
      </w:tblGrid>
      <w:tr w14:paraId="5F96BED7">
        <w:tblPrEx>
          <w:tblCellMar>
            <w:top w:w="0" w:type="dxa"/>
            <w:left w:w="0" w:type="dxa"/>
            <w:bottom w:w="0" w:type="dxa"/>
            <w:right w:w="0" w:type="dxa"/>
          </w:tblCellMar>
        </w:tblPrEx>
        <w:trPr>
          <w:trHeight w:val="64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3E99D128">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14:paraId="5E05F13A">
        <w:tblPrEx>
          <w:tblCellMar>
            <w:top w:w="0" w:type="dxa"/>
            <w:left w:w="0" w:type="dxa"/>
            <w:bottom w:w="0" w:type="dxa"/>
            <w:right w:w="0" w:type="dxa"/>
          </w:tblCellMar>
        </w:tblPrEx>
        <w:trPr>
          <w:trHeight w:val="329" w:hRule="atLeast"/>
        </w:trPr>
        <w:tc>
          <w:tcPr>
            <w:tcW w:w="6615" w:type="dxa"/>
            <w:gridSpan w:val="3"/>
            <w:vMerge w:val="restart"/>
            <w:tcBorders>
              <w:top w:val="nil"/>
              <w:left w:val="nil"/>
              <w:right w:val="nil"/>
            </w:tcBorders>
            <w:shd w:val="clear" w:color="auto" w:fill="auto"/>
            <w:tcMar>
              <w:top w:w="15" w:type="dxa"/>
              <w:left w:w="15" w:type="dxa"/>
              <w:right w:w="15" w:type="dxa"/>
            </w:tcMar>
            <w:vAlign w:val="bottom"/>
          </w:tcPr>
          <w:p w14:paraId="3ACD8BD9">
            <w:pPr>
              <w:keepNext w:val="0"/>
              <w:keepLines w:val="0"/>
              <w:pageBreakBefore w:val="0"/>
              <w:widowControl/>
              <w:kinsoku/>
              <w:wordWrap/>
              <w:overflowPunct/>
              <w:topLinePunct w:val="0"/>
              <w:autoSpaceDE/>
              <w:autoSpaceDN/>
              <w:bidi w:val="0"/>
              <w:adjustRightInd/>
              <w:snapToGrid/>
              <w:spacing w:line="280" w:lineRule="exact"/>
              <w:textAlignment w:val="auto"/>
              <w:rPr>
                <w:rFonts w:hint="default" w:cs="宋体"/>
                <w:color w:val="000000"/>
                <w:sz w:val="20"/>
                <w:szCs w:val="20"/>
              </w:rPr>
            </w:pPr>
            <w:r>
              <w:rPr>
                <w:rFonts w:cs="宋体"/>
                <w:sz w:val="20"/>
                <w:szCs w:val="20"/>
              </w:rPr>
              <w:t>单位</w:t>
            </w:r>
            <w:r>
              <w:rPr>
                <w:rFonts w:cs="宋体"/>
                <w:color w:val="000000"/>
                <w:sz w:val="20"/>
                <w:szCs w:val="20"/>
              </w:rPr>
              <w:t>：</w:t>
            </w:r>
            <w:r>
              <w:rPr>
                <w:color w:val="000000"/>
                <w:sz w:val="20"/>
                <w:u w:color="auto"/>
              </w:rPr>
              <w:t>秀山土家族苗族自治县乌杨街道社区卫生服务中心</w:t>
            </w:r>
          </w:p>
        </w:tc>
        <w:tc>
          <w:tcPr>
            <w:tcW w:w="1701" w:type="dxa"/>
            <w:tcBorders>
              <w:top w:val="nil"/>
              <w:left w:val="nil"/>
              <w:bottom w:val="nil"/>
              <w:right w:val="nil"/>
            </w:tcBorders>
            <w:shd w:val="clear" w:color="auto" w:fill="auto"/>
            <w:tcMar>
              <w:top w:w="15" w:type="dxa"/>
              <w:left w:w="15" w:type="dxa"/>
              <w:right w:w="15" w:type="dxa"/>
            </w:tcMar>
            <w:vAlign w:val="bottom"/>
          </w:tcPr>
          <w:p w14:paraId="100309C5">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321EA2A3">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4243EA93">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6256EA18">
            <w:pPr>
              <w:rPr>
                <w:rFonts w:hint="default" w:cs="宋体"/>
                <w:color w:val="000000"/>
                <w:sz w:val="20"/>
                <w:szCs w:val="20"/>
              </w:rPr>
            </w:pPr>
          </w:p>
        </w:tc>
        <w:tc>
          <w:tcPr>
            <w:tcW w:w="1839" w:type="dxa"/>
            <w:tcBorders>
              <w:top w:val="nil"/>
              <w:left w:val="nil"/>
              <w:bottom w:val="nil"/>
              <w:right w:val="nil"/>
            </w:tcBorders>
            <w:shd w:val="clear" w:color="auto" w:fill="auto"/>
            <w:tcMar>
              <w:top w:w="15" w:type="dxa"/>
              <w:left w:w="15" w:type="dxa"/>
              <w:right w:w="15" w:type="dxa"/>
            </w:tcMar>
            <w:vAlign w:val="bottom"/>
          </w:tcPr>
          <w:p w14:paraId="49F0BDEA">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07</w:t>
            </w:r>
            <w:r>
              <w:rPr>
                <w:rFonts w:cs="宋体"/>
                <w:color w:val="000000"/>
                <w:sz w:val="20"/>
                <w:szCs w:val="20"/>
              </w:rPr>
              <w:t>表</w:t>
            </w:r>
          </w:p>
        </w:tc>
      </w:tr>
      <w:tr w14:paraId="0D956EB6">
        <w:tblPrEx>
          <w:tblCellMar>
            <w:top w:w="0" w:type="dxa"/>
            <w:left w:w="0" w:type="dxa"/>
            <w:bottom w:w="0" w:type="dxa"/>
            <w:right w:w="0" w:type="dxa"/>
          </w:tblCellMar>
        </w:tblPrEx>
        <w:trPr>
          <w:trHeight w:val="329" w:hRule="atLeast"/>
        </w:trPr>
        <w:tc>
          <w:tcPr>
            <w:tcW w:w="6615" w:type="dxa"/>
            <w:gridSpan w:val="3"/>
            <w:vMerge w:val="continue"/>
            <w:tcBorders>
              <w:left w:val="nil"/>
              <w:bottom w:val="nil"/>
              <w:right w:val="nil"/>
            </w:tcBorders>
            <w:shd w:val="clear" w:color="auto" w:fill="auto"/>
            <w:tcMar>
              <w:top w:w="15" w:type="dxa"/>
              <w:left w:w="15" w:type="dxa"/>
              <w:right w:w="15" w:type="dxa"/>
            </w:tcMar>
            <w:vAlign w:val="bottom"/>
          </w:tcPr>
          <w:p w14:paraId="6EA3FDAC">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4221D0C9">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092D9D9B">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796EC082">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7A50ECF5">
            <w:pPr>
              <w:rPr>
                <w:rFonts w:hint="default" w:cs="宋体"/>
                <w:color w:val="000000"/>
                <w:sz w:val="20"/>
                <w:szCs w:val="20"/>
              </w:rPr>
            </w:pPr>
          </w:p>
        </w:tc>
        <w:tc>
          <w:tcPr>
            <w:tcW w:w="1839" w:type="dxa"/>
            <w:tcBorders>
              <w:top w:val="nil"/>
              <w:left w:val="nil"/>
              <w:bottom w:val="nil"/>
              <w:right w:val="nil"/>
            </w:tcBorders>
            <w:shd w:val="clear" w:color="auto" w:fill="auto"/>
            <w:tcMar>
              <w:top w:w="15" w:type="dxa"/>
              <w:left w:w="15" w:type="dxa"/>
              <w:right w:w="15" w:type="dxa"/>
            </w:tcMar>
            <w:vAlign w:val="bottom"/>
          </w:tcPr>
          <w:p w14:paraId="3257F48C">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36B3E09D">
        <w:tblPrEx>
          <w:tblCellMar>
            <w:top w:w="0" w:type="dxa"/>
            <w:left w:w="0" w:type="dxa"/>
            <w:bottom w:w="0" w:type="dxa"/>
            <w:right w:w="0" w:type="dxa"/>
          </w:tblCellMar>
        </w:tblPrEx>
        <w:trPr>
          <w:trHeight w:val="339" w:hRule="atLeast"/>
        </w:trPr>
        <w:tc>
          <w:tcPr>
            <w:tcW w:w="4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85472">
            <w:pPr>
              <w:jc w:val="center"/>
              <w:textAlignment w:val="center"/>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E670709">
            <w:pPr>
              <w:jc w:val="center"/>
              <w:textAlignment w:val="center"/>
              <w:rPr>
                <w:rFonts w:hint="default" w:cs="宋体"/>
                <w:b/>
                <w:color w:val="000000"/>
                <w:sz w:val="20"/>
                <w:szCs w:val="20"/>
              </w:rPr>
            </w:pPr>
            <w:r>
              <w:rPr>
                <w:rFonts w:cs="宋体"/>
                <w:b/>
                <w:color w:val="000000"/>
                <w:sz w:val="20"/>
                <w:szCs w:val="20"/>
              </w:rPr>
              <w:t>年初结转和结余</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F5A6F">
            <w:pPr>
              <w:jc w:val="center"/>
              <w:textAlignment w:val="center"/>
              <w:rPr>
                <w:rFonts w:hint="default" w:cs="宋体"/>
                <w:b/>
                <w:color w:val="000000"/>
                <w:sz w:val="20"/>
                <w:szCs w:val="20"/>
              </w:rPr>
            </w:pPr>
            <w:r>
              <w:rPr>
                <w:rFonts w:cs="宋体"/>
                <w:b/>
                <w:color w:val="000000"/>
                <w:sz w:val="20"/>
                <w:szCs w:val="20"/>
              </w:rPr>
              <w:t>本年收入</w:t>
            </w:r>
          </w:p>
        </w:tc>
        <w:tc>
          <w:tcPr>
            <w:tcW w:w="5167"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0147FD9">
            <w:pPr>
              <w:jc w:val="center"/>
              <w:textAlignment w:val="center"/>
              <w:rPr>
                <w:rFonts w:hint="default" w:cs="宋体"/>
                <w:b/>
                <w:color w:val="000000"/>
                <w:sz w:val="20"/>
                <w:szCs w:val="20"/>
              </w:rPr>
            </w:pPr>
            <w:r>
              <w:rPr>
                <w:rFonts w:cs="宋体"/>
                <w:b/>
                <w:color w:val="000000"/>
                <w:sz w:val="20"/>
                <w:szCs w:val="20"/>
              </w:rPr>
              <w:t>本年支出</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74926">
            <w:pPr>
              <w:jc w:val="center"/>
              <w:textAlignment w:val="center"/>
              <w:rPr>
                <w:rFonts w:hint="default" w:cs="宋体"/>
                <w:b/>
                <w:color w:val="000000"/>
                <w:sz w:val="20"/>
                <w:szCs w:val="20"/>
              </w:rPr>
            </w:pPr>
            <w:r>
              <w:rPr>
                <w:rFonts w:cs="宋体"/>
                <w:b/>
                <w:color w:val="000000"/>
                <w:sz w:val="20"/>
                <w:szCs w:val="20"/>
              </w:rPr>
              <w:t>年末结转和结余</w:t>
            </w:r>
          </w:p>
        </w:tc>
      </w:tr>
      <w:tr w14:paraId="472E2BB9">
        <w:tblPrEx>
          <w:tblCellMar>
            <w:top w:w="0" w:type="dxa"/>
            <w:left w:w="0" w:type="dxa"/>
            <w:bottom w:w="0" w:type="dxa"/>
            <w:right w:w="0" w:type="dxa"/>
          </w:tblCellMar>
        </w:tblPrEx>
        <w:trPr>
          <w:trHeight w:val="335" w:hRule="atLeast"/>
        </w:trPr>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F11E2">
            <w:pPr>
              <w:jc w:val="center"/>
              <w:textAlignment w:val="center"/>
              <w:rPr>
                <w:rFonts w:hint="default" w:cs="宋体"/>
                <w:b/>
                <w:color w:val="000000"/>
                <w:sz w:val="20"/>
                <w:szCs w:val="20"/>
              </w:rPr>
            </w:pPr>
            <w:r>
              <w:rPr>
                <w:rFonts w:cs="宋体"/>
                <w:b/>
                <w:color w:val="000000"/>
                <w:sz w:val="20"/>
                <w:szCs w:val="20"/>
              </w:rPr>
              <w:t>功能分类科目编码</w:t>
            </w:r>
          </w:p>
        </w:tc>
        <w:tc>
          <w:tcPr>
            <w:tcW w:w="35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9E78C">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B7F7102">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BCD8F">
            <w:pPr>
              <w:jc w:val="center"/>
              <w:rPr>
                <w:rFonts w:hint="default" w:cs="宋体"/>
                <w:b/>
                <w:color w:val="000000"/>
                <w:sz w:val="20"/>
                <w:szCs w:val="20"/>
              </w:rPr>
            </w:pP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0CF8FC">
            <w:pPr>
              <w:jc w:val="center"/>
              <w:textAlignment w:val="center"/>
              <w:rPr>
                <w:rFonts w:hint="default" w:cs="宋体"/>
                <w:b/>
                <w:color w:val="000000"/>
                <w:sz w:val="20"/>
                <w:szCs w:val="20"/>
              </w:rPr>
            </w:pPr>
            <w:r>
              <w:rPr>
                <w:rFonts w:cs="宋体"/>
                <w:b/>
                <w:color w:val="000000"/>
                <w:sz w:val="20"/>
                <w:szCs w:val="20"/>
              </w:rPr>
              <w:t>合计</w:t>
            </w: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E1B724">
            <w:pPr>
              <w:jc w:val="center"/>
              <w:textAlignment w:val="center"/>
              <w:rPr>
                <w:rFonts w:hint="default" w:cs="宋体"/>
                <w:b/>
                <w:color w:val="000000"/>
                <w:sz w:val="20"/>
                <w:szCs w:val="20"/>
              </w:rPr>
            </w:pPr>
            <w:r>
              <w:rPr>
                <w:rFonts w:cs="宋体"/>
                <w:b/>
                <w:color w:val="000000"/>
                <w:sz w:val="20"/>
                <w:szCs w:val="20"/>
              </w:rPr>
              <w:t>基本支出</w:t>
            </w:r>
          </w:p>
        </w:tc>
        <w:tc>
          <w:tcPr>
            <w:tcW w:w="176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3EB3BD">
            <w:pPr>
              <w:jc w:val="center"/>
              <w:textAlignment w:val="center"/>
              <w:rPr>
                <w:rFonts w:hint="default" w:cs="宋体"/>
                <w:b/>
                <w:color w:val="000000"/>
                <w:sz w:val="20"/>
                <w:szCs w:val="20"/>
              </w:rPr>
            </w:pPr>
            <w:r>
              <w:rPr>
                <w:rFonts w:cs="宋体"/>
                <w:b/>
                <w:color w:val="000000"/>
                <w:sz w:val="20"/>
                <w:szCs w:val="20"/>
              </w:rPr>
              <w:t>项目支出</w:t>
            </w: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47C58">
            <w:pPr>
              <w:jc w:val="center"/>
              <w:rPr>
                <w:rFonts w:hint="default" w:cs="宋体"/>
                <w:b/>
                <w:color w:val="000000"/>
                <w:sz w:val="20"/>
                <w:szCs w:val="20"/>
              </w:rPr>
            </w:pPr>
          </w:p>
        </w:tc>
      </w:tr>
      <w:tr w14:paraId="0C9EE09A">
        <w:tblPrEx>
          <w:tblCellMar>
            <w:top w:w="0" w:type="dxa"/>
            <w:left w:w="0" w:type="dxa"/>
            <w:bottom w:w="0" w:type="dxa"/>
            <w:right w:w="0" w:type="dxa"/>
          </w:tblCellMar>
        </w:tblPrEx>
        <w:trPr>
          <w:trHeight w:val="335" w:hRule="atLeast"/>
        </w:trPr>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43A21">
            <w:pPr>
              <w:jc w:val="center"/>
              <w:rPr>
                <w:rFonts w:hint="default" w:cs="宋体"/>
                <w:b/>
                <w:color w:val="000000"/>
                <w:sz w:val="20"/>
                <w:szCs w:val="20"/>
              </w:rPr>
            </w:pPr>
          </w:p>
        </w:tc>
        <w:tc>
          <w:tcPr>
            <w:tcW w:w="3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58CA1">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EC872B8">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0E4E1">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9C4260">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B72384">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77D0C9">
            <w:pPr>
              <w:jc w:val="center"/>
              <w:rPr>
                <w:rFonts w:hint="default" w:cs="宋体"/>
                <w:b/>
                <w:color w:val="000000"/>
                <w:sz w:val="20"/>
                <w:szCs w:val="20"/>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15160">
            <w:pPr>
              <w:jc w:val="center"/>
              <w:rPr>
                <w:rFonts w:hint="default" w:cs="宋体"/>
                <w:b/>
                <w:color w:val="000000"/>
                <w:sz w:val="20"/>
                <w:szCs w:val="20"/>
              </w:rPr>
            </w:pPr>
          </w:p>
        </w:tc>
      </w:tr>
      <w:tr w14:paraId="23128646">
        <w:tblPrEx>
          <w:tblCellMar>
            <w:top w:w="0" w:type="dxa"/>
            <w:left w:w="0" w:type="dxa"/>
            <w:bottom w:w="0" w:type="dxa"/>
            <w:right w:w="0" w:type="dxa"/>
          </w:tblCellMar>
        </w:tblPrEx>
        <w:trPr>
          <w:trHeight w:val="645" w:hRule="atLeast"/>
        </w:trPr>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7AC57">
            <w:pPr>
              <w:jc w:val="center"/>
              <w:rPr>
                <w:rFonts w:hint="default" w:cs="宋体"/>
                <w:b/>
                <w:color w:val="000000"/>
                <w:sz w:val="20"/>
                <w:szCs w:val="20"/>
              </w:rPr>
            </w:pPr>
          </w:p>
        </w:tc>
        <w:tc>
          <w:tcPr>
            <w:tcW w:w="3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74899">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5651296">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71B65">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BB6295">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C99FF2">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6B6F47">
            <w:pPr>
              <w:jc w:val="center"/>
              <w:rPr>
                <w:rFonts w:hint="default" w:cs="宋体"/>
                <w:b/>
                <w:color w:val="000000"/>
                <w:sz w:val="20"/>
                <w:szCs w:val="20"/>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6D0DF">
            <w:pPr>
              <w:jc w:val="center"/>
              <w:rPr>
                <w:rFonts w:hint="default" w:cs="宋体"/>
                <w:b/>
                <w:color w:val="000000"/>
                <w:sz w:val="20"/>
                <w:szCs w:val="20"/>
              </w:rPr>
            </w:pPr>
          </w:p>
        </w:tc>
      </w:tr>
      <w:tr w14:paraId="4AA01B18">
        <w:tblPrEx>
          <w:tblCellMar>
            <w:top w:w="0" w:type="dxa"/>
            <w:left w:w="0" w:type="dxa"/>
            <w:bottom w:w="0" w:type="dxa"/>
            <w:right w:w="0" w:type="dxa"/>
          </w:tblCellMar>
        </w:tblPrEx>
        <w:trPr>
          <w:trHeight w:val="339" w:hRule="atLeast"/>
        </w:trPr>
        <w:tc>
          <w:tcPr>
            <w:tcW w:w="4914"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443F1">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9F3DC9">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961E3A">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A04CB4">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B73791">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67DC4A">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8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A53CC0">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17CE5DD1">
        <w:tblPrEx>
          <w:tblCellMar>
            <w:top w:w="0" w:type="dxa"/>
            <w:left w:w="0" w:type="dxa"/>
            <w:bottom w:w="0" w:type="dxa"/>
            <w:right w:w="0" w:type="dxa"/>
          </w:tblCellMar>
        </w:tblPrEx>
        <w:trPr>
          <w:trHeight w:val="349" w:hRule="atLeast"/>
        </w:trPr>
        <w:tc>
          <w:tcPr>
            <w:tcW w:w="132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28B55">
            <w:pPr>
              <w:jc w:val="both"/>
              <w:textAlignment w:val="center"/>
              <w:rPr>
                <w:rFonts w:hint="default" w:cs="宋体"/>
                <w:color w:val="000000"/>
                <w:sz w:val="20"/>
                <w:szCs w:val="20"/>
              </w:rPr>
            </w:pPr>
          </w:p>
        </w:tc>
        <w:tc>
          <w:tcPr>
            <w:tcW w:w="359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87D050">
            <w:pPr>
              <w:jc w:val="both"/>
              <w:textAlignment w:val="center"/>
              <w:rPr>
                <w:rFonts w:hint="default" w:cs="宋体"/>
                <w:color w:val="000000"/>
                <w:sz w:val="20"/>
                <w:szCs w:val="20"/>
              </w:rPr>
            </w:pP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7C235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A3BFD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CEB5B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A655D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2CEC1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8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FDC17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4AEDB159">
      <w:pPr>
        <w:rPr>
          <w:rFonts w:hint="default" w:cs="宋体"/>
          <w:sz w:val="21"/>
          <w:szCs w:val="21"/>
        </w:rPr>
      </w:pPr>
      <w:r>
        <w:rPr>
          <w:rFonts w:cs="宋体"/>
          <w:sz w:val="20"/>
          <w:szCs w:val="20"/>
        </w:rPr>
        <w:t>备注：本表反映单位本年度政府性基金预算财政拨款收入支出及结转和结余情况。本单位无政府性基金收支，故本表无数据。</w:t>
      </w:r>
      <w:r>
        <w:rPr>
          <w:rFonts w:cs="宋体"/>
          <w:sz w:val="20"/>
          <w:szCs w:val="20"/>
        </w:rPr>
        <w:br w:type="textWrapping"/>
      </w:r>
      <w:r>
        <w:rPr>
          <w:rFonts w:cs="宋体"/>
          <w:sz w:val="20"/>
          <w:szCs w:val="20"/>
        </w:rPr>
        <w:br w:type="textWrapping"/>
      </w:r>
    </w:p>
    <w:p w14:paraId="375C46A5">
      <w:pPr>
        <w:rPr>
          <w:rFonts w:hint="default" w:cs="宋体"/>
          <w:sz w:val="21"/>
          <w:szCs w:val="21"/>
        </w:rPr>
      </w:pPr>
      <w:r>
        <w:rPr>
          <w:rFonts w:cs="宋体"/>
          <w:sz w:val="21"/>
          <w:szCs w:val="21"/>
        </w:rPr>
        <w:br w:type="page"/>
      </w:r>
    </w:p>
    <w:tbl>
      <w:tblPr>
        <w:tblStyle w:val="13"/>
        <w:tblW w:w="15322" w:type="dxa"/>
        <w:tblInd w:w="0" w:type="dxa"/>
        <w:tblLayout w:type="fixed"/>
        <w:tblCellMar>
          <w:top w:w="0" w:type="dxa"/>
          <w:left w:w="0" w:type="dxa"/>
          <w:bottom w:w="0" w:type="dxa"/>
          <w:right w:w="0" w:type="dxa"/>
        </w:tblCellMar>
      </w:tblPr>
      <w:tblGrid>
        <w:gridCol w:w="1293"/>
        <w:gridCol w:w="3616"/>
        <w:gridCol w:w="3273"/>
        <w:gridCol w:w="190"/>
        <w:gridCol w:w="3463"/>
        <w:gridCol w:w="86"/>
        <w:gridCol w:w="3401"/>
      </w:tblGrid>
      <w:tr w14:paraId="12ACEEA7">
        <w:tblPrEx>
          <w:tblCellMar>
            <w:top w:w="0" w:type="dxa"/>
            <w:left w:w="0" w:type="dxa"/>
            <w:bottom w:w="0" w:type="dxa"/>
            <w:right w:w="0" w:type="dxa"/>
          </w:tblCellMar>
        </w:tblPrEx>
        <w:trPr>
          <w:trHeight w:val="650" w:hRule="atLeast"/>
        </w:trPr>
        <w:tc>
          <w:tcPr>
            <w:tcW w:w="15322" w:type="dxa"/>
            <w:gridSpan w:val="7"/>
            <w:tcBorders>
              <w:top w:val="nil"/>
              <w:left w:val="nil"/>
              <w:bottom w:val="nil"/>
              <w:right w:val="nil"/>
            </w:tcBorders>
            <w:shd w:val="clear" w:color="auto" w:fill="auto"/>
            <w:tcMar>
              <w:top w:w="15" w:type="dxa"/>
              <w:left w:w="15" w:type="dxa"/>
              <w:right w:w="15" w:type="dxa"/>
            </w:tcMar>
            <w:vAlign w:val="bottom"/>
          </w:tcPr>
          <w:p w14:paraId="7A64DCCD">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14:paraId="63B9923E">
        <w:tblPrEx>
          <w:tblCellMar>
            <w:top w:w="0" w:type="dxa"/>
            <w:left w:w="0" w:type="dxa"/>
            <w:bottom w:w="0" w:type="dxa"/>
            <w:right w:w="0" w:type="dxa"/>
          </w:tblCellMar>
        </w:tblPrEx>
        <w:trPr>
          <w:trHeight w:val="332" w:hRule="atLeast"/>
        </w:trPr>
        <w:tc>
          <w:tcPr>
            <w:tcW w:w="8182" w:type="dxa"/>
            <w:gridSpan w:val="3"/>
            <w:vMerge w:val="restart"/>
            <w:tcBorders>
              <w:top w:val="nil"/>
              <w:left w:val="nil"/>
              <w:right w:val="nil"/>
            </w:tcBorders>
            <w:shd w:val="clear" w:color="auto" w:fill="auto"/>
            <w:tcMar>
              <w:top w:w="15" w:type="dxa"/>
              <w:left w:w="15" w:type="dxa"/>
              <w:right w:w="15" w:type="dxa"/>
            </w:tcMar>
            <w:vAlign w:val="bottom"/>
          </w:tcPr>
          <w:p w14:paraId="1C8D2834">
            <w:pPr>
              <w:keepNext w:val="0"/>
              <w:keepLines w:val="0"/>
              <w:pageBreakBefore w:val="0"/>
              <w:widowControl/>
              <w:kinsoku/>
              <w:wordWrap/>
              <w:overflowPunct/>
              <w:topLinePunct w:val="0"/>
              <w:autoSpaceDE/>
              <w:autoSpaceDN/>
              <w:bidi w:val="0"/>
              <w:adjustRightInd/>
              <w:snapToGrid/>
              <w:spacing w:line="280" w:lineRule="exact"/>
              <w:textAlignment w:val="auto"/>
              <w:rPr>
                <w:rFonts w:hint="default" w:cs="宋体"/>
                <w:color w:val="000000"/>
                <w:sz w:val="20"/>
                <w:szCs w:val="20"/>
              </w:rPr>
            </w:pPr>
            <w:r>
              <w:rPr>
                <w:rFonts w:cs="宋体"/>
                <w:sz w:val="20"/>
                <w:szCs w:val="20"/>
              </w:rPr>
              <w:t>单位</w:t>
            </w:r>
            <w:r>
              <w:rPr>
                <w:rFonts w:cs="宋体"/>
                <w:color w:val="000000"/>
                <w:sz w:val="20"/>
                <w:szCs w:val="20"/>
              </w:rPr>
              <w:t>：</w:t>
            </w:r>
            <w:r>
              <w:rPr>
                <w:color w:val="000000"/>
                <w:sz w:val="20"/>
                <w:u w:color="auto"/>
              </w:rPr>
              <w:t>秀山土家族苗族自治县乌杨街道社区卫生服务中心</w:t>
            </w: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2DFC29A7">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62340B97">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08</w:t>
            </w:r>
            <w:r>
              <w:rPr>
                <w:rFonts w:cs="宋体"/>
                <w:color w:val="000000"/>
                <w:sz w:val="20"/>
                <w:szCs w:val="20"/>
              </w:rPr>
              <w:t>表</w:t>
            </w:r>
          </w:p>
        </w:tc>
      </w:tr>
      <w:tr w14:paraId="1BA196A6">
        <w:tblPrEx>
          <w:tblCellMar>
            <w:top w:w="0" w:type="dxa"/>
            <w:left w:w="0" w:type="dxa"/>
            <w:bottom w:w="0" w:type="dxa"/>
            <w:right w:w="0" w:type="dxa"/>
          </w:tblCellMar>
        </w:tblPrEx>
        <w:trPr>
          <w:trHeight w:val="332" w:hRule="atLeast"/>
        </w:trPr>
        <w:tc>
          <w:tcPr>
            <w:tcW w:w="8182" w:type="dxa"/>
            <w:gridSpan w:val="3"/>
            <w:vMerge w:val="continue"/>
            <w:tcBorders>
              <w:left w:val="nil"/>
              <w:bottom w:val="nil"/>
              <w:right w:val="nil"/>
            </w:tcBorders>
            <w:shd w:val="clear" w:color="auto" w:fill="auto"/>
            <w:tcMar>
              <w:top w:w="15" w:type="dxa"/>
              <w:left w:w="15" w:type="dxa"/>
              <w:right w:w="15" w:type="dxa"/>
            </w:tcMar>
            <w:vAlign w:val="bottom"/>
          </w:tcPr>
          <w:p w14:paraId="3A5C002B">
            <w:pPr>
              <w:rPr>
                <w:rFonts w:hint="default" w:cs="宋体"/>
                <w:color w:val="000000"/>
                <w:sz w:val="20"/>
                <w:szCs w:val="20"/>
              </w:rPr>
            </w:pP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1CD419CC">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0CAD93F5">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7FDB1E27">
        <w:tblPrEx>
          <w:tblCellMar>
            <w:top w:w="0" w:type="dxa"/>
            <w:left w:w="0" w:type="dxa"/>
            <w:bottom w:w="0" w:type="dxa"/>
            <w:right w:w="0" w:type="dxa"/>
          </w:tblCellMar>
        </w:tblPrEx>
        <w:trPr>
          <w:trHeight w:val="422" w:hRule="atLeast"/>
        </w:trPr>
        <w:tc>
          <w:tcPr>
            <w:tcW w:w="49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983E117">
            <w:pPr>
              <w:jc w:val="center"/>
              <w:textAlignment w:val="bottom"/>
              <w:rPr>
                <w:rFonts w:hint="default" w:cs="宋体"/>
                <w:b/>
                <w:color w:val="000000"/>
                <w:sz w:val="20"/>
                <w:szCs w:val="20"/>
              </w:rPr>
            </w:pPr>
            <w:r>
              <w:rPr>
                <w:rFonts w:cs="宋体"/>
                <w:b/>
                <w:color w:val="000000"/>
                <w:sz w:val="20"/>
                <w:szCs w:val="20"/>
              </w:rPr>
              <w:t>项目</w:t>
            </w:r>
          </w:p>
        </w:tc>
        <w:tc>
          <w:tcPr>
            <w:tcW w:w="1041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76EB0D1">
            <w:pPr>
              <w:jc w:val="center"/>
              <w:textAlignment w:val="bottom"/>
              <w:rPr>
                <w:rFonts w:hint="default" w:cs="宋体"/>
                <w:b/>
                <w:color w:val="000000"/>
                <w:sz w:val="20"/>
                <w:szCs w:val="20"/>
              </w:rPr>
            </w:pPr>
            <w:r>
              <w:rPr>
                <w:rFonts w:cs="宋体"/>
                <w:b/>
                <w:color w:val="000000"/>
                <w:sz w:val="20"/>
                <w:szCs w:val="20"/>
              </w:rPr>
              <w:t>本年支出</w:t>
            </w:r>
          </w:p>
        </w:tc>
      </w:tr>
      <w:tr w14:paraId="2DFA2FC8">
        <w:tblPrEx>
          <w:tblCellMar>
            <w:top w:w="0" w:type="dxa"/>
            <w:left w:w="0" w:type="dxa"/>
            <w:bottom w:w="0" w:type="dxa"/>
            <w:right w:w="0" w:type="dxa"/>
          </w:tblCellMar>
        </w:tblPrEx>
        <w:trPr>
          <w:trHeight w:val="339" w:hRule="atLeast"/>
        </w:trPr>
        <w:tc>
          <w:tcPr>
            <w:tcW w:w="129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55CD">
            <w:pPr>
              <w:jc w:val="center"/>
              <w:textAlignment w:val="center"/>
              <w:rPr>
                <w:rFonts w:hint="default" w:cs="宋体"/>
                <w:b/>
                <w:color w:val="000000"/>
                <w:sz w:val="20"/>
                <w:szCs w:val="20"/>
              </w:rPr>
            </w:pPr>
            <w:r>
              <w:rPr>
                <w:rFonts w:cs="宋体"/>
                <w:b/>
                <w:color w:val="000000"/>
                <w:sz w:val="20"/>
                <w:szCs w:val="20"/>
              </w:rPr>
              <w:t>功能分类科目编码</w:t>
            </w:r>
          </w:p>
        </w:tc>
        <w:tc>
          <w:tcPr>
            <w:tcW w:w="361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22F6C9">
            <w:pPr>
              <w:jc w:val="center"/>
              <w:textAlignment w:val="center"/>
              <w:rPr>
                <w:rFonts w:hint="default" w:cs="宋体"/>
                <w:b/>
                <w:color w:val="000000"/>
                <w:sz w:val="20"/>
                <w:szCs w:val="20"/>
              </w:rPr>
            </w:pPr>
            <w:r>
              <w:rPr>
                <w:rFonts w:cs="宋体"/>
                <w:b/>
                <w:color w:val="000000"/>
                <w:sz w:val="20"/>
                <w:szCs w:val="20"/>
              </w:rPr>
              <w:t>科目名称</w:t>
            </w:r>
          </w:p>
        </w:tc>
        <w:tc>
          <w:tcPr>
            <w:tcW w:w="3463" w:type="dxa"/>
            <w:gridSpan w:val="2"/>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D4C50">
            <w:pPr>
              <w:jc w:val="center"/>
              <w:textAlignment w:val="center"/>
              <w:rPr>
                <w:rFonts w:hint="default" w:cs="宋体"/>
                <w:b/>
                <w:color w:val="000000"/>
                <w:sz w:val="20"/>
                <w:szCs w:val="20"/>
              </w:rPr>
            </w:pPr>
            <w:r>
              <w:rPr>
                <w:rFonts w:cs="宋体"/>
                <w:b/>
                <w:color w:val="000000"/>
                <w:sz w:val="20"/>
                <w:szCs w:val="20"/>
              </w:rPr>
              <w:t>合计</w:t>
            </w:r>
          </w:p>
        </w:tc>
        <w:tc>
          <w:tcPr>
            <w:tcW w:w="346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1DF304">
            <w:pPr>
              <w:jc w:val="center"/>
              <w:textAlignment w:val="center"/>
              <w:rPr>
                <w:rFonts w:hint="default" w:cs="宋体"/>
                <w:b/>
                <w:color w:val="000000"/>
                <w:sz w:val="20"/>
                <w:szCs w:val="20"/>
              </w:rPr>
            </w:pPr>
            <w:r>
              <w:rPr>
                <w:rFonts w:cs="宋体"/>
                <w:b/>
                <w:color w:val="000000"/>
                <w:sz w:val="20"/>
                <w:szCs w:val="20"/>
              </w:rPr>
              <w:t>基本支出</w:t>
            </w:r>
          </w:p>
        </w:tc>
        <w:tc>
          <w:tcPr>
            <w:tcW w:w="3487"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081EAB">
            <w:pPr>
              <w:jc w:val="center"/>
              <w:textAlignment w:val="center"/>
              <w:rPr>
                <w:rFonts w:hint="default" w:cs="宋体"/>
                <w:b/>
                <w:color w:val="000000"/>
                <w:sz w:val="20"/>
                <w:szCs w:val="20"/>
              </w:rPr>
            </w:pPr>
            <w:r>
              <w:rPr>
                <w:rFonts w:cs="宋体"/>
                <w:b/>
                <w:color w:val="000000"/>
                <w:sz w:val="20"/>
                <w:szCs w:val="20"/>
              </w:rPr>
              <w:t>项目支出</w:t>
            </w:r>
          </w:p>
        </w:tc>
      </w:tr>
      <w:tr w14:paraId="2379814E">
        <w:tblPrEx>
          <w:tblCellMar>
            <w:top w:w="0" w:type="dxa"/>
            <w:left w:w="0" w:type="dxa"/>
            <w:bottom w:w="0" w:type="dxa"/>
            <w:right w:w="0" w:type="dxa"/>
          </w:tblCellMar>
        </w:tblPrEx>
        <w:trPr>
          <w:trHeight w:val="339" w:hRule="atLeast"/>
        </w:trPr>
        <w:tc>
          <w:tcPr>
            <w:tcW w:w="129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619BB">
            <w:pPr>
              <w:jc w:val="center"/>
              <w:rPr>
                <w:rFonts w:hint="default" w:cs="宋体"/>
                <w:b/>
                <w:color w:val="000000"/>
                <w:sz w:val="20"/>
                <w:szCs w:val="20"/>
              </w:rPr>
            </w:pPr>
          </w:p>
        </w:tc>
        <w:tc>
          <w:tcPr>
            <w:tcW w:w="361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AFE750">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43569">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C14A47">
            <w:pPr>
              <w:jc w:val="center"/>
              <w:rPr>
                <w:rFonts w:hint="default" w:cs="宋体"/>
                <w:b/>
                <w:color w:val="000000"/>
                <w:sz w:val="20"/>
                <w:szCs w:val="20"/>
              </w:rPr>
            </w:pPr>
          </w:p>
        </w:tc>
        <w:tc>
          <w:tcPr>
            <w:tcW w:w="3487"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557829">
            <w:pPr>
              <w:jc w:val="center"/>
              <w:rPr>
                <w:rFonts w:hint="default" w:cs="宋体"/>
                <w:b/>
                <w:color w:val="000000"/>
                <w:sz w:val="20"/>
                <w:szCs w:val="20"/>
              </w:rPr>
            </w:pPr>
          </w:p>
        </w:tc>
      </w:tr>
      <w:tr w14:paraId="6B17E2F2">
        <w:tblPrEx>
          <w:tblCellMar>
            <w:top w:w="0" w:type="dxa"/>
            <w:left w:w="0" w:type="dxa"/>
            <w:bottom w:w="0" w:type="dxa"/>
            <w:right w:w="0" w:type="dxa"/>
          </w:tblCellMar>
        </w:tblPrEx>
        <w:trPr>
          <w:trHeight w:val="339" w:hRule="atLeast"/>
        </w:trPr>
        <w:tc>
          <w:tcPr>
            <w:tcW w:w="129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3C3D7">
            <w:pPr>
              <w:jc w:val="center"/>
              <w:rPr>
                <w:rFonts w:hint="default" w:cs="宋体"/>
                <w:b/>
                <w:color w:val="000000"/>
                <w:sz w:val="20"/>
                <w:szCs w:val="20"/>
              </w:rPr>
            </w:pPr>
          </w:p>
        </w:tc>
        <w:tc>
          <w:tcPr>
            <w:tcW w:w="361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2D1357">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A8A57">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A62695">
            <w:pPr>
              <w:jc w:val="center"/>
              <w:rPr>
                <w:rFonts w:hint="default" w:cs="宋体"/>
                <w:b/>
                <w:color w:val="000000"/>
                <w:sz w:val="20"/>
                <w:szCs w:val="20"/>
              </w:rPr>
            </w:pPr>
          </w:p>
        </w:tc>
        <w:tc>
          <w:tcPr>
            <w:tcW w:w="3487"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997EFD">
            <w:pPr>
              <w:jc w:val="center"/>
              <w:rPr>
                <w:rFonts w:hint="default" w:cs="宋体"/>
                <w:b/>
                <w:color w:val="000000"/>
                <w:sz w:val="20"/>
                <w:szCs w:val="20"/>
              </w:rPr>
            </w:pPr>
          </w:p>
        </w:tc>
      </w:tr>
      <w:tr w14:paraId="10CECF70">
        <w:tblPrEx>
          <w:tblCellMar>
            <w:top w:w="0" w:type="dxa"/>
            <w:left w:w="0" w:type="dxa"/>
            <w:bottom w:w="0" w:type="dxa"/>
            <w:right w:w="0" w:type="dxa"/>
          </w:tblCellMar>
        </w:tblPrEx>
        <w:trPr>
          <w:trHeight w:val="326" w:hRule="atLeast"/>
        </w:trPr>
        <w:tc>
          <w:tcPr>
            <w:tcW w:w="129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D0FE5">
            <w:pPr>
              <w:jc w:val="center"/>
              <w:rPr>
                <w:rFonts w:hint="default" w:cs="宋体"/>
                <w:b/>
                <w:color w:val="000000"/>
                <w:sz w:val="20"/>
                <w:szCs w:val="20"/>
              </w:rPr>
            </w:pPr>
          </w:p>
        </w:tc>
        <w:tc>
          <w:tcPr>
            <w:tcW w:w="361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371FA1">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447DD">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2B2441">
            <w:pPr>
              <w:jc w:val="center"/>
              <w:rPr>
                <w:rFonts w:hint="default" w:cs="宋体"/>
                <w:b/>
                <w:color w:val="000000"/>
                <w:sz w:val="20"/>
                <w:szCs w:val="20"/>
              </w:rPr>
            </w:pPr>
          </w:p>
        </w:tc>
        <w:tc>
          <w:tcPr>
            <w:tcW w:w="3487"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CAA5FD">
            <w:pPr>
              <w:jc w:val="center"/>
              <w:rPr>
                <w:rFonts w:hint="default" w:cs="宋体"/>
                <w:b/>
                <w:color w:val="000000"/>
                <w:sz w:val="20"/>
                <w:szCs w:val="20"/>
              </w:rPr>
            </w:pPr>
          </w:p>
        </w:tc>
      </w:tr>
      <w:tr w14:paraId="646905BA">
        <w:tblPrEx>
          <w:tblCellMar>
            <w:top w:w="0" w:type="dxa"/>
            <w:left w:w="0" w:type="dxa"/>
            <w:bottom w:w="0" w:type="dxa"/>
            <w:right w:w="0" w:type="dxa"/>
          </w:tblCellMar>
        </w:tblPrEx>
        <w:trPr>
          <w:trHeight w:val="611" w:hRule="atLeast"/>
        </w:trPr>
        <w:tc>
          <w:tcPr>
            <w:tcW w:w="49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23E26">
            <w:pPr>
              <w:jc w:val="center"/>
              <w:textAlignment w:val="center"/>
              <w:rPr>
                <w:rFonts w:hint="default" w:cs="宋体"/>
                <w:b/>
                <w:color w:val="000000"/>
                <w:sz w:val="20"/>
                <w:szCs w:val="20"/>
              </w:rPr>
            </w:pPr>
            <w:r>
              <w:rPr>
                <w:rFonts w:cs="宋体"/>
                <w:b/>
                <w:color w:val="000000"/>
                <w:sz w:val="20"/>
                <w:szCs w:val="20"/>
              </w:rPr>
              <w:t>合计</w:t>
            </w: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312687">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978CD7">
            <w:pPr>
              <w:jc w:val="right"/>
              <w:rPr>
                <w:rFonts w:hint="default" w:ascii="Times New Roman" w:hAnsi="Times New Roman"/>
                <w:b/>
                <w:color w:val="000000"/>
                <w:sz w:val="20"/>
                <w:szCs w:val="20"/>
              </w:rPr>
            </w:pPr>
          </w:p>
        </w:tc>
        <w:tc>
          <w:tcPr>
            <w:tcW w:w="348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934906">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4F87A4B3">
        <w:tblPrEx>
          <w:tblCellMar>
            <w:top w:w="0" w:type="dxa"/>
            <w:left w:w="0" w:type="dxa"/>
            <w:bottom w:w="0" w:type="dxa"/>
            <w:right w:w="0" w:type="dxa"/>
          </w:tblCellMar>
        </w:tblPrEx>
        <w:trPr>
          <w:trHeight w:val="488" w:hRule="atLeast"/>
        </w:trPr>
        <w:tc>
          <w:tcPr>
            <w:tcW w:w="129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4F15D">
            <w:pPr>
              <w:textAlignment w:val="center"/>
              <w:rPr>
                <w:rFonts w:hint="default" w:cs="宋体"/>
                <w:color w:val="000000"/>
                <w:sz w:val="20"/>
                <w:szCs w:val="20"/>
              </w:rPr>
            </w:pPr>
          </w:p>
        </w:tc>
        <w:tc>
          <w:tcPr>
            <w:tcW w:w="36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B791CF">
            <w:pPr>
              <w:textAlignment w:val="center"/>
              <w:rPr>
                <w:rFonts w:hint="default" w:cs="宋体"/>
                <w:color w:val="000000"/>
                <w:sz w:val="20"/>
                <w:szCs w:val="20"/>
              </w:rPr>
            </w:pP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1FC46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C166E8">
            <w:pPr>
              <w:jc w:val="right"/>
              <w:rPr>
                <w:rFonts w:hint="default" w:ascii="Times New Roman" w:hAnsi="Times New Roman"/>
                <w:b/>
                <w:color w:val="000000"/>
                <w:sz w:val="20"/>
                <w:szCs w:val="20"/>
              </w:rPr>
            </w:pPr>
          </w:p>
        </w:tc>
        <w:tc>
          <w:tcPr>
            <w:tcW w:w="348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55CFC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r>
    </w:tbl>
    <w:p w14:paraId="4314FC34">
      <w:pPr>
        <w:rPr>
          <w:rFonts w:hint="default" w:cs="宋体"/>
          <w:sz w:val="21"/>
          <w:szCs w:val="21"/>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p>
    <w:p w14:paraId="03B1DA19">
      <w:pPr>
        <w:rPr>
          <w:rFonts w:hint="default" w:cs="宋体"/>
          <w:sz w:val="21"/>
          <w:szCs w:val="21"/>
        </w:rPr>
      </w:pPr>
      <w:r>
        <w:rPr>
          <w:rFonts w:hint="default" w:cs="宋体"/>
          <w:sz w:val="21"/>
          <w:szCs w:val="21"/>
        </w:rPr>
        <w:br w:type="page"/>
      </w:r>
    </w:p>
    <w:tbl>
      <w:tblPr>
        <w:tblStyle w:val="13"/>
        <w:tblW w:w="14131" w:type="dxa"/>
        <w:tblInd w:w="0" w:type="dxa"/>
        <w:tblLayout w:type="fixed"/>
        <w:tblCellMar>
          <w:top w:w="0" w:type="dxa"/>
          <w:left w:w="170" w:type="dxa"/>
          <w:bottom w:w="0" w:type="dxa"/>
          <w:right w:w="170" w:type="dxa"/>
        </w:tblCellMar>
      </w:tblPr>
      <w:tblGrid>
        <w:gridCol w:w="3179"/>
        <w:gridCol w:w="2416"/>
        <w:gridCol w:w="2375"/>
        <w:gridCol w:w="3674"/>
        <w:gridCol w:w="2487"/>
      </w:tblGrid>
      <w:tr w14:paraId="0D136C25">
        <w:tblPrEx>
          <w:tblCellMar>
            <w:top w:w="0" w:type="dxa"/>
            <w:left w:w="170" w:type="dxa"/>
            <w:bottom w:w="0" w:type="dxa"/>
            <w:right w:w="170" w:type="dxa"/>
          </w:tblCellMar>
        </w:tblPrEx>
        <w:trPr>
          <w:trHeight w:val="343" w:hRule="atLeast"/>
        </w:trPr>
        <w:tc>
          <w:tcPr>
            <w:tcW w:w="14131" w:type="dxa"/>
            <w:gridSpan w:val="5"/>
            <w:shd w:val="clear" w:color="auto" w:fill="auto"/>
            <w:tcMar>
              <w:top w:w="15" w:type="dxa"/>
              <w:left w:w="15" w:type="dxa"/>
              <w:right w:w="15" w:type="dxa"/>
            </w:tcMar>
            <w:vAlign w:val="bottom"/>
          </w:tcPr>
          <w:p w14:paraId="475BC756">
            <w:pPr>
              <w:spacing w:line="400" w:lineRule="exact"/>
              <w:jc w:val="center"/>
              <w:textAlignment w:val="bottom"/>
              <w:rPr>
                <w:rFonts w:hint="default" w:cs="宋体"/>
                <w:b/>
                <w:color w:val="000000"/>
                <w:kern w:val="2"/>
                <w:sz w:val="32"/>
                <w:szCs w:val="32"/>
              </w:rPr>
            </w:pPr>
            <w:r>
              <w:rPr>
                <w:rFonts w:cs="宋体"/>
                <w:b/>
                <w:color w:val="000000"/>
                <w:kern w:val="2"/>
                <w:sz w:val="32"/>
                <w:szCs w:val="32"/>
              </w:rPr>
              <w:t>机构运行信息表</w:t>
            </w:r>
          </w:p>
        </w:tc>
      </w:tr>
      <w:tr w14:paraId="239819D8">
        <w:tblPrEx>
          <w:tblCellMar>
            <w:top w:w="0" w:type="dxa"/>
            <w:left w:w="170" w:type="dxa"/>
            <w:bottom w:w="0" w:type="dxa"/>
            <w:right w:w="170" w:type="dxa"/>
          </w:tblCellMar>
        </w:tblPrEx>
        <w:trPr>
          <w:trHeight w:val="244" w:hRule="atLeast"/>
        </w:trPr>
        <w:tc>
          <w:tcPr>
            <w:tcW w:w="3179" w:type="dxa"/>
            <w:shd w:val="clear" w:color="auto" w:fill="auto"/>
            <w:tcMar>
              <w:top w:w="15" w:type="dxa"/>
              <w:left w:w="15" w:type="dxa"/>
              <w:right w:w="15" w:type="dxa"/>
            </w:tcMar>
            <w:vAlign w:val="bottom"/>
          </w:tcPr>
          <w:p w14:paraId="51FC1C90">
            <w:pPr>
              <w:spacing w:line="280" w:lineRule="exact"/>
              <w:rPr>
                <w:rFonts w:hint="default" w:cs="宋体"/>
                <w:color w:val="000000"/>
                <w:kern w:val="2"/>
                <w:sz w:val="20"/>
                <w:szCs w:val="20"/>
              </w:rPr>
            </w:pPr>
          </w:p>
        </w:tc>
        <w:tc>
          <w:tcPr>
            <w:tcW w:w="2416" w:type="dxa"/>
            <w:shd w:val="clear" w:color="auto" w:fill="auto"/>
            <w:tcMar>
              <w:top w:w="15" w:type="dxa"/>
              <w:left w:w="15" w:type="dxa"/>
              <w:right w:w="15" w:type="dxa"/>
            </w:tcMar>
            <w:vAlign w:val="bottom"/>
          </w:tcPr>
          <w:p w14:paraId="262567AC">
            <w:pPr>
              <w:spacing w:line="280" w:lineRule="exact"/>
              <w:jc w:val="center"/>
              <w:rPr>
                <w:rFonts w:hint="default" w:cs="宋体"/>
                <w:color w:val="000000"/>
                <w:kern w:val="2"/>
                <w:sz w:val="20"/>
                <w:szCs w:val="20"/>
              </w:rPr>
            </w:pPr>
          </w:p>
        </w:tc>
        <w:tc>
          <w:tcPr>
            <w:tcW w:w="2375" w:type="dxa"/>
            <w:shd w:val="clear" w:color="auto" w:fill="auto"/>
            <w:tcMar>
              <w:top w:w="15" w:type="dxa"/>
              <w:left w:w="15" w:type="dxa"/>
              <w:right w:w="15" w:type="dxa"/>
            </w:tcMar>
            <w:vAlign w:val="bottom"/>
          </w:tcPr>
          <w:p w14:paraId="6F87BAB5">
            <w:pPr>
              <w:spacing w:line="280" w:lineRule="exact"/>
              <w:jc w:val="right"/>
              <w:rPr>
                <w:rFonts w:hint="default" w:cs="宋体"/>
                <w:color w:val="000000"/>
                <w:kern w:val="2"/>
                <w:sz w:val="20"/>
                <w:szCs w:val="20"/>
              </w:rPr>
            </w:pPr>
          </w:p>
        </w:tc>
        <w:tc>
          <w:tcPr>
            <w:tcW w:w="3674" w:type="dxa"/>
            <w:shd w:val="clear" w:color="auto" w:fill="auto"/>
            <w:tcMar>
              <w:top w:w="15" w:type="dxa"/>
              <w:left w:w="15" w:type="dxa"/>
              <w:right w:w="15" w:type="dxa"/>
            </w:tcMar>
            <w:vAlign w:val="bottom"/>
          </w:tcPr>
          <w:p w14:paraId="68743876">
            <w:pPr>
              <w:spacing w:line="280" w:lineRule="exact"/>
              <w:rPr>
                <w:rFonts w:hint="default" w:cs="宋体"/>
                <w:color w:val="000000"/>
                <w:kern w:val="2"/>
                <w:sz w:val="20"/>
                <w:szCs w:val="20"/>
              </w:rPr>
            </w:pPr>
          </w:p>
        </w:tc>
        <w:tc>
          <w:tcPr>
            <w:tcW w:w="2487" w:type="dxa"/>
            <w:shd w:val="clear" w:color="auto" w:fill="auto"/>
            <w:tcMar>
              <w:top w:w="15" w:type="dxa"/>
              <w:left w:w="15" w:type="dxa"/>
              <w:right w:w="15" w:type="dxa"/>
            </w:tcMar>
            <w:vAlign w:val="bottom"/>
          </w:tcPr>
          <w:p w14:paraId="40D8A8BA">
            <w:pPr>
              <w:spacing w:line="280" w:lineRule="exact"/>
              <w:jc w:val="right"/>
              <w:textAlignment w:val="bottom"/>
              <w:rPr>
                <w:rFonts w:hint="default" w:cs="宋体"/>
                <w:color w:val="000000"/>
                <w:kern w:val="2"/>
                <w:sz w:val="20"/>
                <w:szCs w:val="20"/>
              </w:rPr>
            </w:pPr>
            <w:r>
              <w:rPr>
                <w:rFonts w:cs="宋体"/>
                <w:color w:val="000000"/>
                <w:kern w:val="2"/>
                <w:sz w:val="20"/>
                <w:szCs w:val="20"/>
              </w:rPr>
              <w:t>公开</w:t>
            </w:r>
            <w:r>
              <w:rPr>
                <w:rFonts w:hint="default" w:ascii="Times New Roman" w:hAnsi="Times New Roman"/>
                <w:color w:val="000000"/>
                <w:kern w:val="2"/>
                <w:sz w:val="20"/>
                <w:szCs w:val="20"/>
              </w:rPr>
              <w:t>09</w:t>
            </w:r>
            <w:r>
              <w:rPr>
                <w:rFonts w:cs="宋体"/>
                <w:color w:val="000000"/>
                <w:kern w:val="2"/>
                <w:sz w:val="20"/>
                <w:szCs w:val="20"/>
              </w:rPr>
              <w:t>表</w:t>
            </w:r>
          </w:p>
        </w:tc>
      </w:tr>
      <w:tr w14:paraId="343727A9">
        <w:tblPrEx>
          <w:tblCellMar>
            <w:top w:w="0" w:type="dxa"/>
            <w:left w:w="170" w:type="dxa"/>
            <w:bottom w:w="0" w:type="dxa"/>
            <w:right w:w="170" w:type="dxa"/>
          </w:tblCellMar>
        </w:tblPrEx>
        <w:trPr>
          <w:trHeight w:val="244" w:hRule="atLeast"/>
        </w:trPr>
        <w:tc>
          <w:tcPr>
            <w:tcW w:w="5595" w:type="dxa"/>
            <w:gridSpan w:val="2"/>
            <w:tcBorders>
              <w:top w:val="nil"/>
              <w:left w:val="nil"/>
              <w:bottom w:val="single" w:color="auto" w:sz="4" w:space="0"/>
              <w:right w:val="nil"/>
            </w:tcBorders>
            <w:shd w:val="clear" w:color="auto" w:fill="auto"/>
            <w:tcMar>
              <w:top w:w="15" w:type="dxa"/>
              <w:left w:w="15" w:type="dxa"/>
              <w:right w:w="15" w:type="dxa"/>
            </w:tcMar>
            <w:vAlign w:val="bottom"/>
          </w:tcPr>
          <w:p w14:paraId="17B3102E">
            <w:pPr>
              <w:spacing w:line="280" w:lineRule="exact"/>
              <w:rPr>
                <w:rFonts w:hint="default" w:cs="宋体"/>
                <w:color w:val="000000"/>
                <w:kern w:val="2"/>
                <w:sz w:val="20"/>
                <w:szCs w:val="20"/>
              </w:rPr>
            </w:pPr>
            <w:r>
              <w:rPr>
                <w:rFonts w:hint="eastAsia" w:cs="宋体"/>
                <w:kern w:val="2"/>
                <w:sz w:val="20"/>
                <w:szCs w:val="20"/>
                <w:lang w:eastAsia="zh-CN"/>
              </w:rPr>
              <w:t>单位</w:t>
            </w:r>
            <w:r>
              <w:rPr>
                <w:rFonts w:cs="宋体"/>
                <w:color w:val="000000"/>
                <w:kern w:val="2"/>
                <w:sz w:val="20"/>
                <w:szCs w:val="20"/>
              </w:rPr>
              <w:t>：</w:t>
            </w:r>
            <w:r>
              <w:rPr>
                <w:color w:val="000000"/>
                <w:sz w:val="20"/>
                <w:u w:color="auto"/>
              </w:rPr>
              <w:t>秀山土家族苗族自治县乌杨街道社区卫生服务中心</w:t>
            </w:r>
          </w:p>
        </w:tc>
        <w:tc>
          <w:tcPr>
            <w:tcW w:w="2375" w:type="dxa"/>
            <w:tcBorders>
              <w:top w:val="nil"/>
              <w:left w:val="nil"/>
              <w:bottom w:val="single" w:color="auto" w:sz="4" w:space="0"/>
              <w:right w:val="nil"/>
            </w:tcBorders>
            <w:shd w:val="clear" w:color="auto" w:fill="auto"/>
            <w:tcMar>
              <w:top w:w="15" w:type="dxa"/>
              <w:left w:w="15" w:type="dxa"/>
              <w:right w:w="15" w:type="dxa"/>
            </w:tcMar>
            <w:vAlign w:val="bottom"/>
          </w:tcPr>
          <w:p w14:paraId="7E746E51">
            <w:pPr>
              <w:spacing w:line="280" w:lineRule="exact"/>
              <w:jc w:val="right"/>
              <w:rPr>
                <w:rFonts w:hint="default" w:cs="宋体"/>
                <w:color w:val="000000"/>
                <w:kern w:val="2"/>
                <w:sz w:val="20"/>
                <w:szCs w:val="20"/>
              </w:rPr>
            </w:pPr>
          </w:p>
        </w:tc>
        <w:tc>
          <w:tcPr>
            <w:tcW w:w="3674" w:type="dxa"/>
            <w:tcBorders>
              <w:top w:val="nil"/>
              <w:left w:val="nil"/>
              <w:bottom w:val="single" w:color="auto" w:sz="4" w:space="0"/>
              <w:right w:val="nil"/>
            </w:tcBorders>
            <w:shd w:val="clear" w:color="auto" w:fill="auto"/>
            <w:tcMar>
              <w:top w:w="15" w:type="dxa"/>
              <w:left w:w="15" w:type="dxa"/>
              <w:right w:w="15" w:type="dxa"/>
            </w:tcMar>
            <w:vAlign w:val="bottom"/>
          </w:tcPr>
          <w:p w14:paraId="27FA0623">
            <w:pPr>
              <w:spacing w:line="280" w:lineRule="exact"/>
              <w:rPr>
                <w:rFonts w:hint="default" w:cs="宋体"/>
                <w:color w:val="000000"/>
                <w:kern w:val="2"/>
                <w:sz w:val="20"/>
                <w:szCs w:val="20"/>
              </w:rPr>
            </w:pPr>
          </w:p>
        </w:tc>
        <w:tc>
          <w:tcPr>
            <w:tcW w:w="2487" w:type="dxa"/>
            <w:tcBorders>
              <w:top w:val="nil"/>
              <w:left w:val="nil"/>
              <w:bottom w:val="single" w:color="auto" w:sz="4" w:space="0"/>
              <w:right w:val="nil"/>
            </w:tcBorders>
            <w:shd w:val="clear" w:color="auto" w:fill="auto"/>
            <w:tcMar>
              <w:top w:w="15" w:type="dxa"/>
              <w:left w:w="15" w:type="dxa"/>
              <w:right w:w="15" w:type="dxa"/>
            </w:tcMar>
            <w:vAlign w:val="bottom"/>
          </w:tcPr>
          <w:p w14:paraId="1F023EAD">
            <w:pPr>
              <w:spacing w:line="280" w:lineRule="exact"/>
              <w:jc w:val="right"/>
              <w:textAlignment w:val="bottom"/>
              <w:rPr>
                <w:rFonts w:hint="default" w:cs="宋体"/>
                <w:color w:val="000000"/>
                <w:kern w:val="2"/>
                <w:sz w:val="20"/>
                <w:szCs w:val="20"/>
              </w:rPr>
            </w:pPr>
            <w:r>
              <w:rPr>
                <w:rFonts w:cs="宋体"/>
                <w:color w:val="000000"/>
                <w:kern w:val="2"/>
                <w:sz w:val="20"/>
                <w:szCs w:val="20"/>
              </w:rPr>
              <w:t>单位：</w:t>
            </w:r>
            <w:r>
              <w:rPr>
                <w:rFonts w:cs="宋体"/>
                <w:kern w:val="2"/>
                <w:sz w:val="20"/>
                <w:szCs w:val="20"/>
              </w:rPr>
              <w:t>万元</w:t>
            </w:r>
          </w:p>
        </w:tc>
      </w:tr>
      <w:tr w14:paraId="0C39B23E">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B75F2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0F2FD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预算数</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FF343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3269BF">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A51184">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r>
      <w:tr w14:paraId="1659853C">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381F3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一、“三公”经费支出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E090FB">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DF426B">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A72B3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五、机关运行经费</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514C16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0905171">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2B181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（一）支出合计</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84EBB9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6C49E5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19782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（一）行政单位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E6695C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D18E09C">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54EAA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755885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96666E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54E28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（二）参照公务员法管理事业单位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1C6A06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CF8E413">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B71D1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2．公务用车购置及运行维护费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2B7267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185FE1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176B5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六、资产信息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8BDB0C">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3800CE4B">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3A2B9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（1）公务用车购置费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57ABCB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54C603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25F34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（一）车辆数合计（辆）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3BF392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2</w:t>
            </w:r>
            <w:r>
              <w:rPr>
                <w:rFonts w:ascii="Times New Roman" w:hAnsi="Times New Roman"/>
                <w:color w:val="000000"/>
                <w:sz w:val="18"/>
                <w:u w:color="auto"/>
              </w:rPr>
              <w:t xml:space="preserve"> </w:t>
            </w:r>
          </w:p>
        </w:tc>
      </w:tr>
      <w:tr w14:paraId="1F3DEA3D">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BE977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DF4994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5B9D33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E65DA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1．副部（省）级及以上领导用车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38AA16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5D9402F">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3567F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B33A41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86C6AC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DF626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2．主要领导干部用车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B32D5E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FEC27C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A1CD4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（1）国内接待费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EAD02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D18CF1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E2CA3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3．机要通信用车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96B1B5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97C3F03">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0538B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563FB7">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FFB2B8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507FF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4．应急保障用车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E278A5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7E9F0D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F9B02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（2）国（境）外接待费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AB895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D03E8F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C513B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5．执法执勤用车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0AAFE4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268259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000A8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（二）相关统计数</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15FFB0">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A2534E">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92952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6．特种专业技术用车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80B2A3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2</w:t>
            </w:r>
            <w:r>
              <w:rPr>
                <w:rFonts w:ascii="Times New Roman" w:hAnsi="Times New Roman"/>
                <w:color w:val="000000"/>
                <w:sz w:val="18"/>
                <w:u w:color="auto"/>
              </w:rPr>
              <w:t xml:space="preserve"> </w:t>
            </w:r>
          </w:p>
        </w:tc>
      </w:tr>
      <w:tr w14:paraId="300952E9">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BA310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1．因公出国（境）团组数（个）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9953A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FB4B8B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A505E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7．离退休干部用车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ADD02A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E6E6FB4">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73506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2．因公出国（境）人次数（人）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53976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D0971B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78DBD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8．其他用车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2AFFCE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159375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C637D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3．公务用车购置数（辆）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EDBA3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6AF199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B98A6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（二）单价100万元（含）以上设备（不含车辆）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D231B4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26D87A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07F01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4．公务用车保有量（辆）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9A79C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07A21E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692A7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七、政府采购支出信息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41F89F">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7D0631A9">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2CEAD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5．国内公务接待批次（个）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99E640">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95A154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6B55A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（一）政府采购支出合计</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313EEE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7ADBD0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B33EC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7289D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1E971E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1B821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1．政府采购货物支出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EA7EC7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52241C4">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3DA6D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6．国内公务接待人次（人）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97CA2B">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FF39E0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F57E9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2．政府采购工程支出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E2A00F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7CC9C06">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EA3EB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471D7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0B2CE1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6A268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3．政府采购服务支出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FC617C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43F156F">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4618F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7．国（境）外公务接待批次（个）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C549C7">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D2309C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A6D29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（二）政府采购授予中小企业合同金额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6351E8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E31D44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8DF53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8．国（境）外公务接待人次（人）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B770F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50EFA8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CB99A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其中：授予小微企业合同金额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B038CC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F0FA50E">
        <w:tblPrEx>
          <w:tblCellMar>
            <w:top w:w="0" w:type="dxa"/>
            <w:left w:w="170" w:type="dxa"/>
            <w:bottom w:w="0" w:type="dxa"/>
            <w:right w:w="170" w:type="dxa"/>
          </w:tblCellMar>
        </w:tblPrEx>
        <w:trPr>
          <w:trHeight w:val="286"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839AB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二、会议费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78FFB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9F5373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A48472">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52411FE">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rPr>
            </w:pPr>
          </w:p>
        </w:tc>
      </w:tr>
      <w:tr w14:paraId="1278ACEB">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5A161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三、培训费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31448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AC2B51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D1EC0D">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634CF8A">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rPr>
            </w:pPr>
          </w:p>
        </w:tc>
      </w:tr>
      <w:tr w14:paraId="386B6E48">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B38AC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sz w:val="16"/>
                <w:szCs w:val="16"/>
              </w:rPr>
            </w:pPr>
            <w:r>
              <w:rPr>
                <w:rFonts w:cs="宋体"/>
                <w:b/>
                <w:bCs/>
                <w:color w:val="000000"/>
                <w:sz w:val="16"/>
                <w:szCs w:val="16"/>
              </w:rPr>
              <w:t>四、差旅费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8FD9F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4FC85B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E22BF4">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7001D2C">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sz w:val="16"/>
                <w:szCs w:val="16"/>
              </w:rPr>
            </w:pPr>
          </w:p>
        </w:tc>
      </w:tr>
    </w:tbl>
    <w:p w14:paraId="0DA49C6F">
      <w:pPr>
        <w:rPr>
          <w:rFonts w:hint="default"/>
          <w:sz w:val="18"/>
          <w:szCs w:val="18"/>
        </w:rPr>
      </w:pPr>
      <w:r>
        <w:rPr>
          <w:rFonts w:cs="宋体"/>
          <w:sz w:val="18"/>
          <w:szCs w:val="18"/>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18"/>
          <w:szCs w:val="18"/>
        </w:rPr>
        <w:br w:type="textWrapping"/>
      </w:r>
      <w:r>
        <w:rPr>
          <w:rFonts w:cs="宋体"/>
          <w:sz w:val="18"/>
          <w:szCs w:val="18"/>
        </w:rPr>
        <w:t xml:space="preserve">      2.本套报表金额单位转换时可能存在尾数误差。</w:t>
      </w:r>
      <w:r>
        <w:rPr>
          <w:rFonts w:cs="宋体"/>
          <w:sz w:val="18"/>
          <w:szCs w:val="18"/>
        </w:rPr>
        <w:br w:type="textWrapping"/>
      </w:r>
      <w:r>
        <w:rPr>
          <w:rFonts w:cs="宋体"/>
          <w:sz w:val="18"/>
          <w:szCs w:val="18"/>
        </w:rPr>
        <w:br w:type="textWrapping"/>
      </w:r>
    </w:p>
    <w:sectPr>
      <w:headerReference r:id="rId4" w:type="default"/>
      <w:footerReference r:id="rId5" w:type="default"/>
      <w:pgSz w:w="16783" w:h="11850"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宋黑_GBK">
    <w:altName w:val="宋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16FF2">
    <w:pPr>
      <w:pStyle w:val="8"/>
      <w:rPr>
        <w:rFonts w:hint="default"/>
      </w:rPr>
    </w:pPr>
    <w:r>
      <w:rPr>
        <w:rFonts w:hint="default"/>
      </w:rPr>
      <w:pict>
        <v:shape id="文本框 1" o:spid="_x0000_s1034"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path/>
          <v:fill on="f" focussize="0,0"/>
          <v:stroke on="f" weight="0.5pt"/>
          <v:imagedata o:title=""/>
          <o:lock v:ext="edit" aspectratio="f"/>
          <v:textbox inset="0mm,0mm,0mm,0mm" style="mso-fit-shape-to-text:t;">
            <w:txbxContent>
              <w:p w14:paraId="04D602BB">
                <w:pPr>
                  <w:pStyle w:val="8"/>
                  <w:rPr>
                    <w:rFonts w:hint="default"/>
                  </w:rPr>
                </w:pPr>
                <w:r>
                  <w:fldChar w:fldCharType="begin"/>
                </w:r>
                <w:r>
                  <w:instrText xml:space="preserve"> PAGE  \* MERGEFORMAT </w:instrText>
                </w:r>
                <w:r>
                  <w:fldChar w:fldCharType="separate"/>
                </w:r>
                <w:r>
                  <w:rPr>
                    <w:rFonts w:hint="default"/>
                  </w:rPr>
                  <w:t>- 4 -</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77FDF">
    <w:pPr>
      <w:pStyle w:val="8"/>
      <w:jc w:val="both"/>
      <w:rPr>
        <w:rFonts w:hint="default"/>
      </w:rPr>
    </w:pPr>
    <w:r>
      <w:rPr>
        <w:rFonts w:hint="default"/>
      </w:rPr>
      <w:pict>
        <v:shape id="_x0000_s1032" o:spid="_x0000_s1032" o:spt="202" type="#_x0000_t202" style="position:absolute;left:0pt;margin-top:0pt;height:144pt;width:144pt;mso-position-horizontal:center;mso-position-horizontal-relative:margin;mso-wrap-style:none;z-index:251661312;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OYorozAgAAZw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OYorozAgAAZwQAAA4AAAAAAAAAAQAgAAAAHwEAAGRycy9lMm9Eb2MueG1sUEsF&#10;BgAAAAAGAAYAWQEAAMQFAAAAAA==&#10;">
          <v:path/>
          <v:fill on="f" focussize="0,0"/>
          <v:stroke on="f" weight="0.5pt" joinstyle="miter"/>
          <v:imagedata o:title=""/>
          <o:lock v:ext="edit"/>
          <v:textbox inset="0mm,0mm,0mm,0mm" style="mso-fit-shape-to-text:t;">
            <w:txbxContent>
              <w:p w14:paraId="26A27FD0">
                <w:pPr>
                  <w:pStyle w:val="8"/>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31 -</w:t>
                </w:r>
                <w:r>
                  <w:fldChar w:fldCharType="end"/>
                </w:r>
                <w:r>
                  <w:t xml:space="preserve"> </w:t>
                </w:r>
              </w:p>
            </w:txbxContent>
          </v:textbox>
        </v:shape>
      </w:pict>
    </w:r>
    <w:r>
      <w:rPr>
        <w:rFonts w:hint="default"/>
      </w:rPr>
      <w:pict>
        <v:shape id="_x0000_s1031" o:spid="_x0000_s1031" o:spt="202" type="#_x0000_t202" style="position:absolute;left:0pt;margin-top:1160.4pt;height:17.4pt;width:144pt;mso-position-horizontal:center;mso-position-horizontal-relative:margin;mso-position-vertical-relative:page;mso-wrap-style:none;z-index:251660288;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A1UVNgAAAAKAQAADwAAAAAAAAABACAAAAAiAAAAZHJzL2Rvd25y&#10;ZXYueG1sUEsBAhQAFAAAAAgAh07iQALFEI03AgAAZgQAAA4AAAAAAAAAAQAgAAAAJwEAAGRycy9l&#10;Mm9Eb2MueG1sUEsFBgAAAAAGAAYAWQEAANAFAAAAAA==&#10;">
          <v:path/>
          <v:fill on="f" focussize="0,0"/>
          <v:stroke on="f" weight="0.5pt" joinstyle="miter"/>
          <v:imagedata o:title=""/>
          <o:lock v:ext="edit"/>
          <v:textbox inset="0mm,0mm,0mm,0mm">
            <w:txbxContent>
              <w:p w14:paraId="6C4FA8B3">
                <w:pPr>
                  <w:pStyle w:val="8"/>
                  <w:jc w:val="both"/>
                  <w:rPr>
                    <w:rFonts w:hint="default" w:cs="宋体"/>
                  </w:rPr>
                </w:pPr>
                <w:r>
                  <w:rPr>
                    <w:rFonts w:cs="宋体"/>
                  </w:rPr>
                  <w:t>— 27.1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F893F">
    <w:pPr>
      <w:pStyle w:val="9"/>
      <w:tabs>
        <w:tab w:val="left" w:pos="1758"/>
        <w:tab w:val="clear" w:pos="4153"/>
        <w:tab w:val="clear" w:pos="8306"/>
      </w:tabs>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QwYWQ1YTE0ZDA0NjgxYzlhMjZlMDExNTFmMWI3MmEifQ=="/>
  </w:docVars>
  <w:rsids>
    <w:rsidRoot w:val="00B03CCD"/>
    <w:rsid w:val="000239C6"/>
    <w:rsid w:val="001D3BB7"/>
    <w:rsid w:val="002B254B"/>
    <w:rsid w:val="0034050A"/>
    <w:rsid w:val="0044504F"/>
    <w:rsid w:val="00466C9B"/>
    <w:rsid w:val="00486CFC"/>
    <w:rsid w:val="00491DDD"/>
    <w:rsid w:val="00550ABE"/>
    <w:rsid w:val="00623A85"/>
    <w:rsid w:val="00770383"/>
    <w:rsid w:val="007819D4"/>
    <w:rsid w:val="007B419D"/>
    <w:rsid w:val="007B7C4B"/>
    <w:rsid w:val="007D3D39"/>
    <w:rsid w:val="00984C6A"/>
    <w:rsid w:val="00994AF7"/>
    <w:rsid w:val="009B67B8"/>
    <w:rsid w:val="009C14C9"/>
    <w:rsid w:val="009D2B67"/>
    <w:rsid w:val="009E1452"/>
    <w:rsid w:val="00A566F9"/>
    <w:rsid w:val="00AF2751"/>
    <w:rsid w:val="00B03CCD"/>
    <w:rsid w:val="00BE2B89"/>
    <w:rsid w:val="00BF0D89"/>
    <w:rsid w:val="00C10E9E"/>
    <w:rsid w:val="00C20C3E"/>
    <w:rsid w:val="00C5163E"/>
    <w:rsid w:val="00C72877"/>
    <w:rsid w:val="00CF2ACF"/>
    <w:rsid w:val="00D03AAF"/>
    <w:rsid w:val="00DD0539"/>
    <w:rsid w:val="00E07662"/>
    <w:rsid w:val="00E368E9"/>
    <w:rsid w:val="00EE1E33"/>
    <w:rsid w:val="00F73F90"/>
    <w:rsid w:val="00FB4B3B"/>
    <w:rsid w:val="01474EBF"/>
    <w:rsid w:val="01F3521E"/>
    <w:rsid w:val="034748A1"/>
    <w:rsid w:val="03B87EA0"/>
    <w:rsid w:val="03C05934"/>
    <w:rsid w:val="03E3214F"/>
    <w:rsid w:val="044C50BA"/>
    <w:rsid w:val="04A46921"/>
    <w:rsid w:val="04CA0C2E"/>
    <w:rsid w:val="04DE290F"/>
    <w:rsid w:val="05A04662"/>
    <w:rsid w:val="05BC6D49"/>
    <w:rsid w:val="06194FF1"/>
    <w:rsid w:val="0637057E"/>
    <w:rsid w:val="06A2550B"/>
    <w:rsid w:val="06F80EE2"/>
    <w:rsid w:val="07001CCA"/>
    <w:rsid w:val="075678DB"/>
    <w:rsid w:val="077B465F"/>
    <w:rsid w:val="079D7CC7"/>
    <w:rsid w:val="08051BCA"/>
    <w:rsid w:val="086C12F4"/>
    <w:rsid w:val="08705944"/>
    <w:rsid w:val="08BA052C"/>
    <w:rsid w:val="08DB07BA"/>
    <w:rsid w:val="093D01B4"/>
    <w:rsid w:val="0969353F"/>
    <w:rsid w:val="098305D0"/>
    <w:rsid w:val="098F0EC3"/>
    <w:rsid w:val="09B1218B"/>
    <w:rsid w:val="0A3317EA"/>
    <w:rsid w:val="0A504511"/>
    <w:rsid w:val="0A5C4B69"/>
    <w:rsid w:val="0A86124A"/>
    <w:rsid w:val="0AB54CC0"/>
    <w:rsid w:val="0B784531"/>
    <w:rsid w:val="0B9335CE"/>
    <w:rsid w:val="0BF2311A"/>
    <w:rsid w:val="0C120C17"/>
    <w:rsid w:val="0C7927C4"/>
    <w:rsid w:val="0C9B098C"/>
    <w:rsid w:val="0D673E11"/>
    <w:rsid w:val="0D8A5211"/>
    <w:rsid w:val="0DDA54E4"/>
    <w:rsid w:val="0DEA0016"/>
    <w:rsid w:val="0E3A5F83"/>
    <w:rsid w:val="0F836721"/>
    <w:rsid w:val="0F893E09"/>
    <w:rsid w:val="0FA25D96"/>
    <w:rsid w:val="107B59E5"/>
    <w:rsid w:val="10EC0126"/>
    <w:rsid w:val="10F70B9A"/>
    <w:rsid w:val="111445C7"/>
    <w:rsid w:val="114278C6"/>
    <w:rsid w:val="1158083A"/>
    <w:rsid w:val="11643A4B"/>
    <w:rsid w:val="11ED0F98"/>
    <w:rsid w:val="11F03528"/>
    <w:rsid w:val="12C921C4"/>
    <w:rsid w:val="13871C70"/>
    <w:rsid w:val="13A71CB4"/>
    <w:rsid w:val="13AF1D43"/>
    <w:rsid w:val="13CE1647"/>
    <w:rsid w:val="13FD55AB"/>
    <w:rsid w:val="14200702"/>
    <w:rsid w:val="14370EA1"/>
    <w:rsid w:val="145F6743"/>
    <w:rsid w:val="15AA13AF"/>
    <w:rsid w:val="163A6CEE"/>
    <w:rsid w:val="172B2EDA"/>
    <w:rsid w:val="173708E3"/>
    <w:rsid w:val="17C374FC"/>
    <w:rsid w:val="182E4AB6"/>
    <w:rsid w:val="189079DC"/>
    <w:rsid w:val="189B0D0B"/>
    <w:rsid w:val="18B43F7C"/>
    <w:rsid w:val="191C433B"/>
    <w:rsid w:val="192C0F59"/>
    <w:rsid w:val="194A1770"/>
    <w:rsid w:val="19B906A4"/>
    <w:rsid w:val="1B6F15B6"/>
    <w:rsid w:val="1BAA2EDC"/>
    <w:rsid w:val="1CA55E64"/>
    <w:rsid w:val="1D014A01"/>
    <w:rsid w:val="1D022362"/>
    <w:rsid w:val="1D1B04B0"/>
    <w:rsid w:val="1DA52501"/>
    <w:rsid w:val="1DBD6767"/>
    <w:rsid w:val="1DC52125"/>
    <w:rsid w:val="1DD26311"/>
    <w:rsid w:val="1DE912AC"/>
    <w:rsid w:val="1E374ACB"/>
    <w:rsid w:val="1EC50A7B"/>
    <w:rsid w:val="1ECF0A66"/>
    <w:rsid w:val="1EF67CA4"/>
    <w:rsid w:val="1F020D3A"/>
    <w:rsid w:val="1F2C5189"/>
    <w:rsid w:val="1F362986"/>
    <w:rsid w:val="1F4B0B02"/>
    <w:rsid w:val="1FBB35CD"/>
    <w:rsid w:val="1FCD26AF"/>
    <w:rsid w:val="20642787"/>
    <w:rsid w:val="20AF2171"/>
    <w:rsid w:val="21556F04"/>
    <w:rsid w:val="22403BD3"/>
    <w:rsid w:val="2245277D"/>
    <w:rsid w:val="22AD3177"/>
    <w:rsid w:val="235417B6"/>
    <w:rsid w:val="23D9231B"/>
    <w:rsid w:val="245A7BE3"/>
    <w:rsid w:val="24B92327"/>
    <w:rsid w:val="24C14514"/>
    <w:rsid w:val="2533755C"/>
    <w:rsid w:val="25791755"/>
    <w:rsid w:val="26396DF4"/>
    <w:rsid w:val="27167136"/>
    <w:rsid w:val="271B442C"/>
    <w:rsid w:val="27B23302"/>
    <w:rsid w:val="29310A5F"/>
    <w:rsid w:val="29963318"/>
    <w:rsid w:val="29C37A35"/>
    <w:rsid w:val="2A076083"/>
    <w:rsid w:val="2A636DD1"/>
    <w:rsid w:val="2A73162E"/>
    <w:rsid w:val="2B167953"/>
    <w:rsid w:val="2B200583"/>
    <w:rsid w:val="2B2729C0"/>
    <w:rsid w:val="2B8209DE"/>
    <w:rsid w:val="2B821C91"/>
    <w:rsid w:val="2BF81A22"/>
    <w:rsid w:val="2C636760"/>
    <w:rsid w:val="2C6762A3"/>
    <w:rsid w:val="2CD3414B"/>
    <w:rsid w:val="2D76776F"/>
    <w:rsid w:val="2FCA4B37"/>
    <w:rsid w:val="2FE029D7"/>
    <w:rsid w:val="2FF06E00"/>
    <w:rsid w:val="30586FEC"/>
    <w:rsid w:val="30C45499"/>
    <w:rsid w:val="315F0B22"/>
    <w:rsid w:val="31A15828"/>
    <w:rsid w:val="31D84415"/>
    <w:rsid w:val="32285F6F"/>
    <w:rsid w:val="32770556"/>
    <w:rsid w:val="329C0913"/>
    <w:rsid w:val="32AA0460"/>
    <w:rsid w:val="3337290D"/>
    <w:rsid w:val="33877101"/>
    <w:rsid w:val="33E31118"/>
    <w:rsid w:val="33EF7674"/>
    <w:rsid w:val="342D7BC6"/>
    <w:rsid w:val="352930DB"/>
    <w:rsid w:val="35573069"/>
    <w:rsid w:val="355F6038"/>
    <w:rsid w:val="358C217E"/>
    <w:rsid w:val="36C9128A"/>
    <w:rsid w:val="372D208E"/>
    <w:rsid w:val="3757152B"/>
    <w:rsid w:val="37841E99"/>
    <w:rsid w:val="37BF1123"/>
    <w:rsid w:val="383C3F15"/>
    <w:rsid w:val="38BE4696"/>
    <w:rsid w:val="38DE205D"/>
    <w:rsid w:val="3939115E"/>
    <w:rsid w:val="39B82A39"/>
    <w:rsid w:val="39C42CA8"/>
    <w:rsid w:val="39DC4FD6"/>
    <w:rsid w:val="39F03D7A"/>
    <w:rsid w:val="39F33306"/>
    <w:rsid w:val="3A2C1C67"/>
    <w:rsid w:val="3A6A77C9"/>
    <w:rsid w:val="3ADD7F09"/>
    <w:rsid w:val="3B1705E5"/>
    <w:rsid w:val="3B18334B"/>
    <w:rsid w:val="3B3625AE"/>
    <w:rsid w:val="3B36794F"/>
    <w:rsid w:val="3B6F6EE0"/>
    <w:rsid w:val="3C566AD6"/>
    <w:rsid w:val="3C594871"/>
    <w:rsid w:val="3C6A5B02"/>
    <w:rsid w:val="3CDD2246"/>
    <w:rsid w:val="3D083B3A"/>
    <w:rsid w:val="3D2757A1"/>
    <w:rsid w:val="3D3D4FC4"/>
    <w:rsid w:val="3DDF3AB1"/>
    <w:rsid w:val="3E146E06"/>
    <w:rsid w:val="3E1D0952"/>
    <w:rsid w:val="3E42660A"/>
    <w:rsid w:val="3E7555B1"/>
    <w:rsid w:val="3E787ED9"/>
    <w:rsid w:val="3F032E93"/>
    <w:rsid w:val="3F0527E5"/>
    <w:rsid w:val="3F4C52C6"/>
    <w:rsid w:val="3F694D83"/>
    <w:rsid w:val="3F885DCC"/>
    <w:rsid w:val="3FCD675E"/>
    <w:rsid w:val="3FE81D3D"/>
    <w:rsid w:val="4004000C"/>
    <w:rsid w:val="40760DD1"/>
    <w:rsid w:val="40BD5482"/>
    <w:rsid w:val="411B6CE5"/>
    <w:rsid w:val="412070D7"/>
    <w:rsid w:val="41314E40"/>
    <w:rsid w:val="41E0734B"/>
    <w:rsid w:val="426C1EA8"/>
    <w:rsid w:val="42736402"/>
    <w:rsid w:val="42E86A87"/>
    <w:rsid w:val="43307B09"/>
    <w:rsid w:val="438B6ACB"/>
    <w:rsid w:val="439A3EB9"/>
    <w:rsid w:val="43BB152F"/>
    <w:rsid w:val="44C37687"/>
    <w:rsid w:val="45CB699A"/>
    <w:rsid w:val="46423C66"/>
    <w:rsid w:val="465B470D"/>
    <w:rsid w:val="469D6AD4"/>
    <w:rsid w:val="471E6C84"/>
    <w:rsid w:val="47416D6C"/>
    <w:rsid w:val="4748792B"/>
    <w:rsid w:val="475D719D"/>
    <w:rsid w:val="47674801"/>
    <w:rsid w:val="48225EF7"/>
    <w:rsid w:val="488F422B"/>
    <w:rsid w:val="48E36915"/>
    <w:rsid w:val="48EB6572"/>
    <w:rsid w:val="495C4A24"/>
    <w:rsid w:val="497135DF"/>
    <w:rsid w:val="4A263DF2"/>
    <w:rsid w:val="4A2F278B"/>
    <w:rsid w:val="4A6F6675"/>
    <w:rsid w:val="4B135857"/>
    <w:rsid w:val="4B3A478D"/>
    <w:rsid w:val="4B7951CB"/>
    <w:rsid w:val="4B7C315C"/>
    <w:rsid w:val="4BD84BA0"/>
    <w:rsid w:val="4D1F53CA"/>
    <w:rsid w:val="4DAC4ACA"/>
    <w:rsid w:val="4DBE01D2"/>
    <w:rsid w:val="4EFD467F"/>
    <w:rsid w:val="4F0C6BA3"/>
    <w:rsid w:val="4F186D58"/>
    <w:rsid w:val="4FFE7F08"/>
    <w:rsid w:val="504B6EAA"/>
    <w:rsid w:val="50A86B77"/>
    <w:rsid w:val="50F06B6E"/>
    <w:rsid w:val="51064DCD"/>
    <w:rsid w:val="51D21804"/>
    <w:rsid w:val="52137F07"/>
    <w:rsid w:val="52234D33"/>
    <w:rsid w:val="522F6E0C"/>
    <w:rsid w:val="52463BA1"/>
    <w:rsid w:val="52F163D4"/>
    <w:rsid w:val="531A2DB4"/>
    <w:rsid w:val="531E4875"/>
    <w:rsid w:val="53961F1B"/>
    <w:rsid w:val="53C0244D"/>
    <w:rsid w:val="53DD4D4E"/>
    <w:rsid w:val="53E578CE"/>
    <w:rsid w:val="541330F0"/>
    <w:rsid w:val="54272666"/>
    <w:rsid w:val="543B029D"/>
    <w:rsid w:val="54861779"/>
    <w:rsid w:val="55084A4C"/>
    <w:rsid w:val="552256E1"/>
    <w:rsid w:val="554E5773"/>
    <w:rsid w:val="555829E0"/>
    <w:rsid w:val="555A3CBC"/>
    <w:rsid w:val="5582012B"/>
    <w:rsid w:val="558E4E05"/>
    <w:rsid w:val="55BE2E85"/>
    <w:rsid w:val="56530F5D"/>
    <w:rsid w:val="567700D3"/>
    <w:rsid w:val="56FF7E9E"/>
    <w:rsid w:val="57212B52"/>
    <w:rsid w:val="578867FC"/>
    <w:rsid w:val="5842572D"/>
    <w:rsid w:val="5A3B59D6"/>
    <w:rsid w:val="5A6B7C19"/>
    <w:rsid w:val="5AD134D8"/>
    <w:rsid w:val="5B803C96"/>
    <w:rsid w:val="5BF41F67"/>
    <w:rsid w:val="5C263CE4"/>
    <w:rsid w:val="5C360775"/>
    <w:rsid w:val="5C5D2777"/>
    <w:rsid w:val="5C7203EF"/>
    <w:rsid w:val="5C967D12"/>
    <w:rsid w:val="5CF66BF3"/>
    <w:rsid w:val="5CFE552D"/>
    <w:rsid w:val="5D290C69"/>
    <w:rsid w:val="5DA80C2C"/>
    <w:rsid w:val="5E0C3BAE"/>
    <w:rsid w:val="5EF055DB"/>
    <w:rsid w:val="5F2D4A41"/>
    <w:rsid w:val="5F7A720A"/>
    <w:rsid w:val="5FCB1DD4"/>
    <w:rsid w:val="5FDF6882"/>
    <w:rsid w:val="60BE269A"/>
    <w:rsid w:val="60C74F6C"/>
    <w:rsid w:val="61015958"/>
    <w:rsid w:val="61025A59"/>
    <w:rsid w:val="613D5BBC"/>
    <w:rsid w:val="61536C39"/>
    <w:rsid w:val="61984098"/>
    <w:rsid w:val="6212684B"/>
    <w:rsid w:val="62944DD7"/>
    <w:rsid w:val="6319381F"/>
    <w:rsid w:val="63C25DC5"/>
    <w:rsid w:val="63C62057"/>
    <w:rsid w:val="64571EF5"/>
    <w:rsid w:val="64804C72"/>
    <w:rsid w:val="64FB113D"/>
    <w:rsid w:val="655C3437"/>
    <w:rsid w:val="656152C6"/>
    <w:rsid w:val="6587477F"/>
    <w:rsid w:val="658C3A08"/>
    <w:rsid w:val="65C031CA"/>
    <w:rsid w:val="65CE6852"/>
    <w:rsid w:val="66267C04"/>
    <w:rsid w:val="663F505A"/>
    <w:rsid w:val="666C2D2F"/>
    <w:rsid w:val="66AF5D7C"/>
    <w:rsid w:val="66EE5541"/>
    <w:rsid w:val="67275D66"/>
    <w:rsid w:val="67924660"/>
    <w:rsid w:val="68407834"/>
    <w:rsid w:val="6883293E"/>
    <w:rsid w:val="688412AD"/>
    <w:rsid w:val="68EB1B71"/>
    <w:rsid w:val="696C0310"/>
    <w:rsid w:val="6A6C7940"/>
    <w:rsid w:val="6A8E0EAF"/>
    <w:rsid w:val="6A9F1565"/>
    <w:rsid w:val="6AAD2300"/>
    <w:rsid w:val="6B474EF5"/>
    <w:rsid w:val="6B746A62"/>
    <w:rsid w:val="6B914B0D"/>
    <w:rsid w:val="6BC938E5"/>
    <w:rsid w:val="6C0A5AC5"/>
    <w:rsid w:val="6C560CAE"/>
    <w:rsid w:val="6C576495"/>
    <w:rsid w:val="6D903FF5"/>
    <w:rsid w:val="6D971428"/>
    <w:rsid w:val="6DA955B8"/>
    <w:rsid w:val="6DE346AB"/>
    <w:rsid w:val="6DE5391A"/>
    <w:rsid w:val="6E2D3F6D"/>
    <w:rsid w:val="6EFD1324"/>
    <w:rsid w:val="6F5A53AC"/>
    <w:rsid w:val="6FAC003D"/>
    <w:rsid w:val="6FD926BF"/>
    <w:rsid w:val="6FE55E12"/>
    <w:rsid w:val="6FFB2E76"/>
    <w:rsid w:val="708F6F7F"/>
    <w:rsid w:val="70D94BD3"/>
    <w:rsid w:val="71574775"/>
    <w:rsid w:val="71C34D91"/>
    <w:rsid w:val="72DB435C"/>
    <w:rsid w:val="72E2613A"/>
    <w:rsid w:val="72F771F4"/>
    <w:rsid w:val="73414975"/>
    <w:rsid w:val="73934AD2"/>
    <w:rsid w:val="746D14A6"/>
    <w:rsid w:val="750837F0"/>
    <w:rsid w:val="751A3928"/>
    <w:rsid w:val="754758CF"/>
    <w:rsid w:val="75595ECD"/>
    <w:rsid w:val="764F62AB"/>
    <w:rsid w:val="765C45EC"/>
    <w:rsid w:val="768A7619"/>
    <w:rsid w:val="76BD23AB"/>
    <w:rsid w:val="772E1EBA"/>
    <w:rsid w:val="781926BC"/>
    <w:rsid w:val="796D60A4"/>
    <w:rsid w:val="79A031D5"/>
    <w:rsid w:val="79A10A07"/>
    <w:rsid w:val="79B47FDF"/>
    <w:rsid w:val="79E569A9"/>
    <w:rsid w:val="7A1525F7"/>
    <w:rsid w:val="7B420052"/>
    <w:rsid w:val="7B8C4895"/>
    <w:rsid w:val="7BD06A28"/>
    <w:rsid w:val="7C3A7C0B"/>
    <w:rsid w:val="7C5248E4"/>
    <w:rsid w:val="7C566698"/>
    <w:rsid w:val="7C5866A3"/>
    <w:rsid w:val="7CA504CC"/>
    <w:rsid w:val="7D7406BB"/>
    <w:rsid w:val="7D920D25"/>
    <w:rsid w:val="7D9A1086"/>
    <w:rsid w:val="7DE94331"/>
    <w:rsid w:val="7F12217A"/>
    <w:rsid w:val="7F310007"/>
    <w:rsid w:val="7F446A19"/>
    <w:rsid w:val="7F7452B9"/>
    <w:rsid w:val="7FE13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w:basedOn w:val="1"/>
    <w:next w:val="6"/>
    <w:qFormat/>
    <w:uiPriority w:val="0"/>
    <w:pPr>
      <w:widowControl w:val="0"/>
      <w:ind w:left="101" w:firstLine="679"/>
    </w:pPr>
    <w:rPr>
      <w:rFonts w:ascii="Arial" w:hAnsi="Arial" w:cs="Times New Roman"/>
      <w:sz w:val="34"/>
      <w:szCs w:val="34"/>
    </w:rPr>
  </w:style>
  <w:style w:type="paragraph" w:styleId="6">
    <w:name w:val="Date"/>
    <w:basedOn w:val="1"/>
    <w:next w:val="1"/>
    <w:qFormat/>
    <w:uiPriority w:val="0"/>
    <w:pPr>
      <w:ind w:left="100" w:leftChars="2500"/>
    </w:pPr>
  </w:style>
  <w:style w:type="paragraph" w:styleId="7">
    <w:name w:val="Balloon Text"/>
    <w:basedOn w:val="1"/>
    <w:link w:val="2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11">
    <w:name w:val="Normal (Web)"/>
    <w:basedOn w:val="1"/>
    <w:unhideWhenUsed/>
    <w:qFormat/>
    <w:uiPriority w:val="0"/>
    <w:pPr>
      <w:spacing w:before="100" w:beforeAutospacing="1" w:after="100" w:afterAutospacing="1"/>
    </w:pPr>
  </w:style>
  <w:style w:type="paragraph" w:styleId="12">
    <w:name w:val="Body Text First Indent"/>
    <w:basedOn w:val="5"/>
    <w:qFormat/>
    <w:uiPriority w:val="0"/>
    <w:pPr>
      <w:ind w:firstLine="420" w:firstLineChars="100"/>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0"/>
    <w:rPr>
      <w:b/>
    </w:rPr>
  </w:style>
  <w:style w:type="paragraph" w:customStyle="1" w:styleId="17">
    <w:name w:val="列出段落1"/>
    <w:basedOn w:val="1"/>
    <w:qFormat/>
    <w:uiPriority w:val="99"/>
    <w:pPr>
      <w:ind w:firstLine="420" w:firstLineChars="200"/>
    </w:pPr>
    <w:rPr>
      <w:rFonts w:hint="default"/>
    </w:rPr>
  </w:style>
  <w:style w:type="paragraph" w:customStyle="1" w:styleId="18">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9">
    <w:name w:val="21"/>
    <w:basedOn w:val="15"/>
    <w:qFormat/>
    <w:uiPriority w:val="0"/>
    <w:rPr>
      <w:rFonts w:hint="default" w:ascii="Wingdings" w:hAnsi="Wingdings" w:cs="Wingdings"/>
      <w:b/>
      <w:bCs/>
    </w:rPr>
  </w:style>
  <w:style w:type="paragraph" w:customStyle="1" w:styleId="20">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21">
    <w:name w:val="批注框文本 Char"/>
    <w:basedOn w:val="15"/>
    <w:link w:val="7"/>
    <w:qFormat/>
    <w:uiPriority w:val="0"/>
    <w:rPr>
      <w:rFonts w:ascii="宋体" w:hAnsi="宋体"/>
      <w:sz w:val="18"/>
      <w:szCs w:val="18"/>
    </w:rPr>
  </w:style>
  <w:style w:type="paragraph" w:customStyle="1" w:styleId="22">
    <w:name w:val="List Paragraph"/>
    <w:basedOn w:val="1"/>
    <w:qFormat/>
    <w:uiPriority w:val="99"/>
    <w:pPr>
      <w:keepNext w:val="0"/>
      <w:keepLines w:val="0"/>
      <w:widowControl/>
      <w:suppressLineNumbers w:val="0"/>
      <w:spacing w:before="0" w:beforeAutospacing="0" w:after="0" w:afterAutospacing="0"/>
      <w:ind w:left="0" w:right="0" w:firstLine="420" w:firstLineChars="20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4" textRotate="1"/>
    <customShpInfo spid="_x0000_s1032"/>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5385</Words>
  <Characters>6369</Characters>
  <Lines>186</Lines>
  <Paragraphs>52</Paragraphs>
  <TotalTime>2</TotalTime>
  <ScaleCrop>false</ScaleCrop>
  <LinksUpToDate>false</LinksUpToDate>
  <CharactersWithSpaces>6545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Administrator</cp:lastModifiedBy>
  <dcterms:modified xsi:type="dcterms:W3CDTF">2026-01-05T07:52:29Z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BB46EABDBB2749749395447164B066B3_12</vt:lpwstr>
  </property>
  <property fmtid="{D5CDD505-2E9C-101B-9397-08002B2CF9AE}" pid="4" name="KSOTemplateDocerSaveRecord">
    <vt:lpwstr>eyJoZGlkIjoiMDBkZjk0OGI3N2ZkNWUzYjI2OWVhY2Y5Y2FhMmZmMWMifQ==</vt:lpwstr>
  </property>
</Properties>
</file>