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shd w:val="clear"/>
        <w:kinsoku/>
        <w:wordWrap/>
        <w:overflowPunct/>
        <w:topLinePunct w:val="0"/>
        <w:autoSpaceDN/>
        <w:bidi w:val="0"/>
        <w:adjustRightInd/>
        <w:spacing w:before="0" w:beforeAutospacing="0" w:afterAutospacing="0" w:line="550" w:lineRule="exact"/>
        <w:jc w:val="center"/>
        <w:rPr>
          <w:rFonts w:hint="eastAsia" w:ascii="方正小标宋_GBK" w:hAnsi="方正小标宋_GBK" w:eastAsia="方正小标宋_GBK" w:cs="方正小标宋_GBK"/>
          <w:b w:val="0"/>
          <w:bCs w:val="0"/>
          <w:spacing w:val="0"/>
          <w:sz w:val="44"/>
          <w:szCs w:val="44"/>
        </w:rPr>
      </w:pPr>
      <w:r>
        <w:rPr>
          <w:rFonts w:hint="eastAsia" w:ascii="方正小标宋_GBK" w:hAnsi="方正小标宋_GBK" w:eastAsia="方正小标宋_GBK" w:cs="方正小标宋_GBK"/>
          <w:b w:val="0"/>
          <w:bCs w:val="0"/>
          <w:spacing w:val="0"/>
          <w:sz w:val="44"/>
          <w:szCs w:val="44"/>
        </w:rPr>
        <w:t>秀山土家族苗族自治县大溪乡卫生院</w:t>
      </w:r>
    </w:p>
    <w:p>
      <w:pPr>
        <w:pStyle w:val="9"/>
        <w:keepNext w:val="0"/>
        <w:keepLines w:val="0"/>
        <w:pageBreakBefore w:val="0"/>
        <w:shd w:val="clear"/>
        <w:kinsoku/>
        <w:wordWrap/>
        <w:overflowPunct/>
        <w:topLinePunct w:val="0"/>
        <w:autoSpaceDN/>
        <w:bidi w:val="0"/>
        <w:adjustRightInd/>
        <w:spacing w:before="0" w:beforeAutospacing="0" w:afterAutospacing="0" w:line="550" w:lineRule="exact"/>
        <w:jc w:val="center"/>
        <w:rPr>
          <w:rFonts w:hint="eastAsia" w:ascii="方正小标宋_GBK" w:hAnsi="方正小标宋_GBK" w:eastAsia="方正小标宋_GBK" w:cs="方正小标宋_GBK"/>
          <w:b w:val="0"/>
          <w:bCs w:val="0"/>
          <w:spacing w:val="0"/>
          <w:sz w:val="44"/>
          <w:szCs w:val="44"/>
          <w:shd w:val="clear" w:color="auto" w:fill="FFFFFF"/>
        </w:rPr>
      </w:pPr>
      <w:r>
        <w:rPr>
          <w:rFonts w:hint="eastAsia" w:ascii="方正小标宋_GBK" w:hAnsi="方正小标宋_GBK" w:eastAsia="方正小标宋_GBK" w:cs="方正小标宋_GBK"/>
          <w:b w:val="0"/>
          <w:bCs w:val="0"/>
          <w:spacing w:val="0"/>
          <w:sz w:val="44"/>
          <w:szCs w:val="44"/>
          <w:shd w:val="clear" w:color="auto" w:fill="FFFFFF"/>
        </w:rPr>
        <w:t>2023年度决算公开说明</w:t>
      </w:r>
    </w:p>
    <w:p>
      <w:pPr>
        <w:pStyle w:val="9"/>
        <w:keepNext w:val="0"/>
        <w:keepLines w:val="0"/>
        <w:pageBreakBefore w:val="0"/>
        <w:shd w:val="clear"/>
        <w:kinsoku/>
        <w:wordWrap/>
        <w:overflowPunct/>
        <w:topLinePunct w:val="0"/>
        <w:autoSpaceDN/>
        <w:bidi w:val="0"/>
        <w:adjustRightInd/>
        <w:spacing w:before="0" w:beforeAutospacing="0" w:afterAutospacing="0" w:line="550" w:lineRule="exact"/>
        <w:jc w:val="center"/>
        <w:rPr>
          <w:rFonts w:hint="eastAsia" w:ascii="方正小标宋_GBK" w:hAnsi="方正小标宋_GBK" w:eastAsia="方正小标宋_GBK" w:cs="方正小标宋_GBK"/>
          <w:b w:val="0"/>
          <w:bCs w:val="0"/>
          <w:spacing w:val="0"/>
          <w:sz w:val="44"/>
          <w:szCs w:val="44"/>
          <w:shd w:val="clear" w:color="auto" w:fill="FFFFFF"/>
        </w:rPr>
      </w:pP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黑体_GBK" w:hAnsi="方正黑体_GBK" w:eastAsia="方正黑体_GBK" w:cs="方正黑体_GBK"/>
          <w:b w:val="0"/>
          <w:bCs w:val="0"/>
          <w:sz w:val="32"/>
          <w:szCs w:val="32"/>
        </w:rPr>
      </w:pPr>
      <w:r>
        <w:rPr>
          <w:rStyle w:val="11"/>
          <w:rFonts w:hint="eastAsia" w:ascii="方正黑体_GBK" w:hAnsi="方正黑体_GBK" w:eastAsia="方正黑体_GBK" w:cs="方正黑体_GBK"/>
          <w:b w:val="0"/>
          <w:bCs w:val="0"/>
          <w:sz w:val="32"/>
          <w:szCs w:val="32"/>
          <w:shd w:val="clear" w:color="auto" w:fill="FFFFFF"/>
        </w:rPr>
        <w:t>一、单位基本情况</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val="0"/>
          <w:kern w:val="0"/>
          <w:sz w:val="32"/>
          <w:szCs w:val="32"/>
        </w:rPr>
      </w:pPr>
      <w:r>
        <w:rPr>
          <w:rStyle w:val="19"/>
          <w:rFonts w:hint="default" w:ascii="Times New Roman" w:hAnsi="Times New Roman" w:eastAsia="方正楷体_GBK" w:cs="Times New Roman"/>
          <w:b w:val="0"/>
          <w:bCs w:val="0"/>
          <w:sz w:val="32"/>
          <w:szCs w:val="32"/>
          <w:shd w:val="clear" w:fill="FFFFFF"/>
          <w:lang w:eastAsia="zh-CN"/>
        </w:rPr>
        <w:t>（</w:t>
      </w:r>
      <w:r>
        <w:rPr>
          <w:rStyle w:val="19"/>
          <w:rFonts w:hint="default" w:ascii="Times New Roman" w:hAnsi="Times New Roman" w:eastAsia="方正楷体_GBK" w:cs="Times New Roman"/>
          <w:b w:val="0"/>
          <w:bCs w:val="0"/>
          <w:sz w:val="32"/>
          <w:szCs w:val="32"/>
          <w:shd w:val="clear" w:fill="FFFFFF"/>
          <w:lang w:val="en-US" w:eastAsia="zh-CN"/>
        </w:rPr>
        <w:t>一</w:t>
      </w:r>
      <w:r>
        <w:rPr>
          <w:rStyle w:val="19"/>
          <w:rFonts w:hint="default" w:ascii="Times New Roman" w:hAnsi="Times New Roman" w:eastAsia="方正楷体_GBK" w:cs="Times New Roman"/>
          <w:b w:val="0"/>
          <w:bCs w:val="0"/>
          <w:sz w:val="32"/>
          <w:szCs w:val="32"/>
          <w:shd w:val="clear" w:fill="FFFFFF"/>
          <w:lang w:eastAsia="zh-CN"/>
        </w:rPr>
        <w:t>）</w:t>
      </w:r>
      <w:r>
        <w:rPr>
          <w:rStyle w:val="19"/>
          <w:rFonts w:hint="default" w:ascii="Times New Roman" w:hAnsi="Times New Roman" w:eastAsia="方正楷体_GBK" w:cs="Times New Roman"/>
          <w:b w:val="0"/>
          <w:bCs w:val="0"/>
          <w:sz w:val="32"/>
          <w:szCs w:val="32"/>
          <w:shd w:val="clear" w:fill="FFFFFF"/>
        </w:rPr>
        <w:t>职能职责</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1.根据国家和本市规定收集、报送辖区内卫生健康信息，建立和管理居民健康档案，提出改进辖区公共卫生状况的建议；</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2.开展健康教育，普及健康知识；</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3.协助开展传染病以及地方病、寄生虫病的预防控制，配合开展爱国卫生工作；</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4.做好高危人群、重点慢性病患者的筛查和病例管理；</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5.提供心理健康指导服务，实施精神病社区管理；</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6.为妇女、儿童、老年人、残疾人等重点人群提供保健和康复服务；</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7.提供计划生育技术服务，协助处置辖区内突发公共卫生事件等；</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8.按要求提供其他公共卫生服务。</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（二）机构设置</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w:t>
      </w:r>
      <w:r>
        <w:rPr>
          <w:rFonts w:hint="default" w:ascii="Times New Roman" w:hAnsi="Times New Roman" w:eastAsia="方正仿宋_GBK" w:cs="Times New Roman"/>
          <w:b w:val="0"/>
          <w:bCs w:val="0"/>
          <w:color w:val="333333"/>
          <w:kern w:val="0"/>
          <w:sz w:val="32"/>
          <w:szCs w:val="32"/>
          <w:shd w:val="clear" w:fill="FFFFFF"/>
          <w:lang w:eastAsia="zh-CN"/>
        </w:rPr>
        <w:t>为托管单位</w:t>
      </w:r>
      <w:r>
        <w:rPr>
          <w:rFonts w:hint="default" w:ascii="Times New Roman" w:hAnsi="Times New Roman" w:eastAsia="方正仿宋_GBK" w:cs="Times New Roman"/>
          <w:b w:val="0"/>
          <w:bCs w:val="0"/>
          <w:color w:val="333333"/>
          <w:kern w:val="0"/>
          <w:sz w:val="32"/>
          <w:szCs w:val="32"/>
          <w:shd w:val="clear" w:fill="FFFFFF"/>
        </w:rPr>
        <w:t>下设</w:t>
      </w:r>
      <w:r>
        <w:rPr>
          <w:rFonts w:hint="default" w:ascii="Times New Roman" w:hAnsi="Times New Roman" w:eastAsia="方正仿宋_GBK" w:cs="Times New Roman"/>
          <w:b w:val="0"/>
          <w:bCs w:val="0"/>
          <w:color w:val="333333"/>
          <w:kern w:val="0"/>
          <w:sz w:val="32"/>
          <w:szCs w:val="32"/>
          <w:shd w:val="clear" w:fill="FFFFFF"/>
          <w:lang w:eastAsia="zh-CN"/>
        </w:rPr>
        <w:t>全科门诊</w:t>
      </w:r>
      <w:r>
        <w:rPr>
          <w:rFonts w:hint="default" w:ascii="Times New Roman" w:hAnsi="Times New Roman" w:eastAsia="方正仿宋_GBK" w:cs="Times New Roman"/>
          <w:b w:val="0"/>
          <w:bCs w:val="0"/>
          <w:color w:val="333333"/>
          <w:kern w:val="0"/>
          <w:sz w:val="32"/>
          <w:szCs w:val="32"/>
          <w:shd w:val="clear" w:fill="FFFFFF"/>
        </w:rPr>
        <w:t>。本单位实有事业编制</w:t>
      </w:r>
      <w:r>
        <w:rPr>
          <w:rFonts w:hint="default" w:ascii="Times New Roman" w:hAnsi="Times New Roman" w:eastAsia="方正仿宋_GBK" w:cs="Times New Roman"/>
          <w:b w:val="0"/>
          <w:bCs w:val="0"/>
          <w:color w:val="333333"/>
          <w:kern w:val="0"/>
          <w:sz w:val="32"/>
          <w:szCs w:val="32"/>
          <w:shd w:val="clear" w:fill="FFFFFF"/>
          <w:lang w:val="en-US" w:eastAsia="zh-CN"/>
        </w:rPr>
        <w:t>8</w:t>
      </w:r>
      <w:r>
        <w:rPr>
          <w:rFonts w:hint="default" w:ascii="Times New Roman" w:hAnsi="Times New Roman" w:eastAsia="方正仿宋_GBK" w:cs="Times New Roman"/>
          <w:b w:val="0"/>
          <w:bCs w:val="0"/>
          <w:color w:val="333333"/>
          <w:kern w:val="0"/>
          <w:sz w:val="32"/>
          <w:szCs w:val="32"/>
          <w:shd w:val="clear" w:fill="FFFFFF"/>
        </w:rPr>
        <w:t>名，临聘人员</w:t>
      </w:r>
      <w:r>
        <w:rPr>
          <w:rFonts w:hint="default" w:ascii="Times New Roman" w:hAnsi="Times New Roman" w:eastAsia="方正仿宋_GBK" w:cs="Times New Roman"/>
          <w:b w:val="0"/>
          <w:bCs w:val="0"/>
          <w:color w:val="333333"/>
          <w:kern w:val="0"/>
          <w:sz w:val="32"/>
          <w:szCs w:val="32"/>
          <w:shd w:val="clear" w:fill="FFFFFF"/>
          <w:lang w:val="en-US" w:eastAsia="zh-CN"/>
        </w:rPr>
        <w:t>1</w:t>
      </w:r>
      <w:r>
        <w:rPr>
          <w:rFonts w:hint="default" w:ascii="Times New Roman" w:hAnsi="Times New Roman" w:eastAsia="方正仿宋_GBK" w:cs="Times New Roman"/>
          <w:b w:val="0"/>
          <w:bCs w:val="0"/>
          <w:color w:val="333333"/>
          <w:kern w:val="0"/>
          <w:sz w:val="32"/>
          <w:szCs w:val="32"/>
          <w:shd w:val="clear" w:fill="FFFFFF"/>
        </w:rPr>
        <w:t>人。</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二、单位决算情况说明</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Style w:val="11"/>
          <w:rFonts w:hint="default" w:ascii="Times New Roman" w:hAnsi="Times New Roman" w:eastAsia="方正仿宋_GBK" w:cs="Times New Roman"/>
          <w:b w:val="0"/>
          <w:bCs w:val="0"/>
          <w:sz w:val="32"/>
          <w:szCs w:val="32"/>
          <w:shd w:val="clear" w:color="auto" w:fill="FFFFFF"/>
        </w:rPr>
        <w:t>1.总体情况。</w:t>
      </w:r>
      <w:r>
        <w:rPr>
          <w:rFonts w:hint="default" w:ascii="Times New Roman" w:hAnsi="Times New Roman" w:eastAsia="方正仿宋_GBK" w:cs="Times New Roman"/>
          <w:b w:val="0"/>
          <w:bCs w:val="0"/>
          <w:sz w:val="32"/>
          <w:szCs w:val="32"/>
          <w:shd w:val="clear" w:color="auto" w:fill="FFFFFF"/>
        </w:rPr>
        <w:t>2023年度收入总计130.08万元，支出总计</w:t>
      </w:r>
      <w:r>
        <w:rPr>
          <w:rFonts w:hint="default" w:ascii="Times New Roman" w:hAnsi="Times New Roman" w:eastAsia="方正仿宋_GBK" w:cs="Times New Roman"/>
          <w:b w:val="0"/>
          <w:bCs w:val="0"/>
          <w:sz w:val="32"/>
          <w:szCs w:val="32"/>
        </w:rPr>
        <w:t>130.08</w:t>
      </w:r>
      <w:r>
        <w:rPr>
          <w:rFonts w:hint="default" w:ascii="Times New Roman" w:hAnsi="Times New Roman" w:eastAsia="方正仿宋_GBK" w:cs="Times New Roman"/>
          <w:b w:val="0"/>
          <w:bCs w:val="0"/>
          <w:sz w:val="32"/>
          <w:szCs w:val="32"/>
          <w:shd w:val="clear" w:color="auto" w:fill="FFFFFF"/>
        </w:rPr>
        <w:t>万元。收支较上年决算数增加30.60万元，增长30.76%，主要原因是</w:t>
      </w:r>
      <w:r>
        <w:rPr>
          <w:rFonts w:hint="default" w:ascii="Times New Roman" w:hAnsi="Times New Roman" w:eastAsia="方正仿宋_GBK" w:cs="Times New Roman"/>
          <w:b w:val="0"/>
          <w:bCs w:val="0"/>
          <w:sz w:val="32"/>
          <w:szCs w:val="32"/>
          <w:shd w:val="clear" w:color="auto" w:fill="FFFFFF"/>
          <w:lang w:eastAsia="zh-CN"/>
        </w:rPr>
        <w:t>财政拨款、其他收入增加，相对应的支</w:t>
      </w:r>
      <w:r>
        <w:rPr>
          <w:rFonts w:hint="eastAsia" w:ascii="Times New Roman" w:hAnsi="Times New Roman" w:eastAsia="方正仿宋_GBK" w:cs="Times New Roman"/>
          <w:b w:val="0"/>
          <w:bCs w:val="0"/>
          <w:sz w:val="32"/>
          <w:szCs w:val="32"/>
          <w:shd w:val="clear" w:color="auto" w:fill="FFFFFF"/>
          <w:lang w:val="en-US" w:eastAsia="zh-CN"/>
        </w:rPr>
        <w:t>出</w:t>
      </w:r>
      <w:r>
        <w:rPr>
          <w:rFonts w:hint="default" w:ascii="Times New Roman" w:hAnsi="Times New Roman" w:eastAsia="方正仿宋_GBK" w:cs="Times New Roman"/>
          <w:b w:val="0"/>
          <w:bCs w:val="0"/>
          <w:sz w:val="32"/>
          <w:szCs w:val="32"/>
          <w:shd w:val="clear" w:color="auto" w:fill="FFFFFF"/>
          <w:lang w:eastAsia="zh-CN"/>
        </w:rPr>
        <w:t>增加。</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2.收入情况。</w:t>
      </w:r>
      <w:r>
        <w:rPr>
          <w:rFonts w:hint="default" w:ascii="Times New Roman" w:hAnsi="Times New Roman" w:eastAsia="方正仿宋_GBK" w:cs="Times New Roman"/>
          <w:b w:val="0"/>
          <w:bCs w:val="0"/>
          <w:sz w:val="32"/>
          <w:szCs w:val="32"/>
          <w:shd w:val="clear" w:color="auto" w:fill="FFFFFF"/>
        </w:rPr>
        <w:t>2023年度收入合计130.08万元，较上年决算数增加30.60万元，增长30.76%，主</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财政拨款、其他收入增加。</w:t>
      </w:r>
      <w:r>
        <w:rPr>
          <w:rFonts w:hint="default" w:ascii="Times New Roman" w:hAnsi="Times New Roman" w:eastAsia="方正仿宋_GBK" w:cs="Times New Roman"/>
          <w:b w:val="0"/>
          <w:bCs w:val="0"/>
          <w:sz w:val="32"/>
          <w:szCs w:val="32"/>
          <w:shd w:val="clear" w:color="auto" w:fill="FFFFFF"/>
        </w:rPr>
        <w:t>其中：财政拨款收入</w:t>
      </w:r>
      <w:r>
        <w:rPr>
          <w:rFonts w:hint="default" w:ascii="Times New Roman" w:hAnsi="Times New Roman" w:eastAsia="方正仿宋_GBK" w:cs="Times New Roman"/>
          <w:b w:val="0"/>
          <w:bCs w:val="0"/>
          <w:sz w:val="32"/>
          <w:szCs w:val="32"/>
        </w:rPr>
        <w:t>99.59</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76.56</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rPr>
        <w:t>13.34</w:t>
      </w:r>
      <w:r>
        <w:rPr>
          <w:rFonts w:hint="default" w:ascii="Times New Roman" w:hAnsi="Times New Roman" w:eastAsia="方正仿宋_GBK" w:cs="Times New Roman"/>
          <w:b w:val="0"/>
          <w:bCs w:val="0"/>
          <w:sz w:val="32"/>
          <w:szCs w:val="32"/>
          <w:shd w:val="clear" w:color="auto" w:fill="FFFFFF"/>
        </w:rPr>
        <w:t>万元，占10.26%；经营收入</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万元，占0.00%；其他收入</w:t>
      </w:r>
      <w:r>
        <w:rPr>
          <w:rFonts w:hint="default" w:ascii="Times New Roman" w:hAnsi="Times New Roman" w:eastAsia="方正仿宋_GBK" w:cs="Times New Roman"/>
          <w:b w:val="0"/>
          <w:bCs w:val="0"/>
          <w:sz w:val="32"/>
          <w:szCs w:val="32"/>
        </w:rPr>
        <w:t>17.15</w:t>
      </w:r>
      <w:r>
        <w:rPr>
          <w:rFonts w:hint="default" w:ascii="Times New Roman" w:hAnsi="Times New Roman" w:eastAsia="方正仿宋_GBK" w:cs="Times New Roman"/>
          <w:b w:val="0"/>
          <w:bCs w:val="0"/>
          <w:sz w:val="32"/>
          <w:szCs w:val="32"/>
          <w:shd w:val="clear" w:color="auto" w:fill="FFFFFF"/>
        </w:rPr>
        <w:t>万元，占13.18%。此外，使用非财政拨款结余和专用结余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万元，年初结转和结余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3.支出情况。</w:t>
      </w:r>
      <w:r>
        <w:rPr>
          <w:rFonts w:hint="default" w:ascii="Times New Roman" w:hAnsi="Times New Roman" w:eastAsia="方正仿宋_GBK" w:cs="Times New Roman"/>
          <w:b w:val="0"/>
          <w:bCs w:val="0"/>
          <w:sz w:val="32"/>
          <w:szCs w:val="32"/>
          <w:shd w:val="clear" w:color="auto" w:fill="FFFFFF"/>
        </w:rPr>
        <w:t>2023年度支出合计</w:t>
      </w:r>
      <w:r>
        <w:rPr>
          <w:rFonts w:hint="default" w:ascii="Times New Roman" w:hAnsi="Times New Roman" w:eastAsia="方正仿宋_GBK" w:cs="Times New Roman"/>
          <w:b w:val="0"/>
          <w:bCs w:val="0"/>
          <w:sz w:val="32"/>
          <w:szCs w:val="32"/>
        </w:rPr>
        <w:t>124.28</w:t>
      </w:r>
      <w:r>
        <w:rPr>
          <w:rFonts w:hint="default" w:ascii="Times New Roman" w:hAnsi="Times New Roman" w:eastAsia="方正仿宋_GBK" w:cs="Times New Roman"/>
          <w:b w:val="0"/>
          <w:bCs w:val="0"/>
          <w:sz w:val="32"/>
          <w:szCs w:val="32"/>
          <w:shd w:val="clear" w:color="auto" w:fill="FFFFFF"/>
        </w:rPr>
        <w:t>万元，较上年决算数增加24.80万元，增长24.93%，</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财政拨款、其他收入增加，相对应的支出增加。</w:t>
      </w:r>
      <w:r>
        <w:rPr>
          <w:rFonts w:hint="default" w:ascii="Times New Roman" w:hAnsi="Times New Roman" w:eastAsia="方正仿宋_GBK" w:cs="Times New Roman"/>
          <w:b w:val="0"/>
          <w:bCs w:val="0"/>
          <w:sz w:val="32"/>
          <w:szCs w:val="32"/>
          <w:shd w:val="clear" w:color="auto" w:fill="FFFFFF"/>
        </w:rPr>
        <w:t>其中：基本支出</w:t>
      </w:r>
      <w:r>
        <w:rPr>
          <w:rFonts w:hint="default" w:ascii="Times New Roman" w:hAnsi="Times New Roman" w:eastAsia="方正仿宋_GBK" w:cs="Times New Roman"/>
          <w:b w:val="0"/>
          <w:bCs w:val="0"/>
          <w:sz w:val="32"/>
          <w:szCs w:val="32"/>
        </w:rPr>
        <w:t>124.28</w:t>
      </w:r>
      <w:r>
        <w:rPr>
          <w:rFonts w:hint="default" w:ascii="Times New Roman" w:hAnsi="Times New Roman" w:eastAsia="方正仿宋_GBK" w:cs="Times New Roman"/>
          <w:b w:val="0"/>
          <w:bCs w:val="0"/>
          <w:sz w:val="32"/>
          <w:szCs w:val="32"/>
          <w:shd w:val="clear" w:color="auto" w:fill="FFFFFF"/>
        </w:rPr>
        <w:t>万元，占100.00%；项目支出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万元，占0.00%；经营支出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万元，占0.00%。此外，结余分配</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val="en-US" w:eastAsia="zh-CN"/>
        </w:rPr>
      </w:pPr>
      <w:r>
        <w:rPr>
          <w:rStyle w:val="11"/>
          <w:rFonts w:hint="default" w:ascii="Times New Roman" w:hAnsi="Times New Roman" w:eastAsia="方正仿宋_GBK" w:cs="Times New Roman"/>
          <w:b w:val="0"/>
          <w:bCs w:val="0"/>
          <w:sz w:val="32"/>
          <w:szCs w:val="32"/>
          <w:shd w:val="clear" w:color="auto" w:fill="FFFFFF"/>
        </w:rPr>
        <w:t>4.结转结余情况。</w:t>
      </w:r>
      <w:r>
        <w:rPr>
          <w:rFonts w:hint="default" w:ascii="Times New Roman" w:hAnsi="Times New Roman" w:eastAsia="方正仿宋_GBK" w:cs="Times New Roman"/>
          <w:b w:val="0"/>
          <w:bCs w:val="0"/>
          <w:sz w:val="32"/>
          <w:szCs w:val="32"/>
          <w:shd w:val="clear" w:color="auto" w:fill="FFFFFF"/>
        </w:rPr>
        <w:t>2023年度年末结转和结余</w:t>
      </w:r>
      <w:r>
        <w:rPr>
          <w:rFonts w:hint="default" w:ascii="Times New Roman" w:hAnsi="Times New Roman" w:eastAsia="方正仿宋_GBK" w:cs="Times New Roman"/>
          <w:b w:val="0"/>
          <w:bCs w:val="0"/>
          <w:sz w:val="32"/>
          <w:szCs w:val="32"/>
        </w:rPr>
        <w:t>5.80</w:t>
      </w:r>
      <w:r>
        <w:rPr>
          <w:rFonts w:hint="default" w:ascii="Times New Roman" w:hAnsi="Times New Roman" w:eastAsia="方正仿宋_GBK" w:cs="Times New Roman"/>
          <w:b w:val="0"/>
          <w:bCs w:val="0"/>
          <w:sz w:val="32"/>
          <w:szCs w:val="32"/>
          <w:shd w:val="clear" w:color="auto" w:fill="FFFFFF"/>
        </w:rPr>
        <w:t>万元，较上年决算数增加5.80万元，增长100.00%，</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财政拨</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2022年超额绩效款</w:t>
      </w:r>
      <w:r>
        <w:rPr>
          <w:rFonts w:hint="eastAsia"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未发放</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shd w:val="clear" w:color="auto" w:fill="FFFFFF"/>
        </w:rPr>
        <w:t>2023年度财政拨款收、支总计99.59万元。与2022年相比，财政拨款收、支总计各增加17.69万元，增长21.60%。主要原因是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财政拨款、其他收入增加，相对应的支出增加。</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仿宋_GBK" w:cs="Times New Roman"/>
          <w:b w:val="0"/>
          <w:bCs w:val="0"/>
          <w:sz w:val="32"/>
          <w:szCs w:val="32"/>
          <w:shd w:val="clear" w:color="auto" w:fill="FFFFFF"/>
        </w:rPr>
        <w:t>1.收入情况。</w:t>
      </w:r>
      <w:r>
        <w:rPr>
          <w:rFonts w:hint="default" w:ascii="Times New Roman" w:hAnsi="Times New Roman" w:eastAsia="方正仿宋_GBK" w:cs="Times New Roman"/>
          <w:b w:val="0"/>
          <w:bCs w:val="0"/>
          <w:sz w:val="32"/>
          <w:szCs w:val="32"/>
          <w:shd w:val="clear" w:color="auto" w:fill="FFFFFF"/>
        </w:rPr>
        <w:t>2023年度一般公共预算财政拨款收入</w:t>
      </w:r>
      <w:r>
        <w:rPr>
          <w:rFonts w:hint="default" w:ascii="Times New Roman" w:hAnsi="Times New Roman" w:eastAsia="方正仿宋_GBK" w:cs="Times New Roman"/>
          <w:b w:val="0"/>
          <w:bCs w:val="0"/>
          <w:sz w:val="32"/>
          <w:szCs w:val="32"/>
        </w:rPr>
        <w:t>99.59</w:t>
      </w:r>
      <w:r>
        <w:rPr>
          <w:rFonts w:hint="default" w:ascii="Times New Roman" w:hAnsi="Times New Roman" w:eastAsia="方正仿宋_GBK" w:cs="Times New Roman"/>
          <w:b w:val="0"/>
          <w:bCs w:val="0"/>
          <w:sz w:val="32"/>
          <w:szCs w:val="32"/>
          <w:shd w:val="clear" w:color="auto" w:fill="FFFFFF"/>
        </w:rPr>
        <w:t>万元，较上年决算数增加17.69万元，增长21.60%。主要原因是</w:t>
      </w:r>
      <w:r>
        <w:rPr>
          <w:rFonts w:hint="eastAsia" w:ascii="Times New Roman" w:hAnsi="Times New Roman" w:eastAsia="方正仿宋_GBK" w:cs="Times New Roman"/>
          <w:b w:val="0"/>
          <w:bCs w:val="0"/>
          <w:sz w:val="32"/>
          <w:szCs w:val="32"/>
          <w:shd w:val="clear" w:color="auto" w:fill="FFFFFF"/>
          <w:lang w:eastAsia="zh-CN"/>
        </w:rPr>
        <w:t>财政拨</w:t>
      </w:r>
      <w:r>
        <w:rPr>
          <w:rFonts w:hint="eastAsia" w:ascii="Times New Roman" w:hAnsi="Times New Roman" w:eastAsia="方正仿宋_GBK" w:cs="Times New Roman"/>
          <w:b w:val="0"/>
          <w:bCs w:val="0"/>
          <w:sz w:val="32"/>
          <w:szCs w:val="32"/>
          <w:shd w:val="clear" w:color="auto" w:fill="FFFFFF"/>
          <w:lang w:val="en-US" w:eastAsia="zh-CN"/>
        </w:rPr>
        <w:t>款增加</w:t>
      </w:r>
      <w:r>
        <w:rPr>
          <w:rFonts w:hint="default" w:ascii="Times New Roman" w:hAnsi="Times New Roman" w:eastAsia="方正仿宋_GBK" w:cs="Times New Roman"/>
          <w:b w:val="0"/>
          <w:bCs w:val="0"/>
          <w:sz w:val="32"/>
          <w:szCs w:val="32"/>
          <w:shd w:val="clear" w:color="auto" w:fill="FFFFFF"/>
          <w:lang w:val="en-US" w:eastAsia="zh-CN"/>
        </w:rPr>
        <w:t>。</w:t>
      </w:r>
      <w:r>
        <w:rPr>
          <w:rFonts w:hint="default" w:ascii="Times New Roman" w:hAnsi="Times New Roman" w:eastAsia="方正仿宋_GBK" w:cs="Times New Roman"/>
          <w:b w:val="0"/>
          <w:bCs w:val="0"/>
          <w:sz w:val="32"/>
          <w:szCs w:val="32"/>
          <w:shd w:val="clear" w:color="auto" w:fill="FFFFFF"/>
        </w:rPr>
        <w:t>较年初预算数增加12.77万元，增长14.71%。</w:t>
      </w:r>
      <w:r>
        <w:rPr>
          <w:rFonts w:hint="default" w:ascii="Times New Roman" w:hAnsi="Times New Roman" w:eastAsia="方正仿宋_GBK" w:cs="Times New Roman"/>
          <w:b w:val="0"/>
          <w:bCs w:val="0"/>
          <w:color w:val="333333"/>
          <w:kern w:val="0"/>
          <w:sz w:val="32"/>
          <w:szCs w:val="32"/>
          <w:shd w:val="clear" w:fill="FFFFFF"/>
        </w:rPr>
        <w:t>主要原因是根据单位情况预估核算，实际财政拨款收入由财政根据资金分配情况统一安排拨款。</w:t>
      </w:r>
      <w:r>
        <w:rPr>
          <w:rFonts w:hint="default" w:ascii="Times New Roman" w:hAnsi="Times New Roman" w:eastAsia="方正仿宋_GBK" w:cs="Times New Roman"/>
          <w:b w:val="0"/>
          <w:bCs w:val="0"/>
          <w:sz w:val="32"/>
          <w:szCs w:val="32"/>
          <w:shd w:val="clear" w:color="auto" w:fill="FFFFFF"/>
        </w:rPr>
        <w:t>此外，年初财政拨款结转和结余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2.支出情况。2023年度一般公共预算财政拨款支出93.79万元，较上年决算数增加11.89万元，增长14.52%。主要原因是</w:t>
      </w:r>
      <w:r>
        <w:rPr>
          <w:rStyle w:val="11"/>
          <w:rFonts w:hint="eastAsia" w:ascii="Times New Roman" w:hAnsi="Times New Roman" w:eastAsia="方正仿宋_GBK" w:cs="Times New Roman"/>
          <w:b w:val="0"/>
          <w:bCs w:val="0"/>
          <w:sz w:val="32"/>
          <w:szCs w:val="32"/>
          <w:shd w:val="clear" w:color="auto" w:fill="FFFFFF"/>
          <w:lang w:val="en-US" w:eastAsia="zh-CN"/>
        </w:rPr>
        <w:t>财政拨款增加，相对应的支出增加</w:t>
      </w:r>
      <w:r>
        <w:rPr>
          <w:rStyle w:val="11"/>
          <w:rFonts w:hint="default" w:ascii="Times New Roman" w:hAnsi="Times New Roman" w:eastAsia="方正仿宋_GBK" w:cs="Times New Roman"/>
          <w:b w:val="0"/>
          <w:bCs w:val="0"/>
          <w:sz w:val="32"/>
          <w:szCs w:val="32"/>
          <w:shd w:val="clear" w:color="auto" w:fill="FFFFFF"/>
          <w:lang w:val="en-US" w:eastAsia="zh-CN"/>
        </w:rPr>
        <w:t>。</w:t>
      </w:r>
      <w:r>
        <w:rPr>
          <w:rStyle w:val="11"/>
          <w:rFonts w:hint="default" w:ascii="Times New Roman" w:hAnsi="Times New Roman" w:eastAsia="方正仿宋_GBK" w:cs="Times New Roman"/>
          <w:b w:val="0"/>
          <w:bCs w:val="0"/>
          <w:sz w:val="32"/>
          <w:szCs w:val="32"/>
          <w:shd w:val="clear" w:color="auto" w:fill="FFFFFF"/>
        </w:rPr>
        <w:t>较年初预算数增加6.97万元，增长8.03%。主要原因是根据单位情况预估核算，实际财政拨款收入由财政根据资金分配情况统一安排拨款。</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3.结转结余情况。2023年度年末一般公共预算财政拨款结转和结余5.80万元，较上年决算数增加5.80万元，增长100.00%，主要原因是</w:t>
      </w:r>
      <w:r>
        <w:rPr>
          <w:rStyle w:val="11"/>
          <w:rFonts w:hint="default" w:ascii="Times New Roman" w:hAnsi="Times New Roman" w:eastAsia="方正仿宋_GBK" w:cs="Times New Roman"/>
          <w:b w:val="0"/>
          <w:bCs w:val="0"/>
          <w:sz w:val="32"/>
          <w:szCs w:val="32"/>
          <w:shd w:val="clear" w:color="auto" w:fill="FFFFFF"/>
          <w:lang w:eastAsia="zh-CN"/>
        </w:rPr>
        <w:t>财政拨</w:t>
      </w:r>
      <w:r>
        <w:rPr>
          <w:rStyle w:val="11"/>
          <w:rFonts w:hint="default" w:ascii="Times New Roman" w:hAnsi="Times New Roman" w:eastAsia="方正仿宋_GBK" w:cs="Times New Roman"/>
          <w:b w:val="0"/>
          <w:bCs w:val="0"/>
          <w:sz w:val="32"/>
          <w:szCs w:val="32"/>
          <w:shd w:val="clear" w:color="auto" w:fill="FFFFFF"/>
          <w:lang w:val="en-US" w:eastAsia="zh-CN"/>
        </w:rPr>
        <w:t>2022年超额绩效款</w:t>
      </w:r>
      <w:r>
        <w:rPr>
          <w:rStyle w:val="11"/>
          <w:rFonts w:hint="eastAsia" w:ascii="Times New Roman" w:hAnsi="Times New Roman" w:eastAsia="方正仿宋_GBK" w:cs="Times New Roman"/>
          <w:b w:val="0"/>
          <w:bCs w:val="0"/>
          <w:sz w:val="32"/>
          <w:szCs w:val="32"/>
          <w:shd w:val="clear" w:color="auto" w:fill="FFFFFF"/>
          <w:lang w:val="en-US" w:eastAsia="zh-CN"/>
        </w:rPr>
        <w:t>未支付</w:t>
      </w:r>
      <w:r>
        <w:rPr>
          <w:rStyle w:val="11"/>
          <w:rFonts w:hint="default" w:ascii="Times New Roman" w:hAnsi="Times New Roman" w:eastAsia="方正仿宋_GBK" w:cs="Times New Roman"/>
          <w:b w:val="0"/>
          <w:bCs w:val="0"/>
          <w:sz w:val="32"/>
          <w:szCs w:val="32"/>
          <w:shd w:val="clear" w:color="auto" w:fill="FFFFFF"/>
          <w:lang w:val="en-US" w:eastAsia="zh-CN"/>
        </w:rPr>
        <w:t>。</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4.比较情况。本单位2023年度一般公共预算财政拨款支出主要用于以下几个方面：</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w:t>
      </w:r>
      <w:r>
        <w:rPr>
          <w:rStyle w:val="11"/>
          <w:rFonts w:hint="default" w:ascii="Times New Roman" w:hAnsi="Times New Roman" w:eastAsia="方正仿宋_GBK" w:cs="Times New Roman"/>
          <w:b w:val="0"/>
          <w:bCs w:val="0"/>
          <w:sz w:val="32"/>
          <w:szCs w:val="32"/>
          <w:shd w:val="clear" w:color="auto" w:fill="FFFFFF"/>
          <w:lang w:val="en-US" w:eastAsia="zh-CN"/>
        </w:rPr>
        <w:t>1</w:t>
      </w:r>
      <w:r>
        <w:rPr>
          <w:rStyle w:val="11"/>
          <w:rFonts w:hint="default" w:ascii="Times New Roman" w:hAnsi="Times New Roman" w:eastAsia="方正仿宋_GBK" w:cs="Times New Roman"/>
          <w:b w:val="0"/>
          <w:bCs w:val="0"/>
          <w:sz w:val="32"/>
          <w:szCs w:val="32"/>
          <w:shd w:val="clear" w:color="auto" w:fill="FFFFFF"/>
        </w:rPr>
        <w:t>）社会保障与就业支出10.70万元，占11.41%，较年初预算数减少3.43万元，下降24.27%，主要原因是根据单位情况预估核算，实际财政拨款收入由财政根据资金分配情况统一安排拨款。</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w:t>
      </w:r>
      <w:r>
        <w:rPr>
          <w:rStyle w:val="11"/>
          <w:rFonts w:hint="default" w:ascii="Times New Roman" w:hAnsi="Times New Roman" w:eastAsia="方正仿宋_GBK" w:cs="Times New Roman"/>
          <w:b w:val="0"/>
          <w:bCs w:val="0"/>
          <w:sz w:val="32"/>
          <w:szCs w:val="32"/>
          <w:shd w:val="clear" w:color="auto" w:fill="FFFFFF"/>
          <w:lang w:val="en-US" w:eastAsia="zh-CN"/>
        </w:rPr>
        <w:t>2</w:t>
      </w:r>
      <w:r>
        <w:rPr>
          <w:rStyle w:val="11"/>
          <w:rFonts w:hint="default" w:ascii="Times New Roman" w:hAnsi="Times New Roman" w:eastAsia="方正仿宋_GBK" w:cs="Times New Roman"/>
          <w:b w:val="0"/>
          <w:bCs w:val="0"/>
          <w:sz w:val="32"/>
          <w:szCs w:val="32"/>
          <w:shd w:val="clear" w:color="auto" w:fill="FFFFFF"/>
        </w:rPr>
        <w:t>）卫生健康支出79.28万元，占84.53%，较年初预算数增加13.07万元，增长19.74%，主要原因是根据单位情况预估核算，实际财政拨款收入由财政根据资金分配情况统一安排拨款。</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w:t>
      </w:r>
      <w:r>
        <w:rPr>
          <w:rStyle w:val="11"/>
          <w:rFonts w:hint="default" w:ascii="Times New Roman" w:hAnsi="Times New Roman" w:eastAsia="方正仿宋_GBK" w:cs="Times New Roman"/>
          <w:b w:val="0"/>
          <w:bCs w:val="0"/>
          <w:sz w:val="32"/>
          <w:szCs w:val="32"/>
          <w:shd w:val="clear" w:color="auto" w:fill="FFFFFF"/>
          <w:lang w:val="en-US" w:eastAsia="zh-CN"/>
        </w:rPr>
        <w:t>3</w:t>
      </w:r>
      <w:r>
        <w:rPr>
          <w:rStyle w:val="11"/>
          <w:rFonts w:hint="default" w:ascii="Times New Roman" w:hAnsi="Times New Roman" w:eastAsia="方正仿宋_GBK" w:cs="Times New Roman"/>
          <w:b w:val="0"/>
          <w:bCs w:val="0"/>
          <w:sz w:val="32"/>
          <w:szCs w:val="32"/>
          <w:shd w:val="clear" w:color="auto" w:fill="FFFFFF"/>
        </w:rPr>
        <w:t>）住房保障支出3.81万元，占4.06%，较年初预算数减少2.67万元，下降41.20%，主要原因是根据单位情况预估核算，实际财政拨款收入由财政根据资金分配情况统一安排拨款。</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2023年度一般公共财政拨款基本支出</w:t>
      </w:r>
      <w:r>
        <w:rPr>
          <w:rFonts w:hint="default" w:ascii="Times New Roman" w:hAnsi="Times New Roman" w:eastAsia="方正仿宋_GBK" w:cs="Times New Roman"/>
          <w:b w:val="0"/>
          <w:bCs w:val="0"/>
          <w:sz w:val="32"/>
          <w:szCs w:val="32"/>
        </w:rPr>
        <w:t>93.79</w:t>
      </w:r>
      <w:r>
        <w:rPr>
          <w:rFonts w:hint="default" w:ascii="Times New Roman" w:hAnsi="Times New Roman" w:eastAsia="方正仿宋_GBK" w:cs="Times New Roman"/>
          <w:b w:val="0"/>
          <w:bCs w:val="0"/>
          <w:sz w:val="32"/>
          <w:szCs w:val="32"/>
          <w:shd w:val="clear" w:color="auto" w:fill="FFFFFF"/>
        </w:rPr>
        <w:t>万元。其中：人员经费</w:t>
      </w:r>
      <w:r>
        <w:rPr>
          <w:rFonts w:hint="default" w:ascii="Times New Roman" w:hAnsi="Times New Roman" w:eastAsia="方正仿宋_GBK" w:cs="Times New Roman"/>
          <w:b w:val="0"/>
          <w:bCs w:val="0"/>
          <w:sz w:val="32"/>
          <w:szCs w:val="32"/>
        </w:rPr>
        <w:t>93.79</w:t>
      </w:r>
      <w:r>
        <w:rPr>
          <w:rFonts w:hint="default" w:ascii="Times New Roman" w:hAnsi="Times New Roman" w:eastAsia="方正仿宋_GBK" w:cs="Times New Roman"/>
          <w:b w:val="0"/>
          <w:bCs w:val="0"/>
          <w:sz w:val="32"/>
          <w:szCs w:val="32"/>
          <w:shd w:val="clear" w:color="auto" w:fill="FFFFFF"/>
        </w:rPr>
        <w:t>万元，较上年决算数增加23.57万元，增长33.57%，</w:t>
      </w:r>
      <w:r>
        <w:rPr>
          <w:rFonts w:hint="default" w:ascii="Times New Roman" w:hAnsi="Times New Roman" w:eastAsia="方正仿宋_GBK" w:cs="Times New Roman"/>
          <w:b w:val="0"/>
          <w:bCs w:val="0"/>
          <w:color w:val="333333"/>
          <w:kern w:val="0"/>
          <w:sz w:val="32"/>
          <w:szCs w:val="32"/>
          <w:shd w:val="clear" w:fill="FFFFFF"/>
        </w:rPr>
        <w:t>主要原因是</w:t>
      </w:r>
      <w:r>
        <w:rPr>
          <w:rFonts w:hint="eastAsia" w:ascii="Times New Roman" w:hAnsi="Times New Roman" w:eastAsia="方正仿宋_GBK" w:cs="Times New Roman"/>
          <w:b w:val="0"/>
          <w:bCs w:val="0"/>
          <w:color w:val="333333"/>
          <w:kern w:val="0"/>
          <w:sz w:val="32"/>
          <w:szCs w:val="32"/>
          <w:shd w:val="clear" w:fill="FFFFFF"/>
          <w:lang w:eastAsia="zh-CN"/>
        </w:rPr>
        <w:t>财政拨款增加，</w:t>
      </w:r>
      <w:r>
        <w:rPr>
          <w:rFonts w:hint="default" w:ascii="Times New Roman" w:hAnsi="Times New Roman" w:eastAsia="方正仿宋_GBK" w:cs="Times New Roman"/>
          <w:b w:val="0"/>
          <w:bCs w:val="0"/>
          <w:color w:val="333333"/>
          <w:kern w:val="0"/>
          <w:sz w:val="32"/>
          <w:szCs w:val="32"/>
          <w:shd w:val="clear" w:fill="FFFFFF"/>
        </w:rPr>
        <w:t>人员经费用途主要包括人员社会保障、工资、绩效、津补贴支出等。</w:t>
      </w:r>
      <w:r>
        <w:rPr>
          <w:rFonts w:hint="default" w:ascii="Times New Roman" w:hAnsi="Times New Roman" w:eastAsia="方正仿宋_GBK" w:cs="Times New Roman"/>
          <w:b w:val="0"/>
          <w:bCs w:val="0"/>
          <w:sz w:val="32"/>
          <w:szCs w:val="32"/>
          <w:shd w:val="clear" w:color="auto" w:fill="FFFFFF"/>
        </w:rPr>
        <w:t>公用经费</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万元，较上年决算数减少11.68万元，下降100.00%，</w:t>
      </w:r>
      <w:r>
        <w:rPr>
          <w:rFonts w:hint="default" w:ascii="Times New Roman" w:hAnsi="Times New Roman" w:eastAsia="方正仿宋_GBK" w:cs="Times New Roman"/>
          <w:b w:val="0"/>
          <w:bCs w:val="0"/>
          <w:color w:val="333333"/>
          <w:kern w:val="0"/>
          <w:sz w:val="32"/>
          <w:szCs w:val="32"/>
          <w:shd w:val="clear" w:fill="FFFFFF"/>
        </w:rPr>
        <w:t>主要原因是合理控制了成本，减少了办公费等的支出。公用经费用途主要包括办公费、水电费、培训费等。</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fill="FFFFFF"/>
          <w:lang w:val="en-US" w:eastAsia="zh-CN"/>
        </w:rPr>
      </w:pPr>
      <w:r>
        <w:rPr>
          <w:rFonts w:hint="default" w:ascii="Times New Roman" w:hAnsi="Times New Roman" w:eastAsia="方正仿宋_GBK" w:cs="Times New Roman"/>
          <w:b w:val="0"/>
          <w:bCs w:val="0"/>
          <w:sz w:val="32"/>
          <w:szCs w:val="32"/>
          <w:shd w:val="clear" w:fill="FFFFFF"/>
          <w:lang w:val="en-US" w:eastAsia="zh-CN"/>
        </w:rPr>
        <w:t>本单位2023年度无政府性基金预算财政拨款收支。</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本单位202</w:t>
      </w:r>
      <w:r>
        <w:rPr>
          <w:rFonts w:hint="default" w:ascii="Times New Roman" w:hAnsi="Times New Roman" w:eastAsia="方正仿宋_GBK" w:cs="Times New Roman"/>
          <w:b w:val="0"/>
          <w:bCs w:val="0"/>
          <w:color w:val="333333"/>
          <w:kern w:val="0"/>
          <w:sz w:val="32"/>
          <w:szCs w:val="32"/>
          <w:shd w:val="clear" w:fill="FFFFFF"/>
          <w:lang w:val="en-US" w:eastAsia="zh-CN"/>
        </w:rPr>
        <w:t>3</w:t>
      </w:r>
      <w:r>
        <w:rPr>
          <w:rFonts w:hint="default" w:ascii="Times New Roman" w:hAnsi="Times New Roman" w:eastAsia="方正仿宋_GBK" w:cs="Times New Roman"/>
          <w:b w:val="0"/>
          <w:bCs w:val="0"/>
          <w:color w:val="333333"/>
          <w:kern w:val="0"/>
          <w:sz w:val="32"/>
          <w:szCs w:val="32"/>
          <w:shd w:val="clear" w:fill="FFFFFF"/>
        </w:rPr>
        <w:t>年度无国有资本经营预算财政拨款支出。</w:t>
      </w:r>
    </w:p>
    <w:p>
      <w:pPr>
        <w:pStyle w:val="9"/>
        <w:keepNext w:val="0"/>
        <w:keepLines w:val="0"/>
        <w:pageBreakBefore w:val="0"/>
        <w:widowControl/>
        <w:shd w:val="clear" w:color="auto"/>
        <w:kinsoku/>
        <w:wordWrap/>
        <w:overflowPunct/>
        <w:topLinePunct w:val="0"/>
        <w:autoSpaceDN/>
        <w:bidi w:val="0"/>
        <w:adjustRightInd/>
        <w:snapToGrid/>
        <w:spacing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三、“三公”经费情况说明</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lang w:eastAsia="zh-CN"/>
        </w:rPr>
        <w:t>本</w:t>
      </w:r>
      <w:r>
        <w:rPr>
          <w:rFonts w:hint="default" w:ascii="Times New Roman" w:hAnsi="Times New Roman" w:eastAsia="方正仿宋_GBK" w:cs="Times New Roman"/>
          <w:b w:val="0"/>
          <w:bCs w:val="0"/>
          <w:color w:val="333333"/>
          <w:kern w:val="0"/>
          <w:sz w:val="32"/>
          <w:szCs w:val="32"/>
          <w:shd w:val="clear" w:fill="FFFFFF"/>
        </w:rPr>
        <w:t>单位为差额拨款单位，财政未保障本单位“三公”经费。</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widowControl/>
        <w:kinsoku/>
        <w:wordWrap/>
        <w:overflowPunct/>
        <w:topLinePunct w:val="0"/>
        <w:autoSpaceDE/>
        <w:autoSpaceDN/>
        <w:bidi w:val="0"/>
        <w:adjustRightInd/>
        <w:spacing w:line="560" w:lineRule="exact"/>
        <w:ind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2023年度本单位因公出国（境）共计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个团组，</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人；公务用车购置</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辆，公务车保有量为</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辆；国内公务接待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人，其中：国内外事接待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人；国（境）外公务接待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人。2023年本单位人均接待费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元，车均购置费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万元，车均维护费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color="auto"/>
        <w:kinsoku/>
        <w:wordWrap/>
        <w:overflowPunct/>
        <w:topLinePunct w:val="0"/>
        <w:autoSpaceDN/>
        <w:bidi w:val="0"/>
        <w:adjustRightInd/>
        <w:snapToGrid/>
        <w:spacing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四、其他需要说明的事项</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一</w:t>
      </w: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rPr>
        <w:t>财政拨款会议费和培训费情况说明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lang w:eastAsia="zh-CN"/>
        </w:rPr>
        <w:t>本</w:t>
      </w:r>
      <w:r>
        <w:rPr>
          <w:rFonts w:hint="default" w:ascii="Times New Roman" w:hAnsi="Times New Roman" w:eastAsia="方正仿宋_GBK" w:cs="Times New Roman"/>
          <w:b w:val="0"/>
          <w:bCs w:val="0"/>
          <w:color w:val="333333"/>
          <w:kern w:val="0"/>
          <w:sz w:val="32"/>
          <w:szCs w:val="32"/>
          <w:shd w:val="clear" w:fill="FFFFFF"/>
        </w:rPr>
        <w:t>单位为差额拨款单位，财政未保障本单位会议费和培训费。</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（二）机关运行经费情况说明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按照部门决算列报口径，</w:t>
      </w:r>
      <w:r>
        <w:rPr>
          <w:rFonts w:hint="eastAsia" w:ascii="Times New Roman" w:hAnsi="Times New Roman" w:eastAsia="方正仿宋_GBK" w:cs="Times New Roman"/>
          <w:b w:val="0"/>
          <w:bCs w:val="0"/>
          <w:color w:val="333333"/>
          <w:kern w:val="0"/>
          <w:sz w:val="32"/>
          <w:szCs w:val="32"/>
          <w:shd w:val="clear" w:fill="FFFFFF"/>
          <w:lang w:eastAsia="zh-CN"/>
        </w:rPr>
        <w:t>本</w:t>
      </w:r>
      <w:r>
        <w:rPr>
          <w:rFonts w:hint="default" w:ascii="Times New Roman" w:hAnsi="Times New Roman" w:eastAsia="方正仿宋_GBK" w:cs="Times New Roman"/>
          <w:b w:val="0"/>
          <w:bCs w:val="0"/>
          <w:color w:val="333333"/>
          <w:kern w:val="0"/>
          <w:sz w:val="32"/>
          <w:szCs w:val="32"/>
          <w:shd w:val="clear" w:fill="FFFFFF"/>
        </w:rPr>
        <w:t>单位为差额拨款事业单位不在机关运行经费统计范围之内。</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（三）国有资产占用情况说明</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截至2023年12月31日，本单位共有车辆</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辆，其中，副部（省）级及以上领导用车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辆、主要负责人用车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辆、机要通信用车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辆、应急保障用车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辆、执法执勤用车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辆，特种专业技术用车</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辆，离退休干部用车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辆。单价100万元（含）以上专用设备</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台（套）。</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202</w:t>
      </w:r>
      <w:r>
        <w:rPr>
          <w:rFonts w:hint="default" w:ascii="Times New Roman" w:hAnsi="Times New Roman" w:eastAsia="方正仿宋_GBK" w:cs="Times New Roman"/>
          <w:b w:val="0"/>
          <w:bCs w:val="0"/>
          <w:color w:val="333333"/>
          <w:kern w:val="0"/>
          <w:sz w:val="32"/>
          <w:szCs w:val="32"/>
          <w:shd w:val="clear" w:fill="FFFFFF"/>
          <w:lang w:val="en-US" w:eastAsia="zh-CN"/>
        </w:rPr>
        <w:t>3</w:t>
      </w:r>
      <w:r>
        <w:rPr>
          <w:rFonts w:hint="default" w:ascii="Times New Roman" w:hAnsi="Times New Roman" w:eastAsia="方正仿宋_GBK" w:cs="Times New Roman"/>
          <w:b w:val="0"/>
          <w:bCs w:val="0"/>
          <w:color w:val="333333"/>
          <w:kern w:val="0"/>
          <w:sz w:val="32"/>
          <w:szCs w:val="32"/>
          <w:shd w:val="clear" w:fill="FFFFFF"/>
        </w:rPr>
        <w:t>年度本单位未发生政府采购事项，无相关经费支出。</w:t>
      </w:r>
    </w:p>
    <w:p>
      <w:pPr>
        <w:pStyle w:val="9"/>
        <w:keepNext w:val="0"/>
        <w:keepLines w:val="0"/>
        <w:pageBreakBefore w:val="0"/>
        <w:widowControl/>
        <w:numPr>
          <w:ilvl w:val="0"/>
          <w:numId w:val="1"/>
        </w:numPr>
        <w:shd w:val="clear" w:color="auto"/>
        <w:kinsoku/>
        <w:wordWrap/>
        <w:overflowPunct/>
        <w:topLinePunct w:val="0"/>
        <w:autoSpaceDN/>
        <w:bidi w:val="0"/>
        <w:adjustRightInd/>
        <w:snapToGrid/>
        <w:spacing w:beforeAutospacing="0" w:after="0" w:afterAutospacing="0" w:line="560" w:lineRule="exact"/>
        <w:ind w:firstLine="640" w:firstLineChars="200"/>
        <w:jc w:val="both"/>
        <w:textAlignment w:val="auto"/>
        <w:outlineLvl w:val="9"/>
        <w:rPr>
          <w:rStyle w:val="11"/>
          <w:rFonts w:hint="default" w:ascii="Times New Roman" w:hAnsi="Times New Roman" w:eastAsia="黑体" w:cs="Times New Roman"/>
          <w:b w:val="0"/>
          <w:bCs w:val="0"/>
          <w:sz w:val="32"/>
          <w:szCs w:val="32"/>
          <w:shd w:val="clear" w:color="auto" w:fill="FFFFFF"/>
        </w:rPr>
      </w:pPr>
      <w:r>
        <w:rPr>
          <w:rStyle w:val="11"/>
          <w:rFonts w:hint="default" w:ascii="Times New Roman" w:hAnsi="Times New Roman" w:eastAsia="黑体" w:cs="Times New Roman"/>
          <w:b w:val="0"/>
          <w:bCs w:val="0"/>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tbl>
      <w:tblPr>
        <w:tblStyle w:val="12"/>
        <w:tblpPr w:leftFromText="180" w:rightFromText="180" w:vertAnchor="text" w:horzAnchor="page" w:tblpX="1840" w:tblpY="57"/>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0" w:firstLineChars="4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eastAsia"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eastAsia"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六、专业名词解释</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（二）事业收入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（三）经营收入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（四）其他收入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（五）使用非财政拨款结余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（六）年初结转和结余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（七）结余分配</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（八）年末结转和结余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（九）基本支出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（十）项目支出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（十一）经营支出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（十二）“三公”经费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（十三）机关运行经费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七、决算公开联系方式及信息反馈渠道</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sectPr>
          <w:headerReference r:id="rId4" w:type="first"/>
          <w:headerReference r:id="rId3" w:type="default"/>
          <w:footerReference r:id="rId5" w:type="default"/>
          <w:pgSz w:w="11915" w:h="16840"/>
          <w:pgMar w:top="2098" w:right="1474" w:bottom="1984" w:left="1587" w:header="851" w:footer="992" w:gutter="0"/>
          <w:pgNumType w:fmt="numberInDash"/>
          <w:cols w:space="720" w:num="1"/>
          <w:titlePg/>
          <w:docGrid w:type="lines" w:linePitch="312" w:charSpace="0"/>
        </w:sectPr>
      </w:pPr>
      <w:r>
        <w:rPr>
          <w:rFonts w:hint="default" w:ascii="Times New Roman" w:hAnsi="Times New Roman" w:eastAsia="方正仿宋_GBK" w:cs="Times New Roman"/>
          <w:b w:val="0"/>
          <w:bCs w:val="0"/>
          <w:sz w:val="32"/>
          <w:szCs w:val="32"/>
          <w:shd w:val="clear" w:color="auto" w:fill="FFFFFF"/>
        </w:rPr>
        <w:t>本单位决算公开信息反馈和联系方式：</w:t>
      </w:r>
      <w:bookmarkStart w:id="0" w:name="_GoBack"/>
      <w:bookmarkEnd w:id="0"/>
      <w:r>
        <w:rPr>
          <w:rFonts w:hint="default" w:ascii="Times New Roman" w:hAnsi="Times New Roman" w:eastAsia="方正仿宋_GBK" w:cs="Times New Roman"/>
          <w:b w:val="0"/>
          <w:bCs w:val="0"/>
          <w:sz w:val="32"/>
          <w:szCs w:val="32"/>
          <w:shd w:val="clear" w:color="auto" w:fill="FFFFFF"/>
          <w:lang w:eastAsia="zh-CN"/>
        </w:rPr>
        <w:t>田佳</w:t>
      </w:r>
      <w:r>
        <w:rPr>
          <w:rFonts w:hint="default" w:ascii="Times New Roman" w:hAnsi="Times New Roman" w:eastAsia="方正仿宋_GBK" w:cs="Times New Roman"/>
          <w:b w:val="0"/>
          <w:bCs w:val="0"/>
          <w:sz w:val="32"/>
          <w:szCs w:val="32"/>
          <w:shd w:val="clear" w:color="auto" w:fill="FFFFFF"/>
          <w:lang w:val="en-US" w:eastAsia="zh-CN"/>
        </w:rPr>
        <w:t xml:space="preserve">  023-76620191</w:t>
      </w:r>
    </w:p>
    <w:p>
      <w:pPr>
        <w:rPr>
          <w:rFonts w:hint="default" w:ascii="Times New Roman" w:hAnsi="Times New Roman" w:cs="Times New Roman"/>
          <w:b w:val="0"/>
          <w:bCs w:val="0"/>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b w:val="0"/>
                <w:bCs w:val="0"/>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b w:val="0"/>
                <w:bCs w:val="0"/>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b w:val="0"/>
                <w:bCs w:val="0"/>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ascii="Times New Roman" w:hAnsi="Times New Roman" w:cs="Times New Roman"/>
                <w:b w:val="0"/>
                <w:bCs w:val="0"/>
                <w:color w:val="000000"/>
                <w:sz w:val="20"/>
                <w:szCs w:val="20"/>
              </w:rPr>
            </w:pPr>
            <w:r>
              <w:rPr>
                <w:rFonts w:hint="default" w:ascii="Times New Roman" w:hAnsi="Times New Roman" w:eastAsia="方正黑体_GBK" w:cs="Times New Roman"/>
                <w:b w:val="0"/>
                <w:bCs w:val="0"/>
                <w:sz w:val="20"/>
                <w:szCs w:val="20"/>
              </w:rPr>
              <w:t>公开单位：</w:t>
            </w:r>
            <w:r>
              <w:rPr>
                <w:rFonts w:hint="default" w:ascii="Times New Roman" w:hAnsi="Times New Roman" w:eastAsia="方正黑体_GBK" w:cs="Times New Roman"/>
                <w:b w:val="0"/>
                <w:bCs w:val="0"/>
                <w:sz w:val="20"/>
              </w:rPr>
              <w:t>重庆市秀山土家族苗族自治县大溪乡卫生院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b w:val="0"/>
                <w:bCs w:val="0"/>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b w:val="0"/>
                <w:bCs w:val="0"/>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99.59</w:t>
            </w: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13.34</w:t>
            </w: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17.15</w:t>
            </w: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109.77</w:t>
            </w: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eastAsia="方正仿宋_GBK"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eastAsia="方正仿宋_GBK"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130.08</w:t>
            </w:r>
            <w:r>
              <w:rPr>
                <w:rFonts w:hint="default" w:ascii="Times New Roman" w:hAnsi="Times New Roman"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124.28</w:t>
            </w: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5.80</w:t>
            </w:r>
            <w:r>
              <w:rPr>
                <w:rFonts w:hint="default" w:ascii="Times New Roman" w:hAnsi="Times New Roman" w:eastAsia="方正仿宋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130.08</w:t>
            </w:r>
            <w:r>
              <w:rPr>
                <w:rFonts w:hint="default" w:ascii="Times New Roman" w:hAnsi="Times New Roman" w:cs="Times New Roman"/>
                <w:b w:val="0"/>
                <w:bCs w:val="0"/>
                <w:color w:val="000000"/>
                <w:sz w:val="20"/>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130.08</w:t>
            </w:r>
            <w:r>
              <w:rPr>
                <w:rFonts w:hint="default" w:ascii="Times New Roman" w:hAnsi="Times New Roman" w:cs="Times New Roman"/>
                <w:b w:val="0"/>
                <w:bCs w:val="0"/>
                <w:color w:val="000000"/>
                <w:sz w:val="20"/>
              </w:rPr>
              <w:t xml:space="preserve"> </w:t>
            </w:r>
          </w:p>
        </w:tc>
      </w:tr>
    </w:tbl>
    <w:p>
      <w:pPr>
        <w:spacing w:line="240" w:lineRule="exact"/>
        <w:rPr>
          <w:rFonts w:hint="default" w:ascii="Times New Roman" w:hAnsi="Times New Roman" w:cs="Times New Roman"/>
          <w:b w:val="0"/>
          <w:bCs w:val="0"/>
          <w:sz w:val="20"/>
          <w:szCs w:val="20"/>
        </w:rPr>
      </w:pPr>
      <w:r>
        <w:rPr>
          <w:rFonts w:hint="default" w:ascii="Times New Roman" w:hAnsi="Times New Roman" w:eastAsia="方正仿宋_GBK" w:cs="Times New Roman"/>
          <w:b w:val="0"/>
          <w:bCs w:val="0"/>
          <w:sz w:val="20"/>
          <w:szCs w:val="20"/>
        </w:rPr>
        <w:t>备注：1.本表反映单位本年度的总收支和年末结转结余情况。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cs="Times New Roman"/>
          <w:b w:val="0"/>
          <w:bCs w:val="0"/>
          <w:sz w:val="20"/>
          <w:szCs w:val="20"/>
        </w:rPr>
        <w:br w:type="textWrapping"/>
      </w:r>
    </w:p>
    <w:tbl>
      <w:tblPr>
        <w:tblStyle w:val="12"/>
        <w:tblW w:w="14780" w:type="dxa"/>
        <w:tblInd w:w="0" w:type="dxa"/>
        <w:tblLayout w:type="fixed"/>
        <w:tblCellMar>
          <w:top w:w="0" w:type="dxa"/>
          <w:left w:w="0" w:type="dxa"/>
          <w:bottom w:w="0" w:type="dxa"/>
          <w:right w:w="0" w:type="dxa"/>
        </w:tblCellMar>
      </w:tblPr>
      <w:tblGrid>
        <w:gridCol w:w="1634"/>
        <w:gridCol w:w="3048"/>
        <w:gridCol w:w="1184"/>
        <w:gridCol w:w="1184"/>
        <w:gridCol w:w="1184"/>
        <w:gridCol w:w="1184"/>
        <w:gridCol w:w="1312"/>
        <w:gridCol w:w="1254"/>
        <w:gridCol w:w="1381"/>
        <w:gridCol w:w="1415"/>
      </w:tblGrid>
      <w:tr>
        <w:tblPrEx>
          <w:tblLayout w:type="fixed"/>
          <w:tblCellMar>
            <w:top w:w="0" w:type="dxa"/>
            <w:left w:w="0" w:type="dxa"/>
            <w:bottom w:w="0" w:type="dxa"/>
            <w:right w:w="0" w:type="dxa"/>
          </w:tblCellMar>
        </w:tblPrEx>
        <w:trPr>
          <w:trHeight w:val="90" w:hRule="atLeast"/>
        </w:trPr>
        <w:tc>
          <w:tcPr>
            <w:tcW w:w="14780"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收入决算表</w:t>
            </w:r>
          </w:p>
        </w:tc>
      </w:tr>
      <w:tr>
        <w:tblPrEx>
          <w:tblLayout w:type="fixed"/>
          <w:tblCellMar>
            <w:top w:w="0" w:type="dxa"/>
            <w:left w:w="0" w:type="dxa"/>
            <w:bottom w:w="0" w:type="dxa"/>
            <w:right w:w="0" w:type="dxa"/>
          </w:tblCellMar>
        </w:tblPrEx>
        <w:trPr>
          <w:trHeight w:val="90" w:hRule="atLeast"/>
        </w:trPr>
        <w:tc>
          <w:tcPr>
            <w:tcW w:w="468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sz w:val="20"/>
                <w:szCs w:val="20"/>
              </w:rPr>
              <w:t>公开单位：</w:t>
            </w:r>
            <w:r>
              <w:rPr>
                <w:rFonts w:hint="default" w:ascii="Times New Roman" w:hAnsi="Times New Roman" w:eastAsia="方正黑体_GBK" w:cs="Times New Roman"/>
                <w:b w:val="0"/>
                <w:bCs w:val="0"/>
                <w:sz w:val="20"/>
              </w:rPr>
              <w:t>重庆市秀山土家族苗族自治县大溪乡卫生院</w:t>
            </w: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31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2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38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41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公开02表</w:t>
            </w:r>
          </w:p>
        </w:tc>
      </w:tr>
      <w:tr>
        <w:tblPrEx>
          <w:tblLayout w:type="fixed"/>
          <w:tblCellMar>
            <w:top w:w="0" w:type="dxa"/>
            <w:left w:w="0" w:type="dxa"/>
            <w:bottom w:w="0" w:type="dxa"/>
            <w:right w:w="0" w:type="dxa"/>
          </w:tblCellMar>
        </w:tblPrEx>
        <w:trPr>
          <w:trHeight w:val="90" w:hRule="atLeast"/>
        </w:trPr>
        <w:tc>
          <w:tcPr>
            <w:tcW w:w="468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18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31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25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38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黑体_GBK" w:cs="Times New Roman"/>
                <w:b w:val="0"/>
                <w:bCs w:val="0"/>
                <w:color w:val="000000"/>
                <w:sz w:val="20"/>
                <w:szCs w:val="20"/>
              </w:rPr>
            </w:pPr>
          </w:p>
        </w:tc>
        <w:tc>
          <w:tcPr>
            <w:tcW w:w="141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单位：</w:t>
            </w:r>
            <w:r>
              <w:rPr>
                <w:rFonts w:hint="default" w:ascii="Times New Roman" w:hAnsi="Times New Roman" w:eastAsia="方正黑体_GBK"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682"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18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本年收</w:t>
            </w:r>
          </w:p>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入合计</w:t>
            </w:r>
          </w:p>
        </w:tc>
        <w:tc>
          <w:tcPr>
            <w:tcW w:w="118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财政拨</w:t>
            </w:r>
          </w:p>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款收入</w:t>
            </w:r>
          </w:p>
        </w:tc>
        <w:tc>
          <w:tcPr>
            <w:tcW w:w="118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上级补</w:t>
            </w:r>
          </w:p>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助收入</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事业收入</w:t>
            </w:r>
          </w:p>
        </w:tc>
        <w:tc>
          <w:tcPr>
            <w:tcW w:w="12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经营收入</w:t>
            </w:r>
          </w:p>
        </w:tc>
        <w:tc>
          <w:tcPr>
            <w:tcW w:w="138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附属单位</w:t>
            </w:r>
          </w:p>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上缴收入</w:t>
            </w:r>
          </w:p>
        </w:tc>
        <w:tc>
          <w:tcPr>
            <w:tcW w:w="141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其他收入</w:t>
            </w:r>
          </w:p>
        </w:tc>
      </w:tr>
      <w:tr>
        <w:tblPrEx>
          <w:tblLayout w:type="fixed"/>
          <w:tblCellMar>
            <w:top w:w="0" w:type="dxa"/>
            <w:left w:w="0" w:type="dxa"/>
            <w:bottom w:w="0" w:type="dxa"/>
            <w:right w:w="0" w:type="dxa"/>
          </w:tblCellMar>
        </w:tblPrEx>
        <w:trPr>
          <w:trHeight w:val="312" w:hRule="atLeast"/>
        </w:trPr>
        <w:tc>
          <w:tcPr>
            <w:tcW w:w="1634"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功能分类</w:t>
            </w:r>
          </w:p>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科目编码</w:t>
            </w:r>
          </w:p>
        </w:tc>
        <w:tc>
          <w:tcPr>
            <w:tcW w:w="3048"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项目（按“项”级功能</w:t>
            </w:r>
          </w:p>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分类科目）</w:t>
            </w: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小计</w:t>
            </w:r>
          </w:p>
        </w:tc>
        <w:tc>
          <w:tcPr>
            <w:tcW w:w="131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其中：教育</w:t>
            </w:r>
          </w:p>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收费</w:t>
            </w:r>
          </w:p>
        </w:tc>
        <w:tc>
          <w:tcPr>
            <w:tcW w:w="12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38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41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63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304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31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38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41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63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304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31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38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41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63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304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31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38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c>
          <w:tcPr>
            <w:tcW w:w="141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468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11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130.08</w:t>
            </w:r>
          </w:p>
        </w:tc>
        <w:tc>
          <w:tcPr>
            <w:tcW w:w="11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99.59</w:t>
            </w:r>
          </w:p>
        </w:tc>
        <w:tc>
          <w:tcPr>
            <w:tcW w:w="11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p>
        </w:tc>
        <w:tc>
          <w:tcPr>
            <w:tcW w:w="118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13.34</w:t>
            </w:r>
          </w:p>
        </w:tc>
        <w:tc>
          <w:tcPr>
            <w:tcW w:w="1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p>
        </w:tc>
        <w:tc>
          <w:tcPr>
            <w:tcW w:w="12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p>
        </w:tc>
        <w:tc>
          <w:tcPr>
            <w:tcW w:w="13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p>
        </w:tc>
        <w:tc>
          <w:tcPr>
            <w:tcW w:w="14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17.15</w:t>
            </w: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社会保障和就业支出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行政事业单位养老支出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2080502</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事业单位离退休</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0.34</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0.34</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2080505</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18"/>
                <w:szCs w:val="18"/>
              </w:rPr>
              <w:t>机关事业单位基本养老保险缴费支出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5.08</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5.08</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2080506</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机关事业单位职业年金缴费支出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2.53</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2.53</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2080599</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其他行政事业单位养老支出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2.76</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2.76</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115.57</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85.08</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13.34</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17.15</w:t>
            </w: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卫生健康管理事务</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2100199</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其他卫生健康管理事务支出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基层医疗卫生机构</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107.30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76.81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13.34</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17.15</w:t>
            </w: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2100302</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乡镇卫生院</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107.30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76.81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13.34</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17.15</w:t>
            </w: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公共卫生</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2100408</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基本公共卫生服务</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行政事业单位医疗</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2101102</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事业单位医疗</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住房保障支出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住房改革支出</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2210201</w:t>
            </w:r>
          </w:p>
        </w:tc>
        <w:tc>
          <w:tcPr>
            <w:tcW w:w="30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住房公积金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bl>
    <w:p>
      <w:pPr>
        <w:rPr>
          <w:rFonts w:hint="default" w:ascii="Times New Roman" w:hAnsi="Times New Roman" w:cs="Times New Roman"/>
          <w:b w:val="0"/>
          <w:bCs w:val="0"/>
          <w:sz w:val="20"/>
          <w:szCs w:val="20"/>
        </w:rPr>
      </w:pPr>
      <w:r>
        <w:rPr>
          <w:rFonts w:hint="default" w:ascii="Times New Roman" w:hAnsi="Times New Roman" w:eastAsia="方正仿宋_GBK" w:cs="Times New Roman"/>
          <w:b w:val="0"/>
          <w:bCs w:val="0"/>
          <w:sz w:val="20"/>
          <w:szCs w:val="20"/>
        </w:rPr>
        <w:t>备注：1.本表反映单位本年度取得的各项收入情况。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2.本套报表金额单位转换时可能存在尾数误差</w:t>
      </w:r>
      <w:r>
        <w:rPr>
          <w:rFonts w:hint="default" w:ascii="Times New Roman" w:hAnsi="Times New Roman" w:cs="Times New Roman"/>
          <w:b w:val="0"/>
          <w:bCs w:val="0"/>
          <w:sz w:val="20"/>
          <w:szCs w:val="20"/>
        </w:rPr>
        <w:t>。</w:t>
      </w:r>
      <w:r>
        <w:rPr>
          <w:rFonts w:hint="default" w:ascii="Times New Roman" w:hAnsi="Times New Roman" w:cs="Times New Roman"/>
          <w:b w:val="0"/>
          <w:bCs w:val="0"/>
          <w:sz w:val="20"/>
          <w:szCs w:val="20"/>
        </w:rPr>
        <w:br w:type="textWrapping"/>
      </w:r>
    </w:p>
    <w:tbl>
      <w:tblPr>
        <w:tblStyle w:val="12"/>
        <w:tblW w:w="14860" w:type="dxa"/>
        <w:tblInd w:w="0" w:type="dxa"/>
        <w:tblLayout w:type="fixed"/>
        <w:tblCellMar>
          <w:top w:w="0" w:type="dxa"/>
          <w:left w:w="0" w:type="dxa"/>
          <w:bottom w:w="0" w:type="dxa"/>
          <w:right w:w="0" w:type="dxa"/>
        </w:tblCellMar>
      </w:tblPr>
      <w:tblGrid>
        <w:gridCol w:w="1741"/>
        <w:gridCol w:w="3242"/>
        <w:gridCol w:w="1643"/>
        <w:gridCol w:w="1643"/>
        <w:gridCol w:w="1643"/>
        <w:gridCol w:w="1628"/>
        <w:gridCol w:w="1628"/>
        <w:gridCol w:w="1692"/>
      </w:tblGrid>
      <w:tr>
        <w:tblPrEx>
          <w:tblLayout w:type="fixed"/>
          <w:tblCellMar>
            <w:top w:w="0" w:type="dxa"/>
            <w:left w:w="0" w:type="dxa"/>
            <w:bottom w:w="0" w:type="dxa"/>
            <w:right w:w="0" w:type="dxa"/>
          </w:tblCellMar>
        </w:tblPrEx>
        <w:trPr>
          <w:trHeight w:val="90" w:hRule="atLeast"/>
        </w:trPr>
        <w:tc>
          <w:tcPr>
            <w:tcW w:w="14860"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支出决算表</w:t>
            </w:r>
          </w:p>
        </w:tc>
      </w:tr>
      <w:tr>
        <w:tblPrEx>
          <w:tblLayout w:type="fixed"/>
          <w:tblCellMar>
            <w:top w:w="0" w:type="dxa"/>
            <w:left w:w="0" w:type="dxa"/>
            <w:bottom w:w="0" w:type="dxa"/>
            <w:right w:w="0" w:type="dxa"/>
          </w:tblCellMar>
        </w:tblPrEx>
        <w:trPr>
          <w:trHeight w:val="90" w:hRule="atLeast"/>
        </w:trPr>
        <w:tc>
          <w:tcPr>
            <w:tcW w:w="498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rPr>
              <w:t xml:space="preserve">重庆市秀山土家族苗族自治县大溪乡卫生院 </w:t>
            </w:r>
          </w:p>
        </w:tc>
        <w:tc>
          <w:tcPr>
            <w:tcW w:w="164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4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4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28"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28"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公开03表</w:t>
            </w:r>
          </w:p>
        </w:tc>
      </w:tr>
      <w:tr>
        <w:tblPrEx>
          <w:tblLayout w:type="fixed"/>
          <w:tblCellMar>
            <w:top w:w="0" w:type="dxa"/>
            <w:left w:w="0" w:type="dxa"/>
            <w:bottom w:w="0" w:type="dxa"/>
            <w:right w:w="0" w:type="dxa"/>
          </w:tblCellMar>
        </w:tblPrEx>
        <w:trPr>
          <w:trHeight w:val="90" w:hRule="atLeast"/>
        </w:trPr>
        <w:tc>
          <w:tcPr>
            <w:tcW w:w="498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4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4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4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28"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28"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983"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64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本年支出合计</w:t>
            </w:r>
          </w:p>
        </w:tc>
        <w:tc>
          <w:tcPr>
            <w:tcW w:w="164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164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c>
          <w:tcPr>
            <w:tcW w:w="162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上缴上级支出</w:t>
            </w:r>
          </w:p>
        </w:tc>
        <w:tc>
          <w:tcPr>
            <w:tcW w:w="162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经营支出</w:t>
            </w:r>
          </w:p>
        </w:tc>
        <w:tc>
          <w:tcPr>
            <w:tcW w:w="169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对附属单位</w:t>
            </w:r>
          </w:p>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补助支出</w:t>
            </w:r>
          </w:p>
        </w:tc>
      </w:tr>
      <w:tr>
        <w:tblPrEx>
          <w:tblLayout w:type="fixed"/>
          <w:tblCellMar>
            <w:top w:w="0" w:type="dxa"/>
            <w:left w:w="0" w:type="dxa"/>
            <w:bottom w:w="0" w:type="dxa"/>
            <w:right w:w="0" w:type="dxa"/>
          </w:tblCellMar>
        </w:tblPrEx>
        <w:trPr>
          <w:trHeight w:val="312" w:hRule="atLeast"/>
        </w:trPr>
        <w:tc>
          <w:tcPr>
            <w:tcW w:w="1741"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242"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项目（按“项”级功能分类科目）</w:t>
            </w: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74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24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74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24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74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24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498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合计</w:t>
            </w:r>
          </w:p>
        </w:tc>
        <w:tc>
          <w:tcPr>
            <w:tcW w:w="16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124.28</w:t>
            </w:r>
          </w:p>
        </w:tc>
        <w:tc>
          <w:tcPr>
            <w:tcW w:w="16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124.28</w:t>
            </w:r>
          </w:p>
        </w:tc>
        <w:tc>
          <w:tcPr>
            <w:tcW w:w="16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社会保障和就业支出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行政事业单位养老支出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2080502</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事业单位离退休</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0.34</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0.34</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2080505</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机关事业单位基本养老保险缴费支出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5.08</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5.08</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2080506</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机关事业单位职业年金缴费支出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2.53</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2.53</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2080599</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其他行政事业单位养老支出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2.76</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2.76</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109.77</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109.77</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卫生健康管理事务</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2100199</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其他卫生健康管理事务支出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基层医疗卫生机构</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101.50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101.50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2100302</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乡镇卫生院</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101.50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101.50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公共卫生</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2100408</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基本公共卫生服务</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行政事业单位医疗</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2101102</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事业单位医疗</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住房保障支出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住房改革支出</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left"/>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17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2210201</w:t>
            </w:r>
          </w:p>
        </w:tc>
        <w:tc>
          <w:tcPr>
            <w:tcW w:w="32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住房公积金</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1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bl>
    <w:p>
      <w:pPr>
        <w:jc w:val="both"/>
        <w:rPr>
          <w:rFonts w:hint="default" w:ascii="Times New Roman" w:hAnsi="Times New Roman" w:cs="Times New Roman"/>
          <w:b w:val="0"/>
          <w:bCs w:val="0"/>
          <w:sz w:val="21"/>
          <w:szCs w:val="21"/>
        </w:rPr>
      </w:pPr>
      <w:r>
        <w:rPr>
          <w:rFonts w:hint="default" w:ascii="Times New Roman" w:hAnsi="Times New Roman" w:eastAsia="方正仿宋_GBK" w:cs="Times New Roman"/>
          <w:b w:val="0"/>
          <w:bCs w:val="0"/>
          <w:sz w:val="20"/>
          <w:szCs w:val="20"/>
        </w:rPr>
        <w:t>备注：1.本表反映单位本年度各项支出情况。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p>
    <w:p>
      <w:pPr>
        <w:rPr>
          <w:rFonts w:hint="default" w:ascii="Times New Roman" w:hAnsi="Times New Roman" w:cs="Times New Roman"/>
          <w:b w:val="0"/>
          <w:bCs w:val="0"/>
          <w:sz w:val="21"/>
          <w:szCs w:val="21"/>
        </w:rPr>
      </w:pPr>
    </w:p>
    <w:tbl>
      <w:tblPr>
        <w:tblStyle w:val="12"/>
        <w:tblW w:w="15320" w:type="dxa"/>
        <w:tblInd w:w="0" w:type="dxa"/>
        <w:tblLayout w:type="fixed"/>
        <w:tblCellMar>
          <w:top w:w="0" w:type="dxa"/>
          <w:left w:w="0" w:type="dxa"/>
          <w:bottom w:w="0" w:type="dxa"/>
          <w:right w:w="0" w:type="dxa"/>
        </w:tblCellMar>
      </w:tblPr>
      <w:tblGrid>
        <w:gridCol w:w="3387"/>
        <w:gridCol w:w="1737"/>
        <w:gridCol w:w="3227"/>
        <w:gridCol w:w="1677"/>
        <w:gridCol w:w="1677"/>
        <w:gridCol w:w="1677"/>
        <w:gridCol w:w="1938"/>
      </w:tblGrid>
      <w:tr>
        <w:tblPrEx>
          <w:tblLayout w:type="fixed"/>
          <w:tblCellMar>
            <w:top w:w="0" w:type="dxa"/>
            <w:left w:w="0" w:type="dxa"/>
            <w:bottom w:w="0" w:type="dxa"/>
            <w:right w:w="0" w:type="dxa"/>
          </w:tblCellMar>
        </w:tblPrEx>
        <w:trPr>
          <w:trHeight w:val="90" w:hRule="atLeast"/>
        </w:trPr>
        <w:tc>
          <w:tcPr>
            <w:tcW w:w="15320"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5124"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rPr>
              <w:t>重庆市秀山土家族苗族自治县大溪乡卫生院</w:t>
            </w:r>
          </w:p>
        </w:tc>
        <w:tc>
          <w:tcPr>
            <w:tcW w:w="32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938"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5124"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2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938"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51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收     入</w:t>
            </w:r>
          </w:p>
        </w:tc>
        <w:tc>
          <w:tcPr>
            <w:tcW w:w="10196"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38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项目</w:t>
            </w:r>
          </w:p>
        </w:tc>
        <w:tc>
          <w:tcPr>
            <w:tcW w:w="173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决算数</w:t>
            </w:r>
          </w:p>
        </w:tc>
        <w:tc>
          <w:tcPr>
            <w:tcW w:w="32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功能分类科目</w:t>
            </w:r>
          </w:p>
        </w:tc>
        <w:tc>
          <w:tcPr>
            <w:tcW w:w="6969"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38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黑体_GBK" w:cs="Times New Roman"/>
                <w:b w:val="0"/>
                <w:bCs w:val="0"/>
                <w:color w:val="000000"/>
                <w:sz w:val="18"/>
                <w:szCs w:val="18"/>
              </w:rPr>
            </w:pPr>
          </w:p>
        </w:tc>
        <w:tc>
          <w:tcPr>
            <w:tcW w:w="173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黑体_GBK" w:cs="Times New Roman"/>
                <w:b w:val="0"/>
                <w:bCs w:val="0"/>
                <w:color w:val="000000"/>
                <w:sz w:val="18"/>
                <w:szCs w:val="18"/>
              </w:rPr>
            </w:pPr>
          </w:p>
        </w:tc>
        <w:tc>
          <w:tcPr>
            <w:tcW w:w="32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黑体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小计</w:t>
            </w:r>
          </w:p>
        </w:tc>
        <w:tc>
          <w:tcPr>
            <w:tcW w:w="167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一般公共预算财政拨款</w:t>
            </w:r>
          </w:p>
        </w:tc>
        <w:tc>
          <w:tcPr>
            <w:tcW w:w="167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政府性基金预算财政拨款</w:t>
            </w:r>
          </w:p>
        </w:tc>
        <w:tc>
          <w:tcPr>
            <w:tcW w:w="193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一、一般公共预算财政拨款</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99.59</w:t>
            </w: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一、一般公共服务支出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二、政府性基金预算财政拨款</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二、外交支出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三、国有资本经营预算财政拨款</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三、国防支出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四、公共安全支出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五、教育支出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六、科学技术支出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七、文化旅游体育与传媒支出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八、社会保障和就业支出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10.70</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10.70</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九、卫生健康支出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79.28</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79.28</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十、节能环保支出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十一、城乡社区支出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十二、农林水支出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十三、交通运输支出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十四、资源勘探工业信息等支出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十五、商业服务业等支出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十六、金融支出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十七、援助其他地区支出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十八、自然资源海洋气象等支出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十九、住房保障支出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3.81</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3.81</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二十、粮油物资储备支出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二十一、国有资本经营预算支出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二十二、灾害防治及应急管理支出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二十三、其他支出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二十四、债务还本支出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二十五、债务付息支出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二十六、抗疫特别国债安排的支出</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本年收入合计</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99.59</w:t>
            </w: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本年支出合计</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93.79</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93.79</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年初财政拨款结转和结余</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年末财政拨款结转和结余</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5.80</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5.80</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一般公共预算财政拨款</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政府性基金预算财政拨款</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国有资本经营预算财政拨款</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38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总计</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99.59</w:t>
            </w:r>
            <w:r>
              <w:rPr>
                <w:rFonts w:hint="default" w:ascii="Times New Roman" w:hAnsi="Times New Roman" w:eastAsia="方正仿宋_GBK" w:cs="Times New Roman"/>
                <w:b w:val="0"/>
                <w:bCs w:val="0"/>
                <w:color w:val="000000"/>
                <w:sz w:val="18"/>
              </w:rPr>
              <w:t xml:space="preserve"> </w:t>
            </w:r>
          </w:p>
        </w:tc>
        <w:tc>
          <w:tcPr>
            <w:tcW w:w="32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总计</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99.59</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99.59</w:t>
            </w:r>
            <w:r>
              <w:rPr>
                <w:rFonts w:hint="default" w:ascii="Times New Roman" w:hAnsi="Times New Roman" w:eastAsia="方正仿宋_GBK" w:cs="Times New Roman"/>
                <w:b w:val="0"/>
                <w:bCs w:val="0"/>
                <w:color w:val="000000"/>
                <w:sz w:val="18"/>
              </w:rPr>
              <w:t xml:space="preserve"> </w:t>
            </w:r>
          </w:p>
        </w:tc>
        <w:tc>
          <w:tcPr>
            <w:tcW w:w="1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rPr>
              <w:t xml:space="preserve"> </w:t>
            </w:r>
          </w:p>
        </w:tc>
      </w:tr>
    </w:tbl>
    <w:p>
      <w:pPr>
        <w:spacing w:line="240" w:lineRule="exact"/>
        <w:rPr>
          <w:rFonts w:hint="default" w:ascii="Times New Roman" w:hAnsi="Times New Roman" w:cs="Times New Roman"/>
          <w:b w:val="0"/>
          <w:bCs w:val="0"/>
          <w:sz w:val="20"/>
          <w:szCs w:val="20"/>
        </w:rPr>
      </w:pPr>
      <w:r>
        <w:rPr>
          <w:rFonts w:hint="default" w:ascii="Times New Roman" w:hAnsi="Times New Roman" w:eastAsia="方正仿宋_GBK" w:cs="Times New Roman"/>
          <w:b w:val="0"/>
          <w:bCs w:val="0"/>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rPr>
              <w:t>重庆市秀山土家族苗族自治县大溪乡卫生院</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93.79</w:t>
            </w:r>
            <w:r>
              <w:rPr>
                <w:rFonts w:hint="default" w:ascii="Times New Roman" w:hAnsi="Times New Roman" w:eastAsia="方正黑体_GBK" w:cs="Times New Roman"/>
                <w:b w:val="0"/>
                <w:bCs w:val="0"/>
                <w:color w:val="000000"/>
                <w:sz w:val="20"/>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93.79</w:t>
            </w:r>
            <w:r>
              <w:rPr>
                <w:rFonts w:hint="default" w:ascii="Times New Roman" w:hAnsi="Times New Roman" w:eastAsia="方正黑体_GBK" w:cs="Times New Roman"/>
                <w:b w:val="0"/>
                <w:bCs w:val="0"/>
                <w:color w:val="000000"/>
                <w:sz w:val="20"/>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10.70</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0.34</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0.34</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5.08</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5.08</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2.53</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2.53</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2.76</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2.76</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79.28</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79.28</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0.30</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71.01</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71.01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71.01</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71.01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4.80</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3.17</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3.81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jc w:val="center"/>
              <w:textAlignment w:val="center"/>
              <w:rPr>
                <w:rFonts w:hint="default" w:ascii="Times New Roman" w:hAnsi="Times New Roman" w:eastAsia="方正仿宋_GBK" w:cs="Times New Roman"/>
                <w:b w:val="0"/>
                <w:bCs w:val="0"/>
                <w:color w:val="000000"/>
                <w:sz w:val="20"/>
                <w:szCs w:val="20"/>
              </w:rPr>
            </w:pPr>
          </w:p>
        </w:tc>
      </w:tr>
    </w:tbl>
    <w:p>
      <w:pPr>
        <w:rPr>
          <w:rFonts w:hint="default" w:ascii="Times New Roman" w:hAnsi="Times New Roman" w:cs="Times New Roman"/>
          <w:b w:val="0"/>
          <w:bCs w:val="0"/>
          <w:sz w:val="21"/>
          <w:szCs w:val="21"/>
        </w:rPr>
      </w:pPr>
      <w:r>
        <w:rPr>
          <w:rFonts w:hint="default" w:ascii="Times New Roman" w:hAnsi="Times New Roman" w:eastAsia="方正仿宋_GBK" w:cs="Times New Roman"/>
          <w:b w:val="0"/>
          <w:bCs w:val="0"/>
          <w:sz w:val="20"/>
          <w:szCs w:val="20"/>
        </w:rPr>
        <w:t>备注：1.本表反映单位本年度一般公共预算财政拨款支出情况。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cs="Times New Roman"/>
          <w:b w:val="0"/>
          <w:bCs w:val="0"/>
          <w:sz w:val="20"/>
          <w:szCs w:val="20"/>
        </w:rPr>
        <w:br w:type="textWrapping"/>
      </w:r>
    </w:p>
    <w:p>
      <w:pPr>
        <w:ind w:firstLine="630" w:firstLineChars="300"/>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br w:type="page"/>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黑体_GBK" w:cs="Times New Roman"/>
                <w:b w:val="0"/>
                <w:bCs w:val="0"/>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7480" w:type="dxa"/>
            <w:gridSpan w:val="5"/>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rPr>
              <w:t>重庆市秀山土家族苗族自治县大溪乡卫生院</w:t>
            </w: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7480" w:type="dxa"/>
            <w:gridSpan w:val="5"/>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b w:val="0"/>
                <w:bCs w:val="0"/>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87.70</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46.61</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1.62</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24.89</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5.08</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2.53</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3.17</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3.81</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6.10</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5.76</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0.34</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jc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jc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jc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jc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jc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jc w:val="center"/>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center"/>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spacing w:line="200" w:lineRule="exact"/>
              <w:jc w:val="center"/>
              <w:textAlignment w:val="bottom"/>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93.79</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spacing w:line="200" w:lineRule="exact"/>
              <w:jc w:val="center"/>
              <w:textAlignment w:val="center"/>
              <w:rPr>
                <w:rFonts w:hint="default" w:ascii="Times New Roman" w:hAnsi="Times New Roman" w:eastAsia="方正仿宋_GBK" w:cs="Times New Roman"/>
                <w:b w:val="0"/>
                <w:bCs w:val="0"/>
                <w:color w:val="000000"/>
                <w:sz w:val="18"/>
                <w:szCs w:val="18"/>
              </w:rPr>
            </w:pPr>
          </w:p>
        </w:tc>
      </w:tr>
    </w:tbl>
    <w:p>
      <w:pPr>
        <w:spacing w:line="280" w:lineRule="exact"/>
        <w:rPr>
          <w:rFonts w:hint="default" w:ascii="Times New Roman" w:hAnsi="Times New Roman" w:cs="Times New Roman"/>
          <w:b w:val="0"/>
          <w:bCs w:val="0"/>
          <w:sz w:val="20"/>
          <w:szCs w:val="20"/>
        </w:rPr>
      </w:pPr>
      <w:r>
        <w:rPr>
          <w:rFonts w:hint="default" w:ascii="Times New Roman" w:hAnsi="Times New Roman" w:eastAsia="方正仿宋_GBK" w:cs="Times New Roman"/>
          <w:b w:val="0"/>
          <w:bCs w:val="0"/>
          <w:sz w:val="20"/>
          <w:szCs w:val="20"/>
        </w:rPr>
        <w:t>备注：1.本表反映单位本年度一般公共预算财政拨款基本支出明细情况。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rPr>
              <w:t>重庆市秀山土家族苗族自治县大溪乡卫生院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bl>
    <w:p>
      <w:pPr>
        <w:rPr>
          <w:rFonts w:hint="default" w:ascii="Times New Roman" w:hAnsi="Times New Roman" w:cs="Times New Roman"/>
          <w:b w:val="0"/>
          <w:bCs w:val="0"/>
          <w:sz w:val="21"/>
          <w:szCs w:val="21"/>
        </w:rPr>
      </w:pPr>
      <w:r>
        <w:rPr>
          <w:rFonts w:hint="default" w:ascii="Times New Roman" w:hAnsi="Times New Roman" w:cs="Times New Roman"/>
          <w:b w:val="0"/>
          <w:bCs w:val="0"/>
          <w:sz w:val="20"/>
          <w:szCs w:val="20"/>
        </w:rPr>
        <w:t>备注：本表反映单位本年度政府性基金预算财政拨款收入支出及结转和结余情况。本单位无政府性基金收支，故本表无数据。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p>
    <w:p>
      <w:pPr>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国有资本经营预算财政拨款支出决算</w:t>
            </w:r>
            <w:r>
              <w:rPr>
                <w:rFonts w:hint="default" w:ascii="Times New Roman" w:hAnsi="Times New Roman" w:cs="Times New Roman"/>
                <w:b w:val="0"/>
                <w:bCs w:val="0"/>
                <w:color w:val="000000"/>
                <w:sz w:val="32"/>
                <w:szCs w:val="32"/>
              </w:rPr>
              <w:t>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rPr>
              <w:t>重庆市秀山土家族苗族自治县大溪乡卫生院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b w:val="0"/>
                <w:bCs w:val="0"/>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方正仿宋_GBK" w:cs="Times New Roman"/>
                <w:b w:val="0"/>
                <w:bCs w:val="0"/>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rPr>
              <w:t xml:space="preserve"> </w:t>
            </w:r>
          </w:p>
        </w:tc>
      </w:tr>
    </w:tbl>
    <w:p>
      <w:pPr>
        <w:rPr>
          <w:rFonts w:hint="default" w:ascii="Times New Roman" w:hAnsi="Times New Roman" w:cs="Times New Roman"/>
          <w:b w:val="0"/>
          <w:bCs w:val="0"/>
          <w:sz w:val="21"/>
          <w:szCs w:val="21"/>
        </w:rPr>
      </w:pPr>
      <w:r>
        <w:rPr>
          <w:rFonts w:hint="default" w:ascii="Times New Roman" w:hAnsi="Times New Roman" w:eastAsia="方正仿宋_GBK" w:cs="Times New Roman"/>
          <w:b w:val="0"/>
          <w:bCs w:val="0"/>
          <w:sz w:val="20"/>
          <w:szCs w:val="20"/>
        </w:rPr>
        <w:t>备注：本表反映单位本年度国有资本经营预算财政拨款支出情况。本单位无国有资本经营收支，故本表无数据。</w:t>
      </w:r>
      <w:r>
        <w:rPr>
          <w:rFonts w:hint="default" w:ascii="Times New Roman" w:hAnsi="Times New Roman" w:eastAsia="方正仿宋_GBK" w:cs="Times New Roman"/>
          <w:b w:val="0"/>
          <w:bCs w:val="0"/>
          <w:sz w:val="20"/>
          <w:szCs w:val="20"/>
        </w:rPr>
        <w:br w:type="textWrapping"/>
      </w:r>
      <w:r>
        <w:rPr>
          <w:rFonts w:hint="default" w:ascii="Times New Roman" w:hAnsi="Times New Roman" w:cs="Times New Roman"/>
          <w:b w:val="0"/>
          <w:bCs w:val="0"/>
          <w:sz w:val="20"/>
          <w:szCs w:val="20"/>
        </w:rPr>
        <w:br w:type="textWrapping"/>
      </w:r>
    </w:p>
    <w:p>
      <w:pPr>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val="0"/>
                <w:bCs w:val="0"/>
                <w:color w:val="000000"/>
                <w:sz w:val="32"/>
                <w:szCs w:val="32"/>
              </w:rPr>
            </w:pPr>
            <w:r>
              <w:rPr>
                <w:rFonts w:hint="default" w:ascii="Times New Roman" w:hAnsi="Times New Roman" w:eastAsia="方正小标宋_GBK" w:cs="Times New Roman"/>
                <w:b w:val="0"/>
                <w:bCs w:val="0"/>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eastAsia="方正仿宋_GBK" w:cs="Times New Roman"/>
                <w:b w:val="0"/>
                <w:bCs w:val="0"/>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ascii="Times New Roman" w:hAnsi="Times New Roman" w:eastAsia="方正仿宋_GBK" w:cs="Times New Roman"/>
                <w:b w:val="0"/>
                <w:bCs w:val="0"/>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eastAsia="方正仿宋_GBK" w:cs="Times New Roman"/>
                <w:b w:val="0"/>
                <w:bCs w:val="0"/>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eastAsia="方正仿宋_GBK" w:cs="Times New Roman"/>
                <w:b w:val="0"/>
                <w:bCs w:val="0"/>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8587" w:type="dxa"/>
            <w:gridSpan w:val="3"/>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left"/>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rPr>
              <w:t>重庆市秀山土家族苗族自治县大溪乡卫生院</w:t>
            </w: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eastAsia="方正仿宋_GBK" w:cs="Times New Roman"/>
                <w:b w:val="0"/>
                <w:bCs w:val="0"/>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w:t>
            </w: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w:t>
            </w: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rPr>
                <w:rFonts w:hint="default" w:ascii="Times New Roman" w:hAnsi="Times New Roman" w:eastAsia="方正仿宋_GBK" w:cs="Times New Roman"/>
                <w:b w:val="0"/>
                <w:bCs w:val="0"/>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center"/>
              <w:textAlignment w:val="bottom"/>
              <w:rPr>
                <w:rFonts w:hint="default" w:ascii="Times New Roman" w:hAnsi="Times New Roman" w:eastAsia="方正仿宋_GBK" w:cs="Times New Roman"/>
                <w:b w:val="0"/>
                <w:bCs w:val="0"/>
                <w:color w:val="000000"/>
                <w:sz w:val="20"/>
                <w:szCs w:val="20"/>
              </w:rPr>
            </w:pP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rPr>
                <w:rFonts w:hint="default" w:ascii="Times New Roman" w:hAnsi="Times New Roman" w:eastAsia="方正仿宋_GBK" w:cs="Times New Roman"/>
                <w:b w:val="0"/>
                <w:bCs w:val="0"/>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b w:val="0"/>
                <w:bCs w:val="0"/>
                <w:color w:val="000000"/>
                <w:sz w:val="20"/>
                <w:szCs w:val="20"/>
              </w:rPr>
            </w:pPr>
          </w:p>
        </w:tc>
      </w:tr>
    </w:tbl>
    <w:p>
      <w:pPr>
        <w:rPr>
          <w:rFonts w:hint="default" w:ascii="Times New Roman" w:hAnsi="Times New Roman" w:cs="Times New Roman"/>
          <w:b w:val="0"/>
          <w:bCs w:val="0"/>
          <w:sz w:val="21"/>
          <w:szCs w:val="21"/>
        </w:rPr>
      </w:pPr>
      <w:r>
        <w:rPr>
          <w:rFonts w:hint="default" w:ascii="Times New Roman" w:hAnsi="Times New Roman" w:eastAsia="方正仿宋_GBK" w:cs="Times New Roman"/>
          <w:b w:val="0"/>
          <w:bCs w:val="0"/>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p>
    <w:sectPr>
      <w:headerReference r:id="rId6" w:type="default"/>
      <w:footerReference r:id="rId7"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4FC09A-1C38-430A-95D8-99F72AE0189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embedRegular r:id="rId2" w:fontKey="{FC911EAF-E97F-4FF2-A7C5-5FF5FF6BAA47}"/>
  </w:font>
  <w:font w:name="方正黑体_GBK">
    <w:panose1 w:val="03000509000000000000"/>
    <w:charset w:val="86"/>
    <w:family w:val="auto"/>
    <w:pitch w:val="default"/>
    <w:sig w:usb0="00000001" w:usb1="080E0000" w:usb2="00000000" w:usb3="00000000" w:csb0="00040000" w:csb1="00000000"/>
    <w:embedRegular r:id="rId3" w:fontKey="{B410656B-8225-4DD5-BC45-5743F30540C8}"/>
  </w:font>
  <w:font w:name="方正楷体_GBK">
    <w:panose1 w:val="03000509000000000000"/>
    <w:charset w:val="86"/>
    <w:family w:val="auto"/>
    <w:pitch w:val="default"/>
    <w:sig w:usb0="00000001" w:usb1="080E0000" w:usb2="00000000" w:usb3="00000000" w:csb0="00040000" w:csb1="00000000"/>
    <w:embedRegular r:id="rId4" w:fontKey="{64962084-F03E-463D-A7C9-52152A5AB11B}"/>
  </w:font>
  <w:font w:name="方正仿宋_GBK">
    <w:panose1 w:val="03000509000000000000"/>
    <w:charset w:val="86"/>
    <w:family w:val="auto"/>
    <w:pitch w:val="default"/>
    <w:sig w:usb0="00000001" w:usb1="080E0000" w:usb2="00000000" w:usb3="00000000" w:csb0="00040000" w:csb1="00000000"/>
    <w:embedRegular r:id="rId5" w:fontKey="{C315599D-77BC-4276-A34E-A7B44CACC727}"/>
  </w:font>
  <w:font w:name="楷体">
    <w:panose1 w:val="02010609060101010101"/>
    <w:charset w:val="86"/>
    <w:family w:val="modern"/>
    <w:pitch w:val="default"/>
    <w:sig w:usb0="800002BF" w:usb1="38CF7CFA" w:usb2="00000016" w:usb3="00000000" w:csb0="00040001" w:csb1="00000000"/>
    <w:embedRegular r:id="rId6" w:fontKey="{53073301-92F2-44C5-9772-A33DA008B997}"/>
  </w:font>
  <w:font w:name="Calibri Light">
    <w:panose1 w:val="020F0302020204030204"/>
    <w:charset w:val="00"/>
    <w:family w:val="auto"/>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rPr>
                              <w:rFonts w:hint="default"/>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- 12 -</w:t>
                          </w:r>
                          <w:r>
                            <w:rPr>
                              <w:rFonts w:hint="eastAsia" w:asciiTheme="minorEastAsia" w:hAnsiTheme="minorEastAsia" w:eastAsiaTheme="minorEastAsia" w:cstheme="minorEastAsia"/>
                              <w:sz w:val="28"/>
                              <w:szCs w:val="2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Sh40NrcBAABUAwAADgAAAAAAAAABACAAAAAfAQAAZHJzL2Uyb0RvYy54bWxQSwUGAAAAAAYABgBZ&#10;AQAASAUAAAAA&#10;">
              <v:fill on="f" focussize="0,0"/>
              <v:stroke on="f" weight="0.5pt"/>
              <v:imagedata o:title=""/>
              <o:lock v:ext="edit" aspectratio="f"/>
              <v:textbox inset="0mm,0mm,0mm,0mm" style="mso-fit-shape-to-text:t;">
                <w:txbxContent>
                  <w:p>
                    <w:pPr>
                      <w:pStyle w:val="6"/>
                      <w:rPr>
                        <w:rFonts w:hint="default"/>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- 12 -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inside</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28 -</w:t>
                          </w:r>
                          <w:r>
                            <w:fldChar w:fldCharType="end"/>
                          </w:r>
                          <w:r>
                            <w:t xml:space="preserve"> </w:t>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inside;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P8+P2m4AQAAVAMAAA4AAAAAAAAAAQAgAAAAHwEAAGRycy9lMm9Eb2MueG1sUEsFBgAAAAAGAAYA&#10;WQEAAEkFA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28 -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wps:spPr>
                    <wps:txbx>
                      <w:txbxContent>
                        <w:p>
                          <w:pPr>
                            <w:pStyle w:val="6"/>
                            <w:jc w:val="both"/>
                            <w:rPr>
                              <w:rFonts w:hint="default" w:cs="宋体"/>
                            </w:rPr>
                          </w:pPr>
                          <w:r>
                            <w:rPr>
                              <w:rFonts w:cs="宋体"/>
                            </w:rPr>
                            <w:t>— 27.1 —</w:t>
                          </w:r>
                        </w:p>
                      </w:txbxContent>
                    </wps:txbx>
                    <wps:bodyPr wrap="none" lIns="0" tIns="0" rIns="0" bIns="0" upright="1"/>
                  </wps:wsp>
                </a:graphicData>
              </a:graphic>
            </wp:anchor>
          </w:drawing>
        </mc:Choice>
        <mc:Fallback>
          <w:pict>
            <v:shape id="文本框 3"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4DVRU&#10;2AAAAAoBAAAPAAAAAAAAAAEAIAAAACIAAABkcnMvZG93bnJldi54bWxQSwECFAAUAAAACACHTuJA&#10;piUkFa8BAAA5AwAADgAAAAAAAAABACAAAAAnAQAAZHJzL2Uyb0RvYy54bWxQSwUGAAAAAAYABgBZ&#10;AQAASAUAAA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5bf15a7b-a125-4b40-b1fa-9badebcc39b0"/>
  </w:docVars>
  <w:rsids>
    <w:rsidRoot w:val="00B03CCD"/>
    <w:rsid w:val="000273CC"/>
    <w:rsid w:val="002B254B"/>
    <w:rsid w:val="00412DA7"/>
    <w:rsid w:val="00550ABE"/>
    <w:rsid w:val="00770383"/>
    <w:rsid w:val="007819D4"/>
    <w:rsid w:val="007B419D"/>
    <w:rsid w:val="009B67B8"/>
    <w:rsid w:val="009D2B67"/>
    <w:rsid w:val="00B03CCD"/>
    <w:rsid w:val="00BC757B"/>
    <w:rsid w:val="00C20C3E"/>
    <w:rsid w:val="00D52280"/>
    <w:rsid w:val="00DA02E6"/>
    <w:rsid w:val="00F73F90"/>
    <w:rsid w:val="00F8626A"/>
    <w:rsid w:val="01474EBF"/>
    <w:rsid w:val="01F3521E"/>
    <w:rsid w:val="02092C94"/>
    <w:rsid w:val="020F1F05"/>
    <w:rsid w:val="022C260F"/>
    <w:rsid w:val="02CD3A5F"/>
    <w:rsid w:val="02E334E5"/>
    <w:rsid w:val="039C385A"/>
    <w:rsid w:val="03B87EA0"/>
    <w:rsid w:val="03C350C4"/>
    <w:rsid w:val="03E3214F"/>
    <w:rsid w:val="044C50BA"/>
    <w:rsid w:val="046B19E4"/>
    <w:rsid w:val="047A39D5"/>
    <w:rsid w:val="049C150C"/>
    <w:rsid w:val="04A75DCD"/>
    <w:rsid w:val="04AE18D1"/>
    <w:rsid w:val="05235E1B"/>
    <w:rsid w:val="05483AD3"/>
    <w:rsid w:val="05BC6D49"/>
    <w:rsid w:val="06053772"/>
    <w:rsid w:val="06194FF1"/>
    <w:rsid w:val="06A2550B"/>
    <w:rsid w:val="06F80EE2"/>
    <w:rsid w:val="07001CCA"/>
    <w:rsid w:val="075678DB"/>
    <w:rsid w:val="07935277"/>
    <w:rsid w:val="079D7CC7"/>
    <w:rsid w:val="07DF6456"/>
    <w:rsid w:val="07EC4BEA"/>
    <w:rsid w:val="08051BCA"/>
    <w:rsid w:val="0821769B"/>
    <w:rsid w:val="084F33CB"/>
    <w:rsid w:val="086C12F4"/>
    <w:rsid w:val="08705944"/>
    <w:rsid w:val="089B1953"/>
    <w:rsid w:val="08BA052C"/>
    <w:rsid w:val="08DB07BA"/>
    <w:rsid w:val="08EC7BAB"/>
    <w:rsid w:val="09092DE7"/>
    <w:rsid w:val="0969353F"/>
    <w:rsid w:val="097A7FD3"/>
    <w:rsid w:val="098305D0"/>
    <w:rsid w:val="09EA0C98"/>
    <w:rsid w:val="09EB2C7F"/>
    <w:rsid w:val="0A1641A0"/>
    <w:rsid w:val="0A2D5046"/>
    <w:rsid w:val="0A3317EA"/>
    <w:rsid w:val="0A5C4B69"/>
    <w:rsid w:val="0A7F7F97"/>
    <w:rsid w:val="0A86124A"/>
    <w:rsid w:val="0A9B6453"/>
    <w:rsid w:val="0AB15C77"/>
    <w:rsid w:val="0AB54CC0"/>
    <w:rsid w:val="0B9335CE"/>
    <w:rsid w:val="0BBF43C3"/>
    <w:rsid w:val="0BBF4D27"/>
    <w:rsid w:val="0BEC3D16"/>
    <w:rsid w:val="0BF2311A"/>
    <w:rsid w:val="0C0A7D34"/>
    <w:rsid w:val="0C275F3F"/>
    <w:rsid w:val="0C6805B7"/>
    <w:rsid w:val="0C7927C4"/>
    <w:rsid w:val="0C8B4C50"/>
    <w:rsid w:val="0C9B098C"/>
    <w:rsid w:val="0D2C7836"/>
    <w:rsid w:val="0D612F19"/>
    <w:rsid w:val="0D673E11"/>
    <w:rsid w:val="0D830B49"/>
    <w:rsid w:val="0DBA6F5E"/>
    <w:rsid w:val="0DDA54E4"/>
    <w:rsid w:val="0E3A5F83"/>
    <w:rsid w:val="0E3E2C77"/>
    <w:rsid w:val="0E52151F"/>
    <w:rsid w:val="0EA31D7A"/>
    <w:rsid w:val="0F39623B"/>
    <w:rsid w:val="0F4004B3"/>
    <w:rsid w:val="0F836721"/>
    <w:rsid w:val="0F924975"/>
    <w:rsid w:val="0FA25D96"/>
    <w:rsid w:val="0FDC3796"/>
    <w:rsid w:val="101A42BE"/>
    <w:rsid w:val="1022608E"/>
    <w:rsid w:val="107B59E5"/>
    <w:rsid w:val="10973B61"/>
    <w:rsid w:val="10A92BAB"/>
    <w:rsid w:val="10E86589"/>
    <w:rsid w:val="10EA3C90"/>
    <w:rsid w:val="10EC0126"/>
    <w:rsid w:val="10F70B9A"/>
    <w:rsid w:val="111445C7"/>
    <w:rsid w:val="114278C6"/>
    <w:rsid w:val="1158083A"/>
    <w:rsid w:val="116032CE"/>
    <w:rsid w:val="11643A4B"/>
    <w:rsid w:val="11875983"/>
    <w:rsid w:val="11D74501"/>
    <w:rsid w:val="11ED0F98"/>
    <w:rsid w:val="11F03528"/>
    <w:rsid w:val="11FE77D4"/>
    <w:rsid w:val="120C51F6"/>
    <w:rsid w:val="122356AC"/>
    <w:rsid w:val="1253712E"/>
    <w:rsid w:val="127356E5"/>
    <w:rsid w:val="12C921C4"/>
    <w:rsid w:val="12DD1CFF"/>
    <w:rsid w:val="12EA61CA"/>
    <w:rsid w:val="13676A08"/>
    <w:rsid w:val="13871C70"/>
    <w:rsid w:val="13A5139E"/>
    <w:rsid w:val="13A71CB4"/>
    <w:rsid w:val="13AF1D43"/>
    <w:rsid w:val="13CE1647"/>
    <w:rsid w:val="13FD55AB"/>
    <w:rsid w:val="14200702"/>
    <w:rsid w:val="147C72F5"/>
    <w:rsid w:val="15297D1E"/>
    <w:rsid w:val="15AA656E"/>
    <w:rsid w:val="15D4410C"/>
    <w:rsid w:val="163A6CEE"/>
    <w:rsid w:val="163B0AEA"/>
    <w:rsid w:val="163D4A18"/>
    <w:rsid w:val="16702E8A"/>
    <w:rsid w:val="167D6C43"/>
    <w:rsid w:val="168C20D6"/>
    <w:rsid w:val="16DA6555"/>
    <w:rsid w:val="172D0D7B"/>
    <w:rsid w:val="173708E3"/>
    <w:rsid w:val="17B9260F"/>
    <w:rsid w:val="17C374FC"/>
    <w:rsid w:val="17D3547E"/>
    <w:rsid w:val="17E94CA2"/>
    <w:rsid w:val="181810E3"/>
    <w:rsid w:val="182E4AB6"/>
    <w:rsid w:val="189079DC"/>
    <w:rsid w:val="18957FC3"/>
    <w:rsid w:val="189B0D0B"/>
    <w:rsid w:val="18B43F7C"/>
    <w:rsid w:val="18E720F7"/>
    <w:rsid w:val="19115D2E"/>
    <w:rsid w:val="191B7BFC"/>
    <w:rsid w:val="194A1770"/>
    <w:rsid w:val="1977452F"/>
    <w:rsid w:val="19B117EF"/>
    <w:rsid w:val="19B906A4"/>
    <w:rsid w:val="19DD1536"/>
    <w:rsid w:val="1A444411"/>
    <w:rsid w:val="1A6E1403"/>
    <w:rsid w:val="1A8E38DF"/>
    <w:rsid w:val="1AAA762D"/>
    <w:rsid w:val="1ADA4D76"/>
    <w:rsid w:val="1AE27605"/>
    <w:rsid w:val="1AE654C9"/>
    <w:rsid w:val="1AED4AA9"/>
    <w:rsid w:val="1B19589E"/>
    <w:rsid w:val="1B2A43CC"/>
    <w:rsid w:val="1B416BA3"/>
    <w:rsid w:val="1B4502E9"/>
    <w:rsid w:val="1B6F15B6"/>
    <w:rsid w:val="1BAA2EDC"/>
    <w:rsid w:val="1BDE479A"/>
    <w:rsid w:val="1C316C17"/>
    <w:rsid w:val="1C3B742D"/>
    <w:rsid w:val="1C3F5DAD"/>
    <w:rsid w:val="1CA55E64"/>
    <w:rsid w:val="1CB03FE0"/>
    <w:rsid w:val="1CB95CEC"/>
    <w:rsid w:val="1CC7132A"/>
    <w:rsid w:val="1D014A01"/>
    <w:rsid w:val="1D022362"/>
    <w:rsid w:val="1D1B04B0"/>
    <w:rsid w:val="1D2C1CEB"/>
    <w:rsid w:val="1D7F3D51"/>
    <w:rsid w:val="1DA52501"/>
    <w:rsid w:val="1DBD6767"/>
    <w:rsid w:val="1DC52125"/>
    <w:rsid w:val="1DC74FF4"/>
    <w:rsid w:val="1DD26311"/>
    <w:rsid w:val="1E374ACB"/>
    <w:rsid w:val="1E590016"/>
    <w:rsid w:val="1E5D3CF4"/>
    <w:rsid w:val="1E81066C"/>
    <w:rsid w:val="1E8255A0"/>
    <w:rsid w:val="1EC16A83"/>
    <w:rsid w:val="1ECF0A66"/>
    <w:rsid w:val="1EF67CA4"/>
    <w:rsid w:val="1EF7351A"/>
    <w:rsid w:val="1F020D3A"/>
    <w:rsid w:val="1F0E6A21"/>
    <w:rsid w:val="1F1A7E37"/>
    <w:rsid w:val="1F2C5189"/>
    <w:rsid w:val="1F390312"/>
    <w:rsid w:val="1F4B0B02"/>
    <w:rsid w:val="1F664E2A"/>
    <w:rsid w:val="1FBB35CD"/>
    <w:rsid w:val="1FC00E4A"/>
    <w:rsid w:val="1FCD26AF"/>
    <w:rsid w:val="201605FE"/>
    <w:rsid w:val="20573B7B"/>
    <w:rsid w:val="20642787"/>
    <w:rsid w:val="21404409"/>
    <w:rsid w:val="214B6E87"/>
    <w:rsid w:val="21556F04"/>
    <w:rsid w:val="215C4736"/>
    <w:rsid w:val="21B207FA"/>
    <w:rsid w:val="221C1B84"/>
    <w:rsid w:val="22403BD3"/>
    <w:rsid w:val="2252461A"/>
    <w:rsid w:val="22916662"/>
    <w:rsid w:val="22A65FB3"/>
    <w:rsid w:val="22AB3233"/>
    <w:rsid w:val="23191057"/>
    <w:rsid w:val="234436D4"/>
    <w:rsid w:val="236C5D86"/>
    <w:rsid w:val="24056520"/>
    <w:rsid w:val="242466F1"/>
    <w:rsid w:val="247753E3"/>
    <w:rsid w:val="24B6415E"/>
    <w:rsid w:val="24B92327"/>
    <w:rsid w:val="24C14514"/>
    <w:rsid w:val="25113A8A"/>
    <w:rsid w:val="25184E18"/>
    <w:rsid w:val="25190A4C"/>
    <w:rsid w:val="2533755C"/>
    <w:rsid w:val="25445C0D"/>
    <w:rsid w:val="25791755"/>
    <w:rsid w:val="258E7C7F"/>
    <w:rsid w:val="25A26E86"/>
    <w:rsid w:val="2626089F"/>
    <w:rsid w:val="26396DF4"/>
    <w:rsid w:val="26595053"/>
    <w:rsid w:val="26712706"/>
    <w:rsid w:val="267832D8"/>
    <w:rsid w:val="26995AE5"/>
    <w:rsid w:val="26A30712"/>
    <w:rsid w:val="26B80661"/>
    <w:rsid w:val="26D94133"/>
    <w:rsid w:val="27167136"/>
    <w:rsid w:val="271B442C"/>
    <w:rsid w:val="27512CA2"/>
    <w:rsid w:val="27517A5A"/>
    <w:rsid w:val="27B23302"/>
    <w:rsid w:val="27DB1068"/>
    <w:rsid w:val="27ED433A"/>
    <w:rsid w:val="283C1BEE"/>
    <w:rsid w:val="28FF5ECC"/>
    <w:rsid w:val="291148B1"/>
    <w:rsid w:val="291476A5"/>
    <w:rsid w:val="29310A5F"/>
    <w:rsid w:val="297E7214"/>
    <w:rsid w:val="298567F4"/>
    <w:rsid w:val="29C37A35"/>
    <w:rsid w:val="29C830FC"/>
    <w:rsid w:val="2A076083"/>
    <w:rsid w:val="2A5341FD"/>
    <w:rsid w:val="2A73162E"/>
    <w:rsid w:val="2A8D3B91"/>
    <w:rsid w:val="2AC60E73"/>
    <w:rsid w:val="2AE9690F"/>
    <w:rsid w:val="2B167953"/>
    <w:rsid w:val="2B200583"/>
    <w:rsid w:val="2B22254D"/>
    <w:rsid w:val="2B65068C"/>
    <w:rsid w:val="2B792697"/>
    <w:rsid w:val="2B8209DE"/>
    <w:rsid w:val="2BAB7710"/>
    <w:rsid w:val="2BC751CE"/>
    <w:rsid w:val="2C04175A"/>
    <w:rsid w:val="2C636760"/>
    <w:rsid w:val="2C6762A3"/>
    <w:rsid w:val="2CA156F3"/>
    <w:rsid w:val="2CD65973"/>
    <w:rsid w:val="2D236912"/>
    <w:rsid w:val="2DDA6798"/>
    <w:rsid w:val="2E3A195C"/>
    <w:rsid w:val="2E482AC8"/>
    <w:rsid w:val="2E512EE3"/>
    <w:rsid w:val="2E726911"/>
    <w:rsid w:val="2E840835"/>
    <w:rsid w:val="2F032695"/>
    <w:rsid w:val="2F631386"/>
    <w:rsid w:val="2F792957"/>
    <w:rsid w:val="2F8D6403"/>
    <w:rsid w:val="2F941E17"/>
    <w:rsid w:val="2F9B28CE"/>
    <w:rsid w:val="2FCA4B37"/>
    <w:rsid w:val="2FCF2577"/>
    <w:rsid w:val="2FE029D7"/>
    <w:rsid w:val="2FF06E00"/>
    <w:rsid w:val="2FFC3793"/>
    <w:rsid w:val="30446AC1"/>
    <w:rsid w:val="30586FEC"/>
    <w:rsid w:val="308A5207"/>
    <w:rsid w:val="30A73EE9"/>
    <w:rsid w:val="30AB1CEC"/>
    <w:rsid w:val="30EE2ED1"/>
    <w:rsid w:val="30F71D86"/>
    <w:rsid w:val="31355B5F"/>
    <w:rsid w:val="315F0B22"/>
    <w:rsid w:val="3170027B"/>
    <w:rsid w:val="31916063"/>
    <w:rsid w:val="31AD68E8"/>
    <w:rsid w:val="31B5579D"/>
    <w:rsid w:val="31D84415"/>
    <w:rsid w:val="31E56082"/>
    <w:rsid w:val="32285F6F"/>
    <w:rsid w:val="3264344B"/>
    <w:rsid w:val="3268280F"/>
    <w:rsid w:val="326A5BCD"/>
    <w:rsid w:val="326E42CA"/>
    <w:rsid w:val="32770556"/>
    <w:rsid w:val="32861C19"/>
    <w:rsid w:val="328E1997"/>
    <w:rsid w:val="32933D30"/>
    <w:rsid w:val="329C0913"/>
    <w:rsid w:val="32AA0460"/>
    <w:rsid w:val="32BF4133"/>
    <w:rsid w:val="330543A2"/>
    <w:rsid w:val="330B1B18"/>
    <w:rsid w:val="331D496E"/>
    <w:rsid w:val="33294694"/>
    <w:rsid w:val="3337290D"/>
    <w:rsid w:val="33857B1D"/>
    <w:rsid w:val="33E31118"/>
    <w:rsid w:val="33EF7674"/>
    <w:rsid w:val="34195ED3"/>
    <w:rsid w:val="34256A40"/>
    <w:rsid w:val="34297DBD"/>
    <w:rsid w:val="342D7BC6"/>
    <w:rsid w:val="346A286F"/>
    <w:rsid w:val="34972D3B"/>
    <w:rsid w:val="34D92909"/>
    <w:rsid w:val="3529272A"/>
    <w:rsid w:val="352930DB"/>
    <w:rsid w:val="354E197D"/>
    <w:rsid w:val="35573069"/>
    <w:rsid w:val="35584DBD"/>
    <w:rsid w:val="355F6038"/>
    <w:rsid w:val="358C217E"/>
    <w:rsid w:val="35C366DA"/>
    <w:rsid w:val="35D2691D"/>
    <w:rsid w:val="35DE1766"/>
    <w:rsid w:val="360F6C6D"/>
    <w:rsid w:val="36716DF9"/>
    <w:rsid w:val="36C9128A"/>
    <w:rsid w:val="36CA1CEB"/>
    <w:rsid w:val="36E7464B"/>
    <w:rsid w:val="36F54FE2"/>
    <w:rsid w:val="36F572A0"/>
    <w:rsid w:val="37133692"/>
    <w:rsid w:val="376424D6"/>
    <w:rsid w:val="37682747"/>
    <w:rsid w:val="377945E6"/>
    <w:rsid w:val="37841E99"/>
    <w:rsid w:val="379D3AB0"/>
    <w:rsid w:val="37BF1123"/>
    <w:rsid w:val="37CF36DF"/>
    <w:rsid w:val="37CF394A"/>
    <w:rsid w:val="37D8402E"/>
    <w:rsid w:val="383144F3"/>
    <w:rsid w:val="383C3F15"/>
    <w:rsid w:val="38674D73"/>
    <w:rsid w:val="387E569A"/>
    <w:rsid w:val="3885411B"/>
    <w:rsid w:val="38995E18"/>
    <w:rsid w:val="38BE4696"/>
    <w:rsid w:val="38E272C7"/>
    <w:rsid w:val="39012051"/>
    <w:rsid w:val="390B59A8"/>
    <w:rsid w:val="3939115E"/>
    <w:rsid w:val="39752134"/>
    <w:rsid w:val="39A71E6F"/>
    <w:rsid w:val="39B82A39"/>
    <w:rsid w:val="39BC591B"/>
    <w:rsid w:val="39C42CA8"/>
    <w:rsid w:val="39DB7C2D"/>
    <w:rsid w:val="39DC4FD6"/>
    <w:rsid w:val="39F03D7A"/>
    <w:rsid w:val="39F33306"/>
    <w:rsid w:val="3A104AF9"/>
    <w:rsid w:val="3A2C1C67"/>
    <w:rsid w:val="3A323E2F"/>
    <w:rsid w:val="3A423A34"/>
    <w:rsid w:val="3A695377"/>
    <w:rsid w:val="3A80236E"/>
    <w:rsid w:val="3ADD7F09"/>
    <w:rsid w:val="3AEB14D8"/>
    <w:rsid w:val="3B0532F1"/>
    <w:rsid w:val="3B1705E5"/>
    <w:rsid w:val="3B18334B"/>
    <w:rsid w:val="3B36794F"/>
    <w:rsid w:val="3B6F6EE0"/>
    <w:rsid w:val="3B7A3CDF"/>
    <w:rsid w:val="3BC74A4B"/>
    <w:rsid w:val="3C0165E7"/>
    <w:rsid w:val="3C047A4D"/>
    <w:rsid w:val="3C12216A"/>
    <w:rsid w:val="3C247643"/>
    <w:rsid w:val="3C340332"/>
    <w:rsid w:val="3C3976F6"/>
    <w:rsid w:val="3C566AD6"/>
    <w:rsid w:val="3C594871"/>
    <w:rsid w:val="3C6A5B02"/>
    <w:rsid w:val="3CFB6EE5"/>
    <w:rsid w:val="3D211FF5"/>
    <w:rsid w:val="3D2757A1"/>
    <w:rsid w:val="3D3D4FC4"/>
    <w:rsid w:val="3D513F0C"/>
    <w:rsid w:val="3D642A57"/>
    <w:rsid w:val="3D6C7658"/>
    <w:rsid w:val="3DA768E2"/>
    <w:rsid w:val="3DC76F84"/>
    <w:rsid w:val="3DDF3AB1"/>
    <w:rsid w:val="3E140421"/>
    <w:rsid w:val="3E1D0952"/>
    <w:rsid w:val="3E42660A"/>
    <w:rsid w:val="3E7555B1"/>
    <w:rsid w:val="3E787ED9"/>
    <w:rsid w:val="3EC534C3"/>
    <w:rsid w:val="3ED5122D"/>
    <w:rsid w:val="3EFD6B26"/>
    <w:rsid w:val="3F032E93"/>
    <w:rsid w:val="3F0527E5"/>
    <w:rsid w:val="3F120122"/>
    <w:rsid w:val="3F392B53"/>
    <w:rsid w:val="3F694D83"/>
    <w:rsid w:val="3F885DCC"/>
    <w:rsid w:val="3FA4132B"/>
    <w:rsid w:val="3FA532F5"/>
    <w:rsid w:val="3FC36BDA"/>
    <w:rsid w:val="3FC96FE3"/>
    <w:rsid w:val="3FCD675E"/>
    <w:rsid w:val="40002692"/>
    <w:rsid w:val="4004000C"/>
    <w:rsid w:val="40582115"/>
    <w:rsid w:val="406B4ABA"/>
    <w:rsid w:val="40BD5482"/>
    <w:rsid w:val="40FC6F44"/>
    <w:rsid w:val="411B6CE5"/>
    <w:rsid w:val="412070D7"/>
    <w:rsid w:val="412F0C12"/>
    <w:rsid w:val="41314E40"/>
    <w:rsid w:val="414A7725"/>
    <w:rsid w:val="41943621"/>
    <w:rsid w:val="41E0734B"/>
    <w:rsid w:val="41E719A3"/>
    <w:rsid w:val="42562D53"/>
    <w:rsid w:val="426C1EA8"/>
    <w:rsid w:val="42736402"/>
    <w:rsid w:val="42D948AF"/>
    <w:rsid w:val="42E86A87"/>
    <w:rsid w:val="430A1D0C"/>
    <w:rsid w:val="43307B09"/>
    <w:rsid w:val="4340181D"/>
    <w:rsid w:val="434A3F97"/>
    <w:rsid w:val="439A3EB9"/>
    <w:rsid w:val="43BB152F"/>
    <w:rsid w:val="43C57353"/>
    <w:rsid w:val="440B5E1C"/>
    <w:rsid w:val="440E63B2"/>
    <w:rsid w:val="44384737"/>
    <w:rsid w:val="443D3AFC"/>
    <w:rsid w:val="443E0598"/>
    <w:rsid w:val="446248E6"/>
    <w:rsid w:val="4479091D"/>
    <w:rsid w:val="44C37687"/>
    <w:rsid w:val="44D12249"/>
    <w:rsid w:val="44EF206A"/>
    <w:rsid w:val="45141DD1"/>
    <w:rsid w:val="4579420D"/>
    <w:rsid w:val="45A27B0B"/>
    <w:rsid w:val="45CB699A"/>
    <w:rsid w:val="45F60406"/>
    <w:rsid w:val="46072613"/>
    <w:rsid w:val="461407FC"/>
    <w:rsid w:val="4652198B"/>
    <w:rsid w:val="465B470D"/>
    <w:rsid w:val="46635514"/>
    <w:rsid w:val="4699566E"/>
    <w:rsid w:val="469D6AD4"/>
    <w:rsid w:val="471E6C84"/>
    <w:rsid w:val="4746716B"/>
    <w:rsid w:val="4748792B"/>
    <w:rsid w:val="475D719D"/>
    <w:rsid w:val="47615D53"/>
    <w:rsid w:val="47674801"/>
    <w:rsid w:val="477E4B57"/>
    <w:rsid w:val="47A11F37"/>
    <w:rsid w:val="481B05F8"/>
    <w:rsid w:val="48225EF7"/>
    <w:rsid w:val="48315726"/>
    <w:rsid w:val="48355E3E"/>
    <w:rsid w:val="48384D06"/>
    <w:rsid w:val="48847F4B"/>
    <w:rsid w:val="488F422B"/>
    <w:rsid w:val="48A0741A"/>
    <w:rsid w:val="48E36915"/>
    <w:rsid w:val="48E37893"/>
    <w:rsid w:val="48EB6572"/>
    <w:rsid w:val="491D3EFC"/>
    <w:rsid w:val="49357822"/>
    <w:rsid w:val="493C6A78"/>
    <w:rsid w:val="494F44A9"/>
    <w:rsid w:val="495C4A24"/>
    <w:rsid w:val="497135DF"/>
    <w:rsid w:val="497951A0"/>
    <w:rsid w:val="499A72FA"/>
    <w:rsid w:val="49C66341"/>
    <w:rsid w:val="4A1C0FE0"/>
    <w:rsid w:val="4A263DF2"/>
    <w:rsid w:val="4A515D65"/>
    <w:rsid w:val="4A655B5A"/>
    <w:rsid w:val="4A6F6675"/>
    <w:rsid w:val="4A851CF0"/>
    <w:rsid w:val="4A9F72BE"/>
    <w:rsid w:val="4AB9371C"/>
    <w:rsid w:val="4AD54A8E"/>
    <w:rsid w:val="4ADF3B5F"/>
    <w:rsid w:val="4AF313B8"/>
    <w:rsid w:val="4B135857"/>
    <w:rsid w:val="4B3A0D95"/>
    <w:rsid w:val="4B736055"/>
    <w:rsid w:val="4B7951CB"/>
    <w:rsid w:val="4B7C315C"/>
    <w:rsid w:val="4BA95F1B"/>
    <w:rsid w:val="4BC65BFF"/>
    <w:rsid w:val="4BCF520D"/>
    <w:rsid w:val="4C2555A1"/>
    <w:rsid w:val="4C5443AD"/>
    <w:rsid w:val="4C562693"/>
    <w:rsid w:val="4C607C4A"/>
    <w:rsid w:val="4C885930"/>
    <w:rsid w:val="4CAC0D8A"/>
    <w:rsid w:val="4D565C2E"/>
    <w:rsid w:val="4D737DF0"/>
    <w:rsid w:val="4D7B17DF"/>
    <w:rsid w:val="4D8C1650"/>
    <w:rsid w:val="4D9B28E1"/>
    <w:rsid w:val="4DAB1AD6"/>
    <w:rsid w:val="4DAC4ACA"/>
    <w:rsid w:val="4DBE01D2"/>
    <w:rsid w:val="4DD41C25"/>
    <w:rsid w:val="4DE90589"/>
    <w:rsid w:val="4DF25957"/>
    <w:rsid w:val="4EA135A7"/>
    <w:rsid w:val="4EED3D78"/>
    <w:rsid w:val="4F0643C9"/>
    <w:rsid w:val="4F0C6BA3"/>
    <w:rsid w:val="4F186D58"/>
    <w:rsid w:val="4F262A17"/>
    <w:rsid w:val="4F3B35F5"/>
    <w:rsid w:val="4F835269"/>
    <w:rsid w:val="4FBC446F"/>
    <w:rsid w:val="4FC96D31"/>
    <w:rsid w:val="50067498"/>
    <w:rsid w:val="507E1724"/>
    <w:rsid w:val="50A75D18"/>
    <w:rsid w:val="50F06B6E"/>
    <w:rsid w:val="51904EAC"/>
    <w:rsid w:val="51D21804"/>
    <w:rsid w:val="51ED0175"/>
    <w:rsid w:val="52234D33"/>
    <w:rsid w:val="52253F1D"/>
    <w:rsid w:val="522F6E0C"/>
    <w:rsid w:val="52463BA1"/>
    <w:rsid w:val="526E5A68"/>
    <w:rsid w:val="527B23BF"/>
    <w:rsid w:val="528943B0"/>
    <w:rsid w:val="52D10231"/>
    <w:rsid w:val="52F163D4"/>
    <w:rsid w:val="531A2DB4"/>
    <w:rsid w:val="5329297F"/>
    <w:rsid w:val="53337919"/>
    <w:rsid w:val="53395DD6"/>
    <w:rsid w:val="533C1422"/>
    <w:rsid w:val="53A133A3"/>
    <w:rsid w:val="53C0244D"/>
    <w:rsid w:val="53D17DBD"/>
    <w:rsid w:val="53D37FD9"/>
    <w:rsid w:val="53DD4D4E"/>
    <w:rsid w:val="53E37A74"/>
    <w:rsid w:val="53E578CE"/>
    <w:rsid w:val="53F252D8"/>
    <w:rsid w:val="540936BB"/>
    <w:rsid w:val="541330F0"/>
    <w:rsid w:val="54272666"/>
    <w:rsid w:val="543B029D"/>
    <w:rsid w:val="547A615F"/>
    <w:rsid w:val="54861779"/>
    <w:rsid w:val="54D20290"/>
    <w:rsid w:val="552256E1"/>
    <w:rsid w:val="554E5773"/>
    <w:rsid w:val="555A3CBC"/>
    <w:rsid w:val="5582012B"/>
    <w:rsid w:val="558E4E05"/>
    <w:rsid w:val="55BE2E85"/>
    <w:rsid w:val="560015CB"/>
    <w:rsid w:val="56076DEF"/>
    <w:rsid w:val="56114DE8"/>
    <w:rsid w:val="56327239"/>
    <w:rsid w:val="56530F5D"/>
    <w:rsid w:val="567700D3"/>
    <w:rsid w:val="56A95021"/>
    <w:rsid w:val="56FF7E9E"/>
    <w:rsid w:val="570606C5"/>
    <w:rsid w:val="578867FC"/>
    <w:rsid w:val="579044D1"/>
    <w:rsid w:val="57C7431A"/>
    <w:rsid w:val="57CC7219"/>
    <w:rsid w:val="57ED4710"/>
    <w:rsid w:val="5842572D"/>
    <w:rsid w:val="58523BC2"/>
    <w:rsid w:val="58F4023A"/>
    <w:rsid w:val="59085061"/>
    <w:rsid w:val="59F24535"/>
    <w:rsid w:val="59F9242B"/>
    <w:rsid w:val="5A3B59D6"/>
    <w:rsid w:val="5AD134D8"/>
    <w:rsid w:val="5AF50835"/>
    <w:rsid w:val="5B3B6F51"/>
    <w:rsid w:val="5BAA161F"/>
    <w:rsid w:val="5BC16050"/>
    <w:rsid w:val="5BF60D08"/>
    <w:rsid w:val="5C263CE4"/>
    <w:rsid w:val="5C5D2777"/>
    <w:rsid w:val="5CB50F6C"/>
    <w:rsid w:val="5CF36FF6"/>
    <w:rsid w:val="5CF66BF3"/>
    <w:rsid w:val="5D144F8C"/>
    <w:rsid w:val="5D290C69"/>
    <w:rsid w:val="5D4F6922"/>
    <w:rsid w:val="5D6B29D0"/>
    <w:rsid w:val="5D7369AA"/>
    <w:rsid w:val="5DAB687E"/>
    <w:rsid w:val="5E343D6A"/>
    <w:rsid w:val="5E371FE9"/>
    <w:rsid w:val="5E4C2E61"/>
    <w:rsid w:val="5E5A37D0"/>
    <w:rsid w:val="5E6F4DA2"/>
    <w:rsid w:val="5EE07129"/>
    <w:rsid w:val="5F193537"/>
    <w:rsid w:val="5F2D4A41"/>
    <w:rsid w:val="5F3F6522"/>
    <w:rsid w:val="5F6F6FB6"/>
    <w:rsid w:val="5FB23198"/>
    <w:rsid w:val="5FF74860"/>
    <w:rsid w:val="5FFC08B7"/>
    <w:rsid w:val="60095AB0"/>
    <w:rsid w:val="60776941"/>
    <w:rsid w:val="60C74F6C"/>
    <w:rsid w:val="61025A59"/>
    <w:rsid w:val="6122434D"/>
    <w:rsid w:val="6126799A"/>
    <w:rsid w:val="613D5BBC"/>
    <w:rsid w:val="61416A9C"/>
    <w:rsid w:val="61536C39"/>
    <w:rsid w:val="615870CE"/>
    <w:rsid w:val="619E583F"/>
    <w:rsid w:val="61AB7E9F"/>
    <w:rsid w:val="61E73774"/>
    <w:rsid w:val="61F44ABC"/>
    <w:rsid w:val="62002852"/>
    <w:rsid w:val="620B37D8"/>
    <w:rsid w:val="621B15FB"/>
    <w:rsid w:val="622D723D"/>
    <w:rsid w:val="628232F6"/>
    <w:rsid w:val="62944DD7"/>
    <w:rsid w:val="62BF7004"/>
    <w:rsid w:val="62D578C9"/>
    <w:rsid w:val="62FD6392"/>
    <w:rsid w:val="6319381F"/>
    <w:rsid w:val="63381C06"/>
    <w:rsid w:val="63536A40"/>
    <w:rsid w:val="63790561"/>
    <w:rsid w:val="63C25DC5"/>
    <w:rsid w:val="63C62057"/>
    <w:rsid w:val="63DE5D5B"/>
    <w:rsid w:val="64571EF5"/>
    <w:rsid w:val="646A4041"/>
    <w:rsid w:val="64726D5C"/>
    <w:rsid w:val="64A84B6A"/>
    <w:rsid w:val="64CF659A"/>
    <w:rsid w:val="64EE5E56"/>
    <w:rsid w:val="64FB113D"/>
    <w:rsid w:val="65053D6A"/>
    <w:rsid w:val="65373560"/>
    <w:rsid w:val="656152C6"/>
    <w:rsid w:val="6578278E"/>
    <w:rsid w:val="6587477F"/>
    <w:rsid w:val="65896749"/>
    <w:rsid w:val="658C3A08"/>
    <w:rsid w:val="65C031CA"/>
    <w:rsid w:val="65CE6852"/>
    <w:rsid w:val="65E75CB0"/>
    <w:rsid w:val="65ED40B9"/>
    <w:rsid w:val="66267C04"/>
    <w:rsid w:val="663F505A"/>
    <w:rsid w:val="6666598C"/>
    <w:rsid w:val="66A42749"/>
    <w:rsid w:val="66CD4D5B"/>
    <w:rsid w:val="66EE5541"/>
    <w:rsid w:val="66F20FEB"/>
    <w:rsid w:val="67042B58"/>
    <w:rsid w:val="670B4947"/>
    <w:rsid w:val="677156E7"/>
    <w:rsid w:val="67924660"/>
    <w:rsid w:val="67B6363E"/>
    <w:rsid w:val="68271706"/>
    <w:rsid w:val="682D2053"/>
    <w:rsid w:val="68407834"/>
    <w:rsid w:val="6883293E"/>
    <w:rsid w:val="688412AD"/>
    <w:rsid w:val="688F051A"/>
    <w:rsid w:val="68A916F7"/>
    <w:rsid w:val="68CB0CDF"/>
    <w:rsid w:val="68EB1B71"/>
    <w:rsid w:val="69205651"/>
    <w:rsid w:val="6A6C7940"/>
    <w:rsid w:val="6AA81420"/>
    <w:rsid w:val="6AAD2300"/>
    <w:rsid w:val="6AE663EC"/>
    <w:rsid w:val="6B474EF5"/>
    <w:rsid w:val="6B476AB3"/>
    <w:rsid w:val="6B50447B"/>
    <w:rsid w:val="6B8A6D77"/>
    <w:rsid w:val="6BCE381A"/>
    <w:rsid w:val="6C0A5AC5"/>
    <w:rsid w:val="6C1A634D"/>
    <w:rsid w:val="6C2E1DF8"/>
    <w:rsid w:val="6C3A69EF"/>
    <w:rsid w:val="6C3D2E11"/>
    <w:rsid w:val="6C560CAE"/>
    <w:rsid w:val="6C576495"/>
    <w:rsid w:val="6C711CE5"/>
    <w:rsid w:val="6C77554D"/>
    <w:rsid w:val="6C8A712A"/>
    <w:rsid w:val="6CAB51F7"/>
    <w:rsid w:val="6CB26586"/>
    <w:rsid w:val="6CE30E35"/>
    <w:rsid w:val="6D2F7BD6"/>
    <w:rsid w:val="6D592EA5"/>
    <w:rsid w:val="6D6B0C89"/>
    <w:rsid w:val="6D903FF5"/>
    <w:rsid w:val="6DA955B8"/>
    <w:rsid w:val="6DB91B96"/>
    <w:rsid w:val="6DE346AB"/>
    <w:rsid w:val="6DE4433C"/>
    <w:rsid w:val="6DE5391A"/>
    <w:rsid w:val="6E032E11"/>
    <w:rsid w:val="6E5C256C"/>
    <w:rsid w:val="6E86614B"/>
    <w:rsid w:val="6EC95E08"/>
    <w:rsid w:val="6ECF7369"/>
    <w:rsid w:val="6ED71C1B"/>
    <w:rsid w:val="6EDF562C"/>
    <w:rsid w:val="6EF015E7"/>
    <w:rsid w:val="6EFD1324"/>
    <w:rsid w:val="6F4448F0"/>
    <w:rsid w:val="6F5A53AC"/>
    <w:rsid w:val="6F5C5D0D"/>
    <w:rsid w:val="6F771D08"/>
    <w:rsid w:val="6FAC003D"/>
    <w:rsid w:val="6FC20B6A"/>
    <w:rsid w:val="6FE55E12"/>
    <w:rsid w:val="6FFB2E76"/>
    <w:rsid w:val="704F058F"/>
    <w:rsid w:val="70553DF8"/>
    <w:rsid w:val="708F6F7F"/>
    <w:rsid w:val="70D94BD3"/>
    <w:rsid w:val="713C6D66"/>
    <w:rsid w:val="716342F2"/>
    <w:rsid w:val="71B82590"/>
    <w:rsid w:val="71C34D91"/>
    <w:rsid w:val="72206E02"/>
    <w:rsid w:val="72952BD1"/>
    <w:rsid w:val="729D3834"/>
    <w:rsid w:val="72AB41A3"/>
    <w:rsid w:val="72BB3CBA"/>
    <w:rsid w:val="72DB435C"/>
    <w:rsid w:val="72E2613A"/>
    <w:rsid w:val="72E4678E"/>
    <w:rsid w:val="72F771F4"/>
    <w:rsid w:val="735812E0"/>
    <w:rsid w:val="73934AD2"/>
    <w:rsid w:val="73B46E88"/>
    <w:rsid w:val="73ED07EB"/>
    <w:rsid w:val="73EF6311"/>
    <w:rsid w:val="73FC0A2E"/>
    <w:rsid w:val="7419513C"/>
    <w:rsid w:val="74286494"/>
    <w:rsid w:val="744A3547"/>
    <w:rsid w:val="74650381"/>
    <w:rsid w:val="74652E24"/>
    <w:rsid w:val="74E66082"/>
    <w:rsid w:val="74FF4332"/>
    <w:rsid w:val="750837F0"/>
    <w:rsid w:val="754758CF"/>
    <w:rsid w:val="75834F63"/>
    <w:rsid w:val="75B07D22"/>
    <w:rsid w:val="75C03F8B"/>
    <w:rsid w:val="75E84169"/>
    <w:rsid w:val="764F62AB"/>
    <w:rsid w:val="765C45EC"/>
    <w:rsid w:val="768A7619"/>
    <w:rsid w:val="76BA50FA"/>
    <w:rsid w:val="76CF22A0"/>
    <w:rsid w:val="76EF119E"/>
    <w:rsid w:val="772130F7"/>
    <w:rsid w:val="772E1EBA"/>
    <w:rsid w:val="780F01CB"/>
    <w:rsid w:val="781926BC"/>
    <w:rsid w:val="78342545"/>
    <w:rsid w:val="785D17F0"/>
    <w:rsid w:val="7873336F"/>
    <w:rsid w:val="78D15FE5"/>
    <w:rsid w:val="78F77D47"/>
    <w:rsid w:val="79002D6F"/>
    <w:rsid w:val="79312349"/>
    <w:rsid w:val="796D60A4"/>
    <w:rsid w:val="799E680F"/>
    <w:rsid w:val="79A031D5"/>
    <w:rsid w:val="79A63C42"/>
    <w:rsid w:val="79E15CC9"/>
    <w:rsid w:val="79F226B7"/>
    <w:rsid w:val="79FF2E57"/>
    <w:rsid w:val="7A0A3033"/>
    <w:rsid w:val="7A1525F7"/>
    <w:rsid w:val="7A1A7578"/>
    <w:rsid w:val="7A2A6E6F"/>
    <w:rsid w:val="7A6F3D08"/>
    <w:rsid w:val="7A765096"/>
    <w:rsid w:val="7ACF682E"/>
    <w:rsid w:val="7B0468AF"/>
    <w:rsid w:val="7B2F3497"/>
    <w:rsid w:val="7B3E54EB"/>
    <w:rsid w:val="7B420052"/>
    <w:rsid w:val="7B445194"/>
    <w:rsid w:val="7BB67714"/>
    <w:rsid w:val="7BCC6F38"/>
    <w:rsid w:val="7BD06A28"/>
    <w:rsid w:val="7C18245F"/>
    <w:rsid w:val="7C3A7C0B"/>
    <w:rsid w:val="7C402633"/>
    <w:rsid w:val="7C4E5A56"/>
    <w:rsid w:val="7C5248E4"/>
    <w:rsid w:val="7C540182"/>
    <w:rsid w:val="7C566698"/>
    <w:rsid w:val="7C5866A3"/>
    <w:rsid w:val="7CDE23E6"/>
    <w:rsid w:val="7D107E15"/>
    <w:rsid w:val="7D2B42E7"/>
    <w:rsid w:val="7D7406BB"/>
    <w:rsid w:val="7DC76A45"/>
    <w:rsid w:val="7DE94331"/>
    <w:rsid w:val="7E8104AE"/>
    <w:rsid w:val="7ED33A88"/>
    <w:rsid w:val="7F182BC0"/>
    <w:rsid w:val="7F1A529F"/>
    <w:rsid w:val="7F2D5F40"/>
    <w:rsid w:val="7F446A19"/>
    <w:rsid w:val="7F567244"/>
    <w:rsid w:val="7F7452B9"/>
    <w:rsid w:val="7FF90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rPr>
      <w:rFonts w:eastAsia="仿宋_GB2312"/>
      <w:sz w:val="32"/>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character" w:customStyle="1" w:styleId="19">
    <w:name w:val="16"/>
    <w:basedOn w:val="10"/>
    <w:qFormat/>
    <w:uiPriority w:val="0"/>
    <w:rPr>
      <w:rFonts w:hint="default" w:ascii="Times New Roman" w:hAnsi="Times New Roman" w:cs="Times New Roman"/>
      <w:b/>
      <w:bCs/>
    </w:rPr>
  </w:style>
  <w:style w:type="paragraph" w:customStyle="1" w:styleId="20">
    <w:name w:val="List Paragraph"/>
    <w:basedOn w:val="1"/>
    <w:qFormat/>
    <w:uiPriority w:val="34"/>
    <w:pPr>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8105</Words>
  <Characters>9880</Characters>
  <Lines>43</Lines>
  <Paragraphs>31</Paragraphs>
  <TotalTime>1</TotalTime>
  <ScaleCrop>false</ScaleCrop>
  <LinksUpToDate>false</LinksUpToDate>
  <CharactersWithSpaces>10148</CharactersWithSpaces>
  <Application>WPS Office_10.8.2.6666_F1E327BC-269C-435d-A152-05C5408002CA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2024-09-04T00:29:00Z</dcterms:created>
  <dc:creator>Administrator</dc:creator>
  <cp:lastModifiedBy>龚盼</cp:lastModifiedBy>
  <dcterms:modified xsi:type="dcterms:W3CDTF">2024-09-30T07:22:38Z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00E9F02DE63F49188B3603F7E0E0A236</vt:lpwstr>
  </property>
</Properties>
</file>