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jc w:val="center"/>
        <w:textAlignment w:val="auto"/>
        <w:rPr>
          <w:rFonts w:hint="eastAsia" w:ascii="方正小标宋_GBK" w:hAnsi="方正小标宋_GBK" w:eastAsia="方正小标宋_GBK" w:cs="方正小标宋_GBK"/>
          <w:b w:val="0"/>
          <w:bCs w:val="0"/>
          <w:spacing w:val="-17"/>
          <w:sz w:val="44"/>
          <w:szCs w:val="44"/>
        </w:rPr>
      </w:pPr>
      <w:r>
        <w:rPr>
          <w:rFonts w:hint="eastAsia" w:ascii="方正小标宋_GBK" w:hAnsi="方正小标宋_GBK" w:eastAsia="方正小标宋_GBK" w:cs="方正小标宋_GBK"/>
          <w:b w:val="0"/>
          <w:bCs w:val="0"/>
          <w:spacing w:val="-17"/>
          <w:sz w:val="44"/>
          <w:szCs w:val="44"/>
        </w:rPr>
        <w:t>重庆市秀山土家族苗族自治县龙凤坝镇卫生院</w:t>
      </w:r>
    </w:p>
    <w:p>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ind w:right="0" w:firstLine="880" w:firstLineChars="200"/>
        <w:jc w:val="center"/>
        <w:textAlignment w:val="auto"/>
        <w:rPr>
          <w:rFonts w:hint="eastAsia" w:ascii="方正小标宋_GBK" w:hAnsi="方正小标宋_GBK" w:eastAsia="方正小标宋_GBK" w:cs="方正小标宋_GBK"/>
          <w:b w:val="0"/>
          <w:bCs w:val="0"/>
          <w:sz w:val="44"/>
          <w:szCs w:val="44"/>
          <w:shd w:val="clear" w:color="auto" w:fill="FFFFFF"/>
        </w:rPr>
      </w:pPr>
      <w:r>
        <w:rPr>
          <w:rFonts w:hint="eastAsia" w:ascii="方正小标宋_GBK" w:hAnsi="方正小标宋_GBK" w:eastAsia="方正小标宋_GBK" w:cs="方正小标宋_GBK"/>
          <w:b w:val="0"/>
          <w:bCs w:val="0"/>
          <w:sz w:val="44"/>
          <w:szCs w:val="44"/>
          <w:shd w:val="clear" w:color="auto" w:fill="FFFFFF"/>
        </w:rPr>
        <w:t>2023年度决算公开说明</w:t>
      </w:r>
    </w:p>
    <w:p>
      <w:pPr>
        <w:pStyle w:val="10"/>
        <w:keepNext w:val="0"/>
        <w:keepLines w:val="0"/>
        <w:pageBreakBefore w:val="0"/>
        <w:widowControl/>
        <w:shd w:val="clear" w:color="auto" w:fill="FFFFFF"/>
        <w:kinsoku/>
        <w:wordWrap/>
        <w:overflowPunct/>
        <w:topLinePunct w:val="0"/>
        <w:autoSpaceDN/>
        <w:bidi w:val="0"/>
        <w:adjustRightInd/>
        <w:spacing w:before="0" w:beforeAutospacing="0" w:after="0" w:afterAutospacing="0" w:line="560" w:lineRule="exact"/>
        <w:ind w:right="0" w:firstLine="640" w:firstLineChars="200"/>
        <w:textAlignment w:val="auto"/>
        <w:rPr>
          <w:rStyle w:val="12"/>
          <w:rFonts w:hint="eastAsia" w:ascii="方正仿宋_GBK" w:hAnsi="方正仿宋_GBK" w:eastAsia="方正仿宋_GBK" w:cs="方正仿宋_GBK"/>
          <w:b w:val="0"/>
          <w:bCs w:val="0"/>
          <w:sz w:val="32"/>
          <w:szCs w:val="32"/>
          <w:shd w:val="clear" w:color="auto" w:fill="FFFFFF"/>
        </w:rPr>
      </w:pP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outlineLvl w:val="9"/>
        <w:rPr>
          <w:rFonts w:hint="default" w:ascii="Times New Roman" w:hAnsi="Times New Roman" w:eastAsia="方正黑体_GBK" w:cs="Times New Roman"/>
          <w:b w:val="0"/>
          <w:bCs w:val="0"/>
          <w:sz w:val="32"/>
          <w:szCs w:val="32"/>
        </w:rPr>
      </w:pPr>
      <w:r>
        <w:rPr>
          <w:rStyle w:val="12"/>
          <w:rFonts w:hint="default" w:ascii="Times New Roman" w:hAnsi="Times New Roman" w:eastAsia="方正黑体_GBK" w:cs="Times New Roman"/>
          <w:b w:val="0"/>
          <w:bCs w:val="0"/>
          <w:sz w:val="32"/>
          <w:szCs w:val="32"/>
          <w:shd w:val="clear" w:color="auto" w:fill="FFFFFF"/>
        </w:rPr>
        <w:t>一、单位基本情况</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outlineLvl w:val="9"/>
        <w:rPr>
          <w:rFonts w:hint="eastAsia" w:ascii="方正楷体_GBK" w:hAnsi="方正楷体_GBK" w:eastAsia="方正楷体_GBK" w:cs="方正楷体_GBK"/>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（一）职能职责</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i w:val="0"/>
          <w:caps w:val="0"/>
          <w:color w:val="333333"/>
          <w:spacing w:val="0"/>
          <w:sz w:val="32"/>
          <w:szCs w:val="32"/>
          <w:shd w:val="clear" w:fill="FFFFFF"/>
        </w:rPr>
        <w:t>本单位属基层医疗卫生机构，为非营利性医疗机构，应当为居民提供基本医疗和基本公共卫生服务。基层医疗卫生机构应当使用与其能力相适应的技术、设备和药物，按照规范诊疗程序开展常见病、多发病的诊疗和护理，提供双向转诊、现场急诊急救等医疗服务。本单位为乡镇卫生院，应当履行以下公共卫生职责：</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i w:val="0"/>
          <w:caps w:val="0"/>
          <w:color w:val="333333"/>
          <w:spacing w:val="0"/>
          <w:sz w:val="32"/>
          <w:szCs w:val="32"/>
          <w:shd w:val="clear" w:fill="FFFFFF"/>
        </w:rPr>
        <w:t>1.根据国家和本市规定收集、报送辖区内卫生健康信息，建立和管理居民健康档案，提出改进辖区公共卫生状况的建议；</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i w:val="0"/>
          <w:caps w:val="0"/>
          <w:color w:val="333333"/>
          <w:spacing w:val="0"/>
          <w:sz w:val="32"/>
          <w:szCs w:val="32"/>
          <w:shd w:val="clear" w:fill="FFFFFF"/>
        </w:rPr>
        <w:t>2.开展健康教育，普及健康知识；</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i w:val="0"/>
          <w:caps w:val="0"/>
          <w:color w:val="333333"/>
          <w:spacing w:val="0"/>
          <w:sz w:val="32"/>
          <w:szCs w:val="32"/>
          <w:shd w:val="clear" w:fill="FFFFFF"/>
        </w:rPr>
        <w:t>3.协助开展传染病以及地方病、寄生虫病的预防控制， 配合开展爱国卫生工作；</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i w:val="0"/>
          <w:caps w:val="0"/>
          <w:color w:val="333333"/>
          <w:spacing w:val="0"/>
          <w:sz w:val="32"/>
          <w:szCs w:val="32"/>
          <w:shd w:val="clear" w:fill="FFFFFF"/>
        </w:rPr>
        <w:t>4.做好高危人群、重点慢性病患者的筛查和病例管理；</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i w:val="0"/>
          <w:caps w:val="0"/>
          <w:color w:val="333333"/>
          <w:spacing w:val="0"/>
          <w:sz w:val="32"/>
          <w:szCs w:val="32"/>
          <w:shd w:val="clear" w:fill="FFFFFF"/>
        </w:rPr>
        <w:t>5.提供心理健康指导服务，实施精神病社区管理；</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i w:val="0"/>
          <w:caps w:val="0"/>
          <w:color w:val="333333"/>
          <w:spacing w:val="0"/>
          <w:sz w:val="32"/>
          <w:szCs w:val="32"/>
          <w:shd w:val="clear" w:fill="FFFFFF"/>
        </w:rPr>
        <w:t>6.为妇女、儿童、老年人、残疾人等重点人群提供保健和康复服务；</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i w:val="0"/>
          <w:caps w:val="0"/>
          <w:color w:val="333333"/>
          <w:spacing w:val="0"/>
          <w:sz w:val="32"/>
          <w:szCs w:val="32"/>
          <w:shd w:val="clear" w:fill="FFFFFF"/>
        </w:rPr>
        <w:t>7.提供计划生育技术服务，协助处置辖区内突发公共卫生事件等；</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i w:val="0"/>
          <w:caps w:val="0"/>
          <w:color w:val="333333"/>
          <w:spacing w:val="0"/>
          <w:sz w:val="32"/>
          <w:szCs w:val="32"/>
          <w:shd w:val="clear" w:fill="FFFFFF"/>
        </w:rPr>
        <w:t>8.按要求提供其他公共卫生服务。</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outlineLvl w:val="9"/>
        <w:rPr>
          <w:rFonts w:hint="eastAsia" w:ascii="Times New Roman" w:hAnsi="Times New Roman" w:eastAsia="方正仿宋_GBK" w:cs="Times New Roman"/>
          <w:b w:val="0"/>
          <w:bCs w:val="0"/>
          <w:i w:val="0"/>
          <w:caps w:val="0"/>
          <w:color w:val="333333"/>
          <w:spacing w:val="0"/>
          <w:sz w:val="32"/>
          <w:szCs w:val="32"/>
          <w:shd w:val="clear" w:fill="FFFFFF"/>
        </w:rPr>
      </w:pPr>
      <w:r>
        <w:rPr>
          <w:rStyle w:val="12"/>
          <w:rFonts w:hint="eastAsia" w:ascii="方正楷体_GBK" w:hAnsi="方正楷体_GBK" w:eastAsia="方正楷体_GBK" w:cs="方正楷体_GBK"/>
          <w:b w:val="0"/>
          <w:bCs w:val="0"/>
          <w:sz w:val="32"/>
          <w:szCs w:val="32"/>
          <w:shd w:val="clear" w:color="auto" w:fill="FFFFFF"/>
        </w:rPr>
        <w:t>（二）机构设置</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i w:val="0"/>
          <w:caps w:val="0"/>
          <w:color w:val="FF0000"/>
          <w:spacing w:val="0"/>
          <w:sz w:val="32"/>
          <w:szCs w:val="32"/>
          <w:shd w:val="clear" w:fill="FFFFFF"/>
        </w:rPr>
      </w:pPr>
      <w:r>
        <w:rPr>
          <w:rFonts w:hint="default" w:ascii="Times New Roman" w:hAnsi="Times New Roman" w:eastAsia="方正仿宋_GBK" w:cs="Times New Roman"/>
          <w:b w:val="0"/>
          <w:bCs w:val="0"/>
          <w:i w:val="0"/>
          <w:caps w:val="0"/>
          <w:color w:val="333333"/>
          <w:spacing w:val="0"/>
          <w:sz w:val="32"/>
          <w:szCs w:val="32"/>
          <w:shd w:val="clear" w:fill="FFFFFF"/>
        </w:rPr>
        <w:t>本单位为秀山县卫生健康委员会二级预算单位，无下级预算单位。</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i w:val="0"/>
          <w:caps w:val="0"/>
          <w:color w:val="333333"/>
          <w:spacing w:val="0"/>
          <w:sz w:val="32"/>
          <w:szCs w:val="32"/>
          <w:shd w:val="clear" w:fill="FFFFFF"/>
        </w:rPr>
        <w:t>本单位下设综合门诊、综合住院、西药房、收费室、公卫科。</w:t>
      </w:r>
    </w:p>
    <w:p>
      <w:pPr>
        <w:pStyle w:val="10"/>
        <w:keepNext w:val="0"/>
        <w:keepLines w:val="0"/>
        <w:pageBreakBefore w:val="0"/>
        <w:widowControl/>
        <w:shd w:val="clear" w:color="auto" w:fill="FFFFFF"/>
        <w:kinsoku/>
        <w:wordWrap/>
        <w:overflowPunct/>
        <w:topLinePunct w:val="0"/>
        <w:autoSpaceDN/>
        <w:bidi w:val="0"/>
        <w:adjustRightInd/>
        <w:snapToGrid/>
        <w:spacing w:beforeAutospacing="0" w:after="0" w:afterAutospacing="0" w:line="560" w:lineRule="exact"/>
        <w:ind w:right="0" w:firstLine="640" w:firstLineChars="200"/>
        <w:textAlignment w:val="auto"/>
        <w:outlineLvl w:val="9"/>
        <w:rPr>
          <w:rFonts w:hint="eastAsia" w:ascii="方正黑体_GBK" w:hAnsi="方正黑体_GBK" w:eastAsia="方正黑体_GBK" w:cs="方正黑体_GBK"/>
          <w:b w:val="0"/>
          <w:bCs w:val="0"/>
          <w:sz w:val="32"/>
          <w:szCs w:val="32"/>
        </w:rPr>
      </w:pPr>
      <w:r>
        <w:rPr>
          <w:rStyle w:val="12"/>
          <w:rFonts w:hint="eastAsia" w:ascii="方正黑体_GBK" w:hAnsi="方正黑体_GBK" w:eastAsia="方正黑体_GBK" w:cs="方正黑体_GBK"/>
          <w:b w:val="0"/>
          <w:bCs w:val="0"/>
          <w:sz w:val="32"/>
          <w:szCs w:val="32"/>
          <w:shd w:val="clear" w:color="auto" w:fill="FFFFFF"/>
        </w:rPr>
        <w:t>二、单位决算情况说明</w:t>
      </w:r>
    </w:p>
    <w:p>
      <w:pPr>
        <w:pStyle w:val="15"/>
        <w:keepNext w:val="0"/>
        <w:keepLines w:val="0"/>
        <w:pageBreakBefore w:val="0"/>
        <w:widowControl/>
        <w:kinsoku/>
        <w:wordWrap/>
        <w:overflowPunct/>
        <w:topLinePunct w:val="0"/>
        <w:autoSpaceDE w:val="0"/>
        <w:autoSpaceDN/>
        <w:bidi w:val="0"/>
        <w:adjustRightInd/>
        <w:snapToGrid/>
        <w:spacing w:beforeAutospacing="0" w:afterAutospacing="0" w:line="560" w:lineRule="exact"/>
        <w:ind w:right="0" w:firstLine="640" w:firstLineChars="200"/>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（一）收入支出决算总体情况说明</w:t>
      </w:r>
    </w:p>
    <w:p>
      <w:pPr>
        <w:pStyle w:val="10"/>
        <w:keepNext w:val="0"/>
        <w:keepLines w:val="0"/>
        <w:pageBreakBefore w:val="0"/>
        <w:widowControl/>
        <w:shd w:val="clear" w:color="auto" w:fill="FFFFFF"/>
        <w:kinsoku/>
        <w:wordWrap/>
        <w:overflowPunct/>
        <w:topLinePunct w:val="0"/>
        <w:autoSpaceDE/>
        <w:autoSpaceDN/>
        <w:bidi w:val="0"/>
        <w:adjustRightInd/>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lang w:eastAsia="zh-CN"/>
        </w:rPr>
      </w:pPr>
      <w:r>
        <w:rPr>
          <w:rStyle w:val="12"/>
          <w:rFonts w:hint="default" w:ascii="Times New Roman" w:hAnsi="Times New Roman" w:eastAsia="方正仿宋_GBK" w:cs="Times New Roman"/>
          <w:b w:val="0"/>
          <w:bCs w:val="0"/>
          <w:sz w:val="32"/>
          <w:szCs w:val="32"/>
          <w:shd w:val="clear" w:color="auto" w:fill="FFFFFF"/>
        </w:rPr>
        <w:t>1.总体情况。</w:t>
      </w:r>
      <w:r>
        <w:rPr>
          <w:rFonts w:hint="default" w:ascii="Times New Roman" w:hAnsi="Times New Roman" w:eastAsia="方正仿宋_GBK" w:cs="Times New Roman"/>
          <w:b w:val="0"/>
          <w:bCs w:val="0"/>
          <w:sz w:val="32"/>
          <w:szCs w:val="32"/>
          <w:shd w:val="clear" w:color="auto" w:fill="FFFFFF"/>
        </w:rPr>
        <w:t>2023年度收入总计154.38万元，支出总计</w:t>
      </w:r>
      <w:r>
        <w:rPr>
          <w:rFonts w:hint="default" w:ascii="Times New Roman" w:hAnsi="Times New Roman" w:eastAsia="方正仿宋_GBK" w:cs="Times New Roman"/>
          <w:b w:val="0"/>
          <w:bCs w:val="0"/>
          <w:sz w:val="32"/>
          <w:szCs w:val="32"/>
        </w:rPr>
        <w:t>154.38</w:t>
      </w:r>
      <w:r>
        <w:rPr>
          <w:rFonts w:hint="default" w:ascii="Times New Roman" w:hAnsi="Times New Roman" w:eastAsia="方正仿宋_GBK" w:cs="Times New Roman"/>
          <w:b w:val="0"/>
          <w:bCs w:val="0"/>
          <w:sz w:val="32"/>
          <w:szCs w:val="32"/>
          <w:shd w:val="clear" w:color="auto" w:fill="FFFFFF"/>
        </w:rPr>
        <w:t>万元。收支较上年决算数增加38.02万元，增长32.67%，主要原因是</w:t>
      </w:r>
      <w:r>
        <w:rPr>
          <w:rFonts w:hint="eastAsia" w:ascii="Times New Roman" w:hAnsi="Times New Roman" w:eastAsia="方正仿宋_GBK" w:cs="Times New Roman"/>
          <w:b w:val="0"/>
          <w:bCs w:val="0"/>
          <w:sz w:val="32"/>
          <w:szCs w:val="32"/>
          <w:shd w:val="clear" w:color="auto" w:fill="FFFFFF"/>
          <w:lang w:eastAsia="zh-CN"/>
        </w:rPr>
        <w:t>本年度</w:t>
      </w:r>
      <w:r>
        <w:rPr>
          <w:rFonts w:hint="eastAsia" w:ascii="Times New Roman" w:hAnsi="Times New Roman" w:eastAsia="方正仿宋_GBK" w:cs="Times New Roman"/>
          <w:b w:val="0"/>
          <w:bCs w:val="0"/>
          <w:sz w:val="32"/>
          <w:szCs w:val="32"/>
          <w:shd w:val="clear" w:color="auto" w:fill="FFFFFF"/>
          <w:lang w:val="en-US" w:eastAsia="zh-CN"/>
        </w:rPr>
        <w:t>7月开始收治病人</w:t>
      </w:r>
      <w:r>
        <w:rPr>
          <w:rFonts w:hint="default" w:ascii="Times New Roman" w:hAnsi="Times New Roman" w:eastAsia="方正仿宋_GBK" w:cs="Times New Roman"/>
          <w:b w:val="0"/>
          <w:bCs w:val="0"/>
          <w:sz w:val="32"/>
          <w:szCs w:val="32"/>
          <w:shd w:val="clear" w:color="auto" w:fill="FFFFFF"/>
          <w:lang w:eastAsia="zh-CN"/>
        </w:rPr>
        <w:t>业务收入</w:t>
      </w:r>
      <w:r>
        <w:rPr>
          <w:rFonts w:hint="eastAsia" w:ascii="Times New Roman" w:hAnsi="Times New Roman" w:eastAsia="方正仿宋_GBK" w:cs="Times New Roman"/>
          <w:b w:val="0"/>
          <w:bCs w:val="0"/>
          <w:sz w:val="32"/>
          <w:szCs w:val="32"/>
          <w:shd w:val="clear" w:color="auto" w:fill="FFFFFF"/>
          <w:lang w:eastAsia="zh-CN"/>
        </w:rPr>
        <w:t>增加</w:t>
      </w:r>
      <w:r>
        <w:rPr>
          <w:rFonts w:hint="eastAsia" w:ascii="Times New Roman" w:hAnsi="Times New Roman" w:eastAsia="方正仿宋_GBK" w:cs="Times New Roman"/>
          <w:b w:val="0"/>
          <w:bCs w:val="0"/>
          <w:sz w:val="32"/>
          <w:szCs w:val="32"/>
          <w:shd w:val="clear" w:color="auto" w:fill="FFFFFF"/>
          <w:lang w:val="en-US" w:eastAsia="zh-CN"/>
        </w:rPr>
        <w:t>14.56万元</w:t>
      </w:r>
      <w:r>
        <w:rPr>
          <w:rFonts w:hint="eastAsia" w:ascii="Times New Roman" w:hAnsi="Times New Roman" w:eastAsia="方正仿宋_GBK" w:cs="Times New Roman"/>
          <w:b w:val="0"/>
          <w:bCs w:val="0"/>
          <w:sz w:val="32"/>
          <w:szCs w:val="32"/>
          <w:shd w:val="clear" w:color="auto" w:fill="FFFFFF"/>
          <w:lang w:eastAsia="zh-CN"/>
        </w:rPr>
        <w:t>、清算</w:t>
      </w:r>
      <w:r>
        <w:rPr>
          <w:rFonts w:hint="eastAsia" w:ascii="Times New Roman" w:hAnsi="Times New Roman" w:eastAsia="方正仿宋_GBK" w:cs="Times New Roman"/>
          <w:b w:val="0"/>
          <w:bCs w:val="0"/>
          <w:sz w:val="32"/>
          <w:szCs w:val="32"/>
          <w:shd w:val="clear" w:color="auto" w:fill="FFFFFF"/>
          <w:lang w:val="en-US" w:eastAsia="zh-CN"/>
        </w:rPr>
        <w:t>2022年超高绩效9.06万元、财政拨款项目收入7.15万元、</w:t>
      </w:r>
      <w:r>
        <w:rPr>
          <w:rFonts w:hint="default" w:ascii="Times New Roman" w:hAnsi="Times New Roman" w:eastAsia="方正仿宋_GBK" w:cs="Times New Roman"/>
          <w:b w:val="0"/>
          <w:bCs w:val="0"/>
          <w:sz w:val="32"/>
          <w:szCs w:val="32"/>
          <w:shd w:val="clear" w:color="auto" w:fill="FFFFFF"/>
          <w:lang w:eastAsia="zh-CN"/>
        </w:rPr>
        <w:t>在编人员的增加</w:t>
      </w:r>
      <w:r>
        <w:rPr>
          <w:rFonts w:hint="eastAsia"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lang w:eastAsia="zh-CN"/>
        </w:rPr>
        <w:t>在编人员的社保、公积金</w:t>
      </w:r>
      <w:r>
        <w:rPr>
          <w:rFonts w:hint="eastAsia" w:ascii="Times New Roman" w:hAnsi="Times New Roman" w:eastAsia="方正仿宋_GBK" w:cs="Times New Roman"/>
          <w:b w:val="0"/>
          <w:bCs w:val="0"/>
          <w:sz w:val="32"/>
          <w:szCs w:val="32"/>
          <w:shd w:val="clear" w:color="auto" w:fill="FFFFFF"/>
          <w:lang w:eastAsia="zh-CN"/>
        </w:rPr>
        <w:t>缴费</w:t>
      </w:r>
      <w:r>
        <w:rPr>
          <w:rFonts w:hint="default" w:ascii="Times New Roman" w:hAnsi="Times New Roman" w:eastAsia="方正仿宋_GBK" w:cs="Times New Roman"/>
          <w:b w:val="0"/>
          <w:bCs w:val="0"/>
          <w:sz w:val="32"/>
          <w:szCs w:val="32"/>
          <w:shd w:val="clear" w:color="auto" w:fill="FFFFFF"/>
          <w:lang w:eastAsia="zh-CN"/>
        </w:rPr>
        <w:t>基数调增</w:t>
      </w:r>
      <w:r>
        <w:rPr>
          <w:rFonts w:hint="eastAsia" w:ascii="Times New Roman" w:hAnsi="Times New Roman" w:eastAsia="方正仿宋_GBK" w:cs="Times New Roman"/>
          <w:b w:val="0"/>
          <w:bCs w:val="0"/>
          <w:sz w:val="32"/>
          <w:szCs w:val="32"/>
          <w:shd w:val="clear" w:color="auto" w:fill="FFFFFF"/>
          <w:lang w:eastAsia="zh-CN"/>
        </w:rPr>
        <w:t>及</w:t>
      </w:r>
      <w:r>
        <w:rPr>
          <w:rFonts w:hint="default" w:ascii="Times New Roman" w:hAnsi="Times New Roman" w:eastAsia="方正仿宋_GBK" w:cs="Times New Roman"/>
          <w:b w:val="0"/>
          <w:bCs w:val="0"/>
          <w:sz w:val="32"/>
          <w:szCs w:val="32"/>
          <w:shd w:val="clear" w:color="auto" w:fill="FFFFFF"/>
          <w:lang w:eastAsia="zh-CN"/>
        </w:rPr>
        <w:t>每年薪级的增加</w:t>
      </w:r>
      <w:r>
        <w:rPr>
          <w:rFonts w:hint="eastAsia" w:ascii="Times New Roman" w:hAnsi="Times New Roman" w:eastAsia="方正仿宋_GBK" w:cs="Times New Roman"/>
          <w:b w:val="0"/>
          <w:bCs w:val="0"/>
          <w:sz w:val="32"/>
          <w:szCs w:val="32"/>
          <w:shd w:val="clear" w:color="auto" w:fill="FFFFFF"/>
          <w:lang w:eastAsia="zh-CN"/>
        </w:rPr>
        <w:t>，相应的支出增加。</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Style w:val="12"/>
          <w:rFonts w:hint="default" w:ascii="Times New Roman" w:hAnsi="Times New Roman" w:eastAsia="方正仿宋_GBK" w:cs="Times New Roman"/>
          <w:b w:val="0"/>
          <w:bCs w:val="0"/>
          <w:sz w:val="32"/>
          <w:szCs w:val="32"/>
          <w:shd w:val="clear" w:color="auto" w:fill="FFFFFF"/>
        </w:rPr>
        <w:t>2.收入情况。</w:t>
      </w:r>
      <w:r>
        <w:rPr>
          <w:rFonts w:hint="default" w:ascii="Times New Roman" w:hAnsi="Times New Roman" w:eastAsia="方正仿宋_GBK" w:cs="Times New Roman"/>
          <w:b w:val="0"/>
          <w:bCs w:val="0"/>
          <w:sz w:val="32"/>
          <w:szCs w:val="32"/>
          <w:shd w:val="clear" w:color="auto" w:fill="FFFFFF"/>
        </w:rPr>
        <w:t>2023年度收入合计154.38万元，较上年决算数增加38.02万元，增长32.67%，主要原因是</w:t>
      </w:r>
      <w:r>
        <w:rPr>
          <w:rFonts w:hint="eastAsia" w:ascii="Times New Roman" w:hAnsi="Times New Roman" w:eastAsia="方正仿宋_GBK" w:cs="Times New Roman"/>
          <w:b w:val="0"/>
          <w:bCs w:val="0"/>
          <w:sz w:val="32"/>
          <w:szCs w:val="32"/>
          <w:shd w:val="clear" w:color="auto" w:fill="FFFFFF"/>
          <w:lang w:eastAsia="zh-CN"/>
        </w:rPr>
        <w:t>本年度</w:t>
      </w:r>
      <w:r>
        <w:rPr>
          <w:rFonts w:hint="eastAsia" w:ascii="Times New Roman" w:hAnsi="Times New Roman" w:eastAsia="方正仿宋_GBK" w:cs="Times New Roman"/>
          <w:b w:val="0"/>
          <w:bCs w:val="0"/>
          <w:sz w:val="32"/>
          <w:szCs w:val="32"/>
          <w:shd w:val="clear" w:color="auto" w:fill="FFFFFF"/>
          <w:lang w:val="en-US" w:eastAsia="zh-CN"/>
        </w:rPr>
        <w:t>7月开始收治病人</w:t>
      </w:r>
      <w:r>
        <w:rPr>
          <w:rFonts w:hint="default" w:ascii="Times New Roman" w:hAnsi="Times New Roman" w:eastAsia="方正仿宋_GBK" w:cs="Times New Roman"/>
          <w:b w:val="0"/>
          <w:bCs w:val="0"/>
          <w:sz w:val="32"/>
          <w:szCs w:val="32"/>
          <w:shd w:val="clear" w:color="auto" w:fill="FFFFFF"/>
          <w:lang w:eastAsia="zh-CN"/>
        </w:rPr>
        <w:t>业务收入</w:t>
      </w:r>
      <w:r>
        <w:rPr>
          <w:rFonts w:hint="eastAsia" w:ascii="Times New Roman" w:hAnsi="Times New Roman" w:eastAsia="方正仿宋_GBK" w:cs="Times New Roman"/>
          <w:b w:val="0"/>
          <w:bCs w:val="0"/>
          <w:sz w:val="32"/>
          <w:szCs w:val="32"/>
          <w:shd w:val="clear" w:color="auto" w:fill="FFFFFF"/>
          <w:lang w:eastAsia="zh-CN"/>
        </w:rPr>
        <w:t>增加</w:t>
      </w:r>
      <w:r>
        <w:rPr>
          <w:rFonts w:hint="eastAsia" w:ascii="Times New Roman" w:hAnsi="Times New Roman" w:eastAsia="方正仿宋_GBK" w:cs="Times New Roman"/>
          <w:b w:val="0"/>
          <w:bCs w:val="0"/>
          <w:sz w:val="32"/>
          <w:szCs w:val="32"/>
          <w:shd w:val="clear" w:color="auto" w:fill="FFFFFF"/>
          <w:lang w:val="en-US" w:eastAsia="zh-CN"/>
        </w:rPr>
        <w:t>14.56万元</w:t>
      </w:r>
      <w:r>
        <w:rPr>
          <w:rFonts w:hint="eastAsia" w:ascii="Times New Roman" w:hAnsi="Times New Roman" w:eastAsia="方正仿宋_GBK" w:cs="Times New Roman"/>
          <w:b w:val="0"/>
          <w:bCs w:val="0"/>
          <w:sz w:val="32"/>
          <w:szCs w:val="32"/>
          <w:shd w:val="clear" w:color="auto" w:fill="FFFFFF"/>
          <w:lang w:eastAsia="zh-CN"/>
        </w:rPr>
        <w:t>、清算</w:t>
      </w:r>
      <w:r>
        <w:rPr>
          <w:rFonts w:hint="eastAsia" w:ascii="Times New Roman" w:hAnsi="Times New Roman" w:eastAsia="方正仿宋_GBK" w:cs="Times New Roman"/>
          <w:b w:val="0"/>
          <w:bCs w:val="0"/>
          <w:sz w:val="32"/>
          <w:szCs w:val="32"/>
          <w:shd w:val="clear" w:color="auto" w:fill="FFFFFF"/>
          <w:lang w:val="en-US" w:eastAsia="zh-CN"/>
        </w:rPr>
        <w:t>2022年超高绩效9.06万元、财政拨款项目收入7.15万元</w:t>
      </w:r>
      <w:r>
        <w:rPr>
          <w:rFonts w:hint="default" w:ascii="Times New Roman" w:hAnsi="Times New Roman" w:eastAsia="方正仿宋_GBK" w:cs="Times New Roman"/>
          <w:b w:val="0"/>
          <w:bCs w:val="0"/>
          <w:sz w:val="32"/>
          <w:szCs w:val="32"/>
          <w:shd w:val="clear" w:color="auto" w:fill="FFFFFF"/>
        </w:rPr>
        <w:t>。其中：财政拨款收入</w:t>
      </w:r>
      <w:r>
        <w:rPr>
          <w:rFonts w:hint="default" w:ascii="Times New Roman" w:hAnsi="Times New Roman" w:eastAsia="方正仿宋_GBK" w:cs="Times New Roman"/>
          <w:b w:val="0"/>
          <w:bCs w:val="0"/>
          <w:sz w:val="32"/>
          <w:szCs w:val="32"/>
        </w:rPr>
        <w:t>139.82</w:t>
      </w:r>
      <w:r>
        <w:rPr>
          <w:rFonts w:hint="default" w:ascii="Times New Roman" w:hAnsi="Times New Roman" w:eastAsia="方正仿宋_GBK" w:cs="Times New Roman"/>
          <w:b w:val="0"/>
          <w:bCs w:val="0"/>
          <w:sz w:val="32"/>
          <w:szCs w:val="32"/>
          <w:shd w:val="clear" w:color="auto" w:fill="FFFFFF"/>
        </w:rPr>
        <w:t>万元，占</w:t>
      </w:r>
      <w:r>
        <w:rPr>
          <w:rFonts w:hint="default" w:ascii="Times New Roman" w:hAnsi="Times New Roman" w:eastAsia="方正仿宋_GBK" w:cs="Times New Roman"/>
          <w:b w:val="0"/>
          <w:bCs w:val="0"/>
          <w:sz w:val="32"/>
          <w:szCs w:val="32"/>
        </w:rPr>
        <w:t>90.57</w:t>
      </w:r>
      <w:r>
        <w:rPr>
          <w:rFonts w:hint="default" w:ascii="Times New Roman" w:hAnsi="Times New Roman" w:eastAsia="方正仿宋_GBK" w:cs="Times New Roman"/>
          <w:b w:val="0"/>
          <w:bCs w:val="0"/>
          <w:sz w:val="32"/>
          <w:szCs w:val="32"/>
          <w:shd w:val="clear" w:color="auto" w:fill="FFFFFF"/>
        </w:rPr>
        <w:t>%；事业收入</w:t>
      </w:r>
      <w:r>
        <w:rPr>
          <w:rFonts w:hint="default" w:ascii="Times New Roman" w:hAnsi="Times New Roman" w:eastAsia="方正仿宋_GBK" w:cs="Times New Roman"/>
          <w:b w:val="0"/>
          <w:bCs w:val="0"/>
          <w:sz w:val="32"/>
          <w:szCs w:val="32"/>
        </w:rPr>
        <w:t>14.56</w:t>
      </w:r>
      <w:r>
        <w:rPr>
          <w:rFonts w:hint="default" w:ascii="Times New Roman" w:hAnsi="Times New Roman" w:eastAsia="方正仿宋_GBK" w:cs="Times New Roman"/>
          <w:b w:val="0"/>
          <w:bCs w:val="0"/>
          <w:sz w:val="32"/>
          <w:szCs w:val="32"/>
          <w:shd w:val="clear" w:color="auto" w:fill="FFFFFF"/>
        </w:rPr>
        <w:t>万元，占9.43%；经营收入</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万元，占0.00%；其他收入</w:t>
      </w:r>
      <w:r>
        <w:rPr>
          <w:rFonts w:hint="default" w:ascii="Times New Roman" w:hAnsi="Times New Roman" w:eastAsia="方正仿宋_GBK" w:cs="Times New Roman"/>
          <w:b w:val="0"/>
          <w:bCs w:val="0"/>
          <w:sz w:val="32"/>
          <w:szCs w:val="32"/>
        </w:rPr>
        <w:t>0.01</w:t>
      </w:r>
      <w:r>
        <w:rPr>
          <w:rFonts w:hint="default" w:ascii="Times New Roman" w:hAnsi="Times New Roman" w:eastAsia="方正仿宋_GBK" w:cs="Times New Roman"/>
          <w:b w:val="0"/>
          <w:bCs w:val="0"/>
          <w:sz w:val="32"/>
          <w:szCs w:val="32"/>
          <w:shd w:val="clear" w:color="auto" w:fill="FFFFFF"/>
        </w:rPr>
        <w:t>万元，占0.01%。此外，使用非财政拨款结余和专用结余</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万元，年初结转和结余</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Style w:val="12"/>
          <w:rFonts w:hint="default" w:ascii="Times New Roman" w:hAnsi="Times New Roman" w:eastAsia="方正仿宋_GBK" w:cs="Times New Roman"/>
          <w:b w:val="0"/>
          <w:bCs w:val="0"/>
          <w:sz w:val="32"/>
          <w:szCs w:val="32"/>
          <w:shd w:val="clear" w:color="auto" w:fill="FFFFFF"/>
        </w:rPr>
        <w:t>3.支出情况。</w:t>
      </w:r>
      <w:r>
        <w:rPr>
          <w:rFonts w:hint="default" w:ascii="Times New Roman" w:hAnsi="Times New Roman" w:eastAsia="方正仿宋_GBK" w:cs="Times New Roman"/>
          <w:b w:val="0"/>
          <w:bCs w:val="0"/>
          <w:sz w:val="32"/>
          <w:szCs w:val="32"/>
          <w:shd w:val="clear" w:color="auto" w:fill="FFFFFF"/>
        </w:rPr>
        <w:t>2023年度支出合计</w:t>
      </w:r>
      <w:r>
        <w:rPr>
          <w:rFonts w:hint="default" w:ascii="Times New Roman" w:hAnsi="Times New Roman" w:eastAsia="方正仿宋_GBK" w:cs="Times New Roman"/>
          <w:b w:val="0"/>
          <w:bCs w:val="0"/>
          <w:sz w:val="32"/>
          <w:szCs w:val="32"/>
        </w:rPr>
        <w:t>145.32</w:t>
      </w:r>
      <w:r>
        <w:rPr>
          <w:rFonts w:hint="default" w:ascii="Times New Roman" w:hAnsi="Times New Roman" w:eastAsia="方正仿宋_GBK" w:cs="Times New Roman"/>
          <w:b w:val="0"/>
          <w:bCs w:val="0"/>
          <w:sz w:val="32"/>
          <w:szCs w:val="32"/>
          <w:shd w:val="clear" w:color="auto" w:fill="FFFFFF"/>
        </w:rPr>
        <w:t>万元，较上年决算数增加28.96万元，增长24.89%，主要原因是</w:t>
      </w:r>
      <w:r>
        <w:rPr>
          <w:rFonts w:hint="eastAsia" w:ascii="Times New Roman" w:hAnsi="Times New Roman" w:eastAsia="方正仿宋_GBK" w:cs="Times New Roman"/>
          <w:b w:val="0"/>
          <w:bCs w:val="0"/>
          <w:sz w:val="32"/>
          <w:szCs w:val="32"/>
          <w:shd w:val="clear" w:color="auto" w:fill="FFFFFF"/>
          <w:lang w:eastAsia="zh-CN"/>
        </w:rPr>
        <w:t>业务收入增加相应的成本增加、财政拨款项目支出增加</w:t>
      </w:r>
      <w:r>
        <w:rPr>
          <w:rFonts w:hint="eastAsia" w:ascii="Times New Roman" w:hAnsi="Times New Roman" w:eastAsia="方正仿宋_GBK" w:cs="Times New Roman"/>
          <w:b w:val="0"/>
          <w:bCs w:val="0"/>
          <w:sz w:val="32"/>
          <w:szCs w:val="32"/>
          <w:shd w:val="clear" w:color="auto" w:fill="FFFFFF"/>
          <w:lang w:val="en-US" w:eastAsia="zh-CN"/>
        </w:rPr>
        <w:t>7.15万元、</w:t>
      </w:r>
      <w:r>
        <w:rPr>
          <w:rFonts w:hint="default" w:ascii="Times New Roman" w:hAnsi="Times New Roman" w:eastAsia="方正仿宋_GBK" w:cs="Times New Roman"/>
          <w:b w:val="0"/>
          <w:bCs w:val="0"/>
          <w:sz w:val="32"/>
          <w:szCs w:val="32"/>
          <w:shd w:val="clear" w:color="auto" w:fill="FFFFFF"/>
          <w:lang w:eastAsia="zh-CN"/>
        </w:rPr>
        <w:t>在职人员的社保</w:t>
      </w:r>
      <w:r>
        <w:rPr>
          <w:rFonts w:hint="eastAsia"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lang w:eastAsia="zh-CN"/>
        </w:rPr>
        <w:t>公积金</w:t>
      </w:r>
      <w:r>
        <w:rPr>
          <w:rFonts w:hint="eastAsia" w:ascii="Times New Roman" w:hAnsi="Times New Roman" w:eastAsia="方正仿宋_GBK" w:cs="Times New Roman"/>
          <w:b w:val="0"/>
          <w:bCs w:val="0"/>
          <w:sz w:val="32"/>
          <w:szCs w:val="32"/>
          <w:shd w:val="clear" w:color="auto" w:fill="FFFFFF"/>
          <w:lang w:eastAsia="zh-CN"/>
        </w:rPr>
        <w:t>缴费</w:t>
      </w:r>
      <w:r>
        <w:rPr>
          <w:rFonts w:hint="default" w:ascii="Times New Roman" w:hAnsi="Times New Roman" w:eastAsia="方正仿宋_GBK" w:cs="Times New Roman"/>
          <w:b w:val="0"/>
          <w:bCs w:val="0"/>
          <w:sz w:val="32"/>
          <w:szCs w:val="32"/>
          <w:shd w:val="clear" w:color="auto" w:fill="FFFFFF"/>
          <w:lang w:eastAsia="zh-CN"/>
        </w:rPr>
        <w:t>基数调增及每年薪级的增加</w:t>
      </w:r>
      <w:r>
        <w:rPr>
          <w:rFonts w:hint="default" w:ascii="Times New Roman" w:hAnsi="Times New Roman" w:eastAsia="方正仿宋_GBK" w:cs="Times New Roman"/>
          <w:b w:val="0"/>
          <w:bCs w:val="0"/>
          <w:color w:val="auto"/>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其中：基本支出</w:t>
      </w:r>
      <w:r>
        <w:rPr>
          <w:rFonts w:hint="default" w:ascii="Times New Roman" w:hAnsi="Times New Roman" w:eastAsia="方正仿宋_GBK" w:cs="Times New Roman"/>
          <w:b w:val="0"/>
          <w:bCs w:val="0"/>
          <w:sz w:val="32"/>
          <w:szCs w:val="32"/>
        </w:rPr>
        <w:t>145.32</w:t>
      </w:r>
      <w:r>
        <w:rPr>
          <w:rFonts w:hint="default" w:ascii="Times New Roman" w:hAnsi="Times New Roman" w:eastAsia="方正仿宋_GBK" w:cs="Times New Roman"/>
          <w:b w:val="0"/>
          <w:bCs w:val="0"/>
          <w:sz w:val="32"/>
          <w:szCs w:val="32"/>
          <w:shd w:val="clear" w:color="auto" w:fill="FFFFFF"/>
        </w:rPr>
        <w:t>万元，占100.00%；项目支出</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万元，占0.00%；经营支出</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万元，占0.00%。此外，结余分配</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default" w:ascii="Times New Roman" w:hAnsi="Times New Roman" w:eastAsia="方正仿宋_GBK" w:cs="Times New Roman"/>
          <w:b w:val="0"/>
          <w:bCs w:val="0"/>
          <w:sz w:val="32"/>
          <w:szCs w:val="32"/>
          <w:shd w:val="clear" w:color="auto" w:fill="FFFFFF"/>
        </w:rPr>
        <w:t>4.结转结余情况。</w:t>
      </w:r>
      <w:r>
        <w:rPr>
          <w:rFonts w:hint="default" w:ascii="Times New Roman" w:hAnsi="Times New Roman" w:eastAsia="方正仿宋_GBK" w:cs="Times New Roman"/>
          <w:b w:val="0"/>
          <w:bCs w:val="0"/>
          <w:sz w:val="32"/>
          <w:szCs w:val="32"/>
          <w:shd w:val="clear" w:color="auto" w:fill="FFFFFF"/>
        </w:rPr>
        <w:t>2023年度年末结转和结余</w:t>
      </w:r>
      <w:r>
        <w:rPr>
          <w:rFonts w:hint="default" w:ascii="Times New Roman" w:hAnsi="Times New Roman" w:eastAsia="方正仿宋_GBK" w:cs="Times New Roman"/>
          <w:b w:val="0"/>
          <w:bCs w:val="0"/>
          <w:sz w:val="32"/>
          <w:szCs w:val="32"/>
        </w:rPr>
        <w:t>9.06</w:t>
      </w:r>
      <w:r>
        <w:rPr>
          <w:rFonts w:hint="default" w:ascii="Times New Roman" w:hAnsi="Times New Roman" w:eastAsia="方正仿宋_GBK" w:cs="Times New Roman"/>
          <w:b w:val="0"/>
          <w:bCs w:val="0"/>
          <w:sz w:val="32"/>
          <w:szCs w:val="32"/>
          <w:shd w:val="clear" w:color="auto" w:fill="FFFFFF"/>
        </w:rPr>
        <w:t>万元，较上年决算数增加9.06万元，增长100.00%，主要原因是</w:t>
      </w:r>
      <w:r>
        <w:rPr>
          <w:rFonts w:hint="default" w:ascii="Times New Roman" w:hAnsi="Times New Roman" w:eastAsia="方正仿宋_GBK" w:cs="Times New Roman"/>
          <w:b w:val="0"/>
          <w:bCs w:val="0"/>
          <w:sz w:val="32"/>
          <w:szCs w:val="32"/>
          <w:shd w:val="clear" w:color="auto" w:fill="FFFFFF"/>
          <w:lang w:val="en-US" w:eastAsia="zh-CN"/>
        </w:rPr>
        <w:t>2</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022年绩效清算</w:t>
      </w:r>
      <w:bookmarkStart w:id="0" w:name="_GoBack"/>
      <w:bookmarkEnd w:id="0"/>
      <w:r>
        <w:rPr>
          <w:rFonts w:hint="eastAsia"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财政拨款</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在2023年年底到账，未及时支付导致结余增加</w:t>
      </w:r>
      <w:r>
        <w:rPr>
          <w:rFonts w:hint="eastAsia"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9.06万元</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w:t>
      </w:r>
    </w:p>
    <w:p>
      <w:pPr>
        <w:pStyle w:val="15"/>
        <w:keepNext w:val="0"/>
        <w:keepLines w:val="0"/>
        <w:pageBreakBefore w:val="0"/>
        <w:widowControl/>
        <w:kinsoku/>
        <w:wordWrap/>
        <w:overflowPunct/>
        <w:topLinePunct w:val="0"/>
        <w:autoSpaceDE w:val="0"/>
        <w:autoSpaceDN/>
        <w:bidi w:val="0"/>
        <w:adjustRightInd/>
        <w:snapToGrid/>
        <w:spacing w:beforeAutospacing="0" w:afterAutospacing="0" w:line="560" w:lineRule="exact"/>
        <w:ind w:right="0" w:firstLine="640" w:firstLineChars="200"/>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（二）财政拨款收入支出决算总体情况说明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2023年度财政拨款收、支总计139.82万元。与2022年相比，财政拨款收、支总计各增加23.46万元，增长20.16%。主要原因是</w:t>
      </w:r>
      <w:r>
        <w:rPr>
          <w:rFonts w:hint="eastAsia" w:ascii="Times New Roman" w:hAnsi="Times New Roman" w:eastAsia="方正仿宋_GBK" w:cs="Times New Roman"/>
          <w:b w:val="0"/>
          <w:bCs w:val="0"/>
          <w:sz w:val="32"/>
          <w:szCs w:val="32"/>
          <w:shd w:val="clear" w:color="auto" w:fill="FFFFFF"/>
          <w:lang w:eastAsia="zh-CN"/>
        </w:rPr>
        <w:t>财政拨款项目支出增加</w:t>
      </w:r>
      <w:r>
        <w:rPr>
          <w:rFonts w:hint="eastAsia" w:ascii="Times New Roman" w:hAnsi="Times New Roman" w:eastAsia="方正仿宋_GBK" w:cs="Times New Roman"/>
          <w:b w:val="0"/>
          <w:bCs w:val="0"/>
          <w:sz w:val="32"/>
          <w:szCs w:val="32"/>
          <w:shd w:val="clear" w:color="auto" w:fill="FFFFFF"/>
          <w:lang w:val="en-US" w:eastAsia="zh-CN"/>
        </w:rPr>
        <w:t>7.15万元、本年度增加2名在编人员、</w:t>
      </w:r>
      <w:r>
        <w:rPr>
          <w:rFonts w:hint="default" w:ascii="Times New Roman" w:hAnsi="Times New Roman" w:eastAsia="方正仿宋_GBK" w:cs="Times New Roman"/>
          <w:b w:val="0"/>
          <w:bCs w:val="0"/>
          <w:sz w:val="32"/>
          <w:szCs w:val="32"/>
          <w:shd w:val="clear" w:color="auto" w:fill="FFFFFF"/>
          <w:lang w:eastAsia="zh-CN"/>
        </w:rPr>
        <w:t>在职人员的社保</w:t>
      </w:r>
      <w:r>
        <w:rPr>
          <w:rFonts w:hint="eastAsia" w:ascii="Times New Roman" w:hAnsi="Times New Roman" w:eastAsia="方正仿宋_GBK" w:cs="Times New Roman"/>
          <w:b w:val="0"/>
          <w:bCs w:val="0"/>
          <w:sz w:val="32"/>
          <w:szCs w:val="32"/>
          <w:shd w:val="clear" w:color="auto" w:fill="FFFFFF"/>
          <w:lang w:eastAsia="zh-CN"/>
        </w:rPr>
        <w:t>缴费</w:t>
      </w:r>
      <w:r>
        <w:rPr>
          <w:rFonts w:hint="default" w:ascii="Times New Roman" w:hAnsi="Times New Roman" w:eastAsia="方正仿宋_GBK" w:cs="Times New Roman"/>
          <w:b w:val="0"/>
          <w:bCs w:val="0"/>
          <w:sz w:val="32"/>
          <w:szCs w:val="32"/>
          <w:shd w:val="clear" w:color="auto" w:fill="FFFFFF"/>
          <w:lang w:eastAsia="zh-CN"/>
        </w:rPr>
        <w:t>基数和公积金</w:t>
      </w:r>
      <w:r>
        <w:rPr>
          <w:rFonts w:hint="eastAsia" w:ascii="Times New Roman" w:hAnsi="Times New Roman" w:eastAsia="方正仿宋_GBK" w:cs="Times New Roman"/>
          <w:b w:val="0"/>
          <w:bCs w:val="0"/>
          <w:sz w:val="32"/>
          <w:szCs w:val="32"/>
          <w:shd w:val="clear" w:color="auto" w:fill="FFFFFF"/>
          <w:lang w:eastAsia="zh-CN"/>
        </w:rPr>
        <w:t>缴费</w:t>
      </w:r>
      <w:r>
        <w:rPr>
          <w:rFonts w:hint="default" w:ascii="Times New Roman" w:hAnsi="Times New Roman" w:eastAsia="方正仿宋_GBK" w:cs="Times New Roman"/>
          <w:b w:val="0"/>
          <w:bCs w:val="0"/>
          <w:sz w:val="32"/>
          <w:szCs w:val="32"/>
          <w:shd w:val="clear" w:color="auto" w:fill="FFFFFF"/>
          <w:lang w:eastAsia="zh-CN"/>
        </w:rPr>
        <w:t>基数调增及每年薪级的增加，导致财政拨款收支增加。</w:t>
      </w:r>
    </w:p>
    <w:p>
      <w:pPr>
        <w:pStyle w:val="15"/>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right="0" w:firstLine="640" w:firstLineChars="200"/>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（三）一般公共预算财政拨款收入支出决算情况说明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rPr>
      </w:pPr>
      <w:r>
        <w:rPr>
          <w:rStyle w:val="12"/>
          <w:rFonts w:hint="default" w:ascii="Times New Roman" w:hAnsi="Times New Roman" w:eastAsia="方正仿宋_GBK" w:cs="Times New Roman"/>
          <w:b w:val="0"/>
          <w:bCs w:val="0"/>
          <w:sz w:val="32"/>
          <w:szCs w:val="32"/>
          <w:shd w:val="clear" w:color="auto" w:fill="FFFFFF"/>
        </w:rPr>
        <w:t>1.收入情况。</w:t>
      </w:r>
      <w:r>
        <w:rPr>
          <w:rFonts w:hint="default" w:ascii="Times New Roman" w:hAnsi="Times New Roman" w:eastAsia="方正仿宋_GBK" w:cs="Times New Roman"/>
          <w:b w:val="0"/>
          <w:bCs w:val="0"/>
          <w:sz w:val="32"/>
          <w:szCs w:val="32"/>
          <w:shd w:val="clear" w:color="auto" w:fill="FFFFFF"/>
        </w:rPr>
        <w:t>2023年度一般公共预算财政拨款收入</w:t>
      </w:r>
      <w:r>
        <w:rPr>
          <w:rFonts w:hint="default" w:ascii="Times New Roman" w:hAnsi="Times New Roman" w:eastAsia="方正仿宋_GBK" w:cs="Times New Roman"/>
          <w:b w:val="0"/>
          <w:bCs w:val="0"/>
          <w:sz w:val="32"/>
          <w:szCs w:val="32"/>
        </w:rPr>
        <w:t>139.82</w:t>
      </w:r>
      <w:r>
        <w:rPr>
          <w:rFonts w:hint="default" w:ascii="Times New Roman" w:hAnsi="Times New Roman" w:eastAsia="方正仿宋_GBK" w:cs="Times New Roman"/>
          <w:b w:val="0"/>
          <w:bCs w:val="0"/>
          <w:sz w:val="32"/>
          <w:szCs w:val="32"/>
          <w:shd w:val="clear" w:color="auto" w:fill="FFFFFF"/>
        </w:rPr>
        <w:t>万元，较上年决算数增加23.46万元，增长20.16%。主要原因是</w:t>
      </w:r>
      <w:r>
        <w:rPr>
          <w:rFonts w:hint="eastAsia" w:ascii="Times New Roman" w:hAnsi="Times New Roman" w:eastAsia="方正仿宋_GBK" w:cs="Times New Roman"/>
          <w:b w:val="0"/>
          <w:bCs w:val="0"/>
          <w:sz w:val="32"/>
          <w:szCs w:val="32"/>
          <w:shd w:val="clear" w:color="auto" w:fill="FFFFFF"/>
          <w:lang w:eastAsia="zh-CN"/>
        </w:rPr>
        <w:t>财政拨款项目支出增加</w:t>
      </w:r>
      <w:r>
        <w:rPr>
          <w:rFonts w:hint="eastAsia" w:ascii="Times New Roman" w:hAnsi="Times New Roman" w:eastAsia="方正仿宋_GBK" w:cs="Times New Roman"/>
          <w:b w:val="0"/>
          <w:bCs w:val="0"/>
          <w:sz w:val="32"/>
          <w:szCs w:val="32"/>
          <w:shd w:val="clear" w:color="auto" w:fill="FFFFFF"/>
          <w:lang w:val="en-US" w:eastAsia="zh-CN"/>
        </w:rPr>
        <w:t>7.15万元、本年度增加2名在编人员、</w:t>
      </w:r>
      <w:r>
        <w:rPr>
          <w:rFonts w:hint="default" w:ascii="Times New Roman" w:hAnsi="Times New Roman" w:eastAsia="方正仿宋_GBK" w:cs="Times New Roman"/>
          <w:b w:val="0"/>
          <w:bCs w:val="0"/>
          <w:sz w:val="32"/>
          <w:szCs w:val="32"/>
          <w:shd w:val="clear" w:color="auto" w:fill="FFFFFF"/>
          <w:lang w:eastAsia="zh-CN"/>
        </w:rPr>
        <w:t>在职人员的社保</w:t>
      </w:r>
      <w:r>
        <w:rPr>
          <w:rFonts w:hint="eastAsia" w:ascii="Times New Roman" w:hAnsi="Times New Roman" w:eastAsia="方正仿宋_GBK" w:cs="Times New Roman"/>
          <w:b w:val="0"/>
          <w:bCs w:val="0"/>
          <w:sz w:val="32"/>
          <w:szCs w:val="32"/>
          <w:shd w:val="clear" w:color="auto" w:fill="FFFFFF"/>
          <w:lang w:eastAsia="zh-CN"/>
        </w:rPr>
        <w:t>缴费</w:t>
      </w:r>
      <w:r>
        <w:rPr>
          <w:rFonts w:hint="default" w:ascii="Times New Roman" w:hAnsi="Times New Roman" w:eastAsia="方正仿宋_GBK" w:cs="Times New Roman"/>
          <w:b w:val="0"/>
          <w:bCs w:val="0"/>
          <w:sz w:val="32"/>
          <w:szCs w:val="32"/>
          <w:shd w:val="clear" w:color="auto" w:fill="FFFFFF"/>
          <w:lang w:eastAsia="zh-CN"/>
        </w:rPr>
        <w:t>基数和公积金</w:t>
      </w:r>
      <w:r>
        <w:rPr>
          <w:rFonts w:hint="eastAsia" w:ascii="Times New Roman" w:hAnsi="Times New Roman" w:eastAsia="方正仿宋_GBK" w:cs="Times New Roman"/>
          <w:b w:val="0"/>
          <w:bCs w:val="0"/>
          <w:sz w:val="32"/>
          <w:szCs w:val="32"/>
          <w:shd w:val="clear" w:color="auto" w:fill="FFFFFF"/>
          <w:lang w:eastAsia="zh-CN"/>
        </w:rPr>
        <w:t>缴费</w:t>
      </w:r>
      <w:r>
        <w:rPr>
          <w:rFonts w:hint="default" w:ascii="Times New Roman" w:hAnsi="Times New Roman" w:eastAsia="方正仿宋_GBK" w:cs="Times New Roman"/>
          <w:b w:val="0"/>
          <w:bCs w:val="0"/>
          <w:sz w:val="32"/>
          <w:szCs w:val="32"/>
          <w:shd w:val="clear" w:color="auto" w:fill="FFFFFF"/>
          <w:lang w:eastAsia="zh-CN"/>
        </w:rPr>
        <w:t>基数调增及每年薪级的增加，导致财政拨款收支增加。</w:t>
      </w:r>
      <w:r>
        <w:rPr>
          <w:rFonts w:hint="default" w:ascii="Times New Roman" w:hAnsi="Times New Roman" w:eastAsia="方正仿宋_GBK" w:cs="Times New Roman"/>
          <w:b w:val="0"/>
          <w:bCs w:val="0"/>
          <w:sz w:val="32"/>
          <w:szCs w:val="32"/>
          <w:shd w:val="clear" w:color="auto" w:fill="FFFFFF"/>
        </w:rPr>
        <w:t>较年初预算数增加13.66万元，增长10.83%。主要原因是</w:t>
      </w:r>
      <w:r>
        <w:rPr>
          <w:rFonts w:hint="eastAsia" w:ascii="Times New Roman" w:hAnsi="Times New Roman" w:eastAsia="方正仿宋_GBK" w:cs="Times New Roman"/>
          <w:b w:val="0"/>
          <w:bCs w:val="0"/>
          <w:sz w:val="32"/>
          <w:szCs w:val="32"/>
          <w:shd w:val="clear" w:color="auto" w:fill="FFFFFF"/>
          <w:lang w:val="en-US" w:eastAsia="zh-CN"/>
        </w:rPr>
        <w:t>在</w:t>
      </w:r>
      <w:r>
        <w:rPr>
          <w:rFonts w:hint="default" w:ascii="Times New Roman" w:hAnsi="Times New Roman" w:eastAsia="方正仿宋_GBK" w:cs="Times New Roman"/>
          <w:b w:val="0"/>
          <w:bCs w:val="0"/>
          <w:color w:val="000000" w:themeColor="text1"/>
          <w:sz w:val="32"/>
          <w:szCs w:val="32"/>
          <w:shd w:val="clear" w:color="auto" w:fill="FFFFFF"/>
          <w:lang w:eastAsia="zh-CN"/>
          <w14:textFill>
            <w14:solidFill>
              <w14:schemeClr w14:val="tx1"/>
            </w14:solidFill>
          </w14:textFill>
        </w:rPr>
        <w:t>职人员基本工资未及时更新导致人员经费和人员配套资金与实际拨款有差异。</w:t>
      </w:r>
      <w:r>
        <w:rPr>
          <w:rFonts w:hint="default" w:ascii="Times New Roman" w:hAnsi="Times New Roman" w:eastAsia="方正仿宋_GBK" w:cs="Times New Roman"/>
          <w:b w:val="0"/>
          <w:bCs w:val="0"/>
          <w:sz w:val="32"/>
          <w:szCs w:val="32"/>
          <w:shd w:val="clear" w:color="auto" w:fill="FFFFFF"/>
        </w:rPr>
        <w:t>此外，年初财政拨款结转和结余</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color w:val="FF0000"/>
          <w:sz w:val="32"/>
          <w:szCs w:val="32"/>
          <w:shd w:val="clear" w:color="auto" w:fill="FFFFFF"/>
          <w:lang w:val="en-US" w:eastAsia="zh-CN"/>
        </w:rPr>
      </w:pPr>
      <w:r>
        <w:rPr>
          <w:rStyle w:val="12"/>
          <w:rFonts w:hint="default" w:ascii="Times New Roman" w:hAnsi="Times New Roman" w:eastAsia="方正仿宋_GBK" w:cs="Times New Roman"/>
          <w:b w:val="0"/>
          <w:bCs w:val="0"/>
          <w:sz w:val="32"/>
          <w:szCs w:val="32"/>
          <w:shd w:val="clear" w:color="auto" w:fill="FFFFFF"/>
        </w:rPr>
        <w:t>2.支出情况。</w:t>
      </w:r>
      <w:r>
        <w:rPr>
          <w:rFonts w:hint="default" w:ascii="Times New Roman" w:hAnsi="Times New Roman" w:eastAsia="方正仿宋_GBK" w:cs="Times New Roman"/>
          <w:b w:val="0"/>
          <w:bCs w:val="0"/>
          <w:sz w:val="32"/>
          <w:szCs w:val="32"/>
          <w:shd w:val="clear" w:color="auto" w:fill="FFFFFF"/>
        </w:rPr>
        <w:t>2023年度一般公共预算财政拨款支出</w:t>
      </w:r>
      <w:r>
        <w:rPr>
          <w:rFonts w:hint="default" w:ascii="Times New Roman" w:hAnsi="Times New Roman" w:eastAsia="方正仿宋_GBK" w:cs="Times New Roman"/>
          <w:b w:val="0"/>
          <w:bCs w:val="0"/>
          <w:sz w:val="32"/>
          <w:szCs w:val="32"/>
        </w:rPr>
        <w:t>130.76</w:t>
      </w:r>
      <w:r>
        <w:rPr>
          <w:rFonts w:hint="default" w:ascii="Times New Roman" w:hAnsi="Times New Roman" w:eastAsia="方正仿宋_GBK" w:cs="Times New Roman"/>
          <w:b w:val="0"/>
          <w:bCs w:val="0"/>
          <w:sz w:val="32"/>
          <w:szCs w:val="32"/>
          <w:shd w:val="clear" w:color="auto" w:fill="FFFFFF"/>
        </w:rPr>
        <w:t>万元，较上年决算数增加14.40万元，增长12.38%。主要原因是</w:t>
      </w:r>
      <w:r>
        <w:rPr>
          <w:rFonts w:hint="eastAsia" w:ascii="Times New Roman" w:hAnsi="Times New Roman" w:eastAsia="方正仿宋_GBK" w:cs="Times New Roman"/>
          <w:b w:val="0"/>
          <w:bCs w:val="0"/>
          <w:sz w:val="32"/>
          <w:szCs w:val="32"/>
          <w:shd w:val="clear" w:color="auto" w:fill="FFFFFF"/>
          <w:lang w:eastAsia="zh-CN"/>
        </w:rPr>
        <w:t>财政拨款项目支出增加</w:t>
      </w:r>
      <w:r>
        <w:rPr>
          <w:rFonts w:hint="eastAsia" w:ascii="Times New Roman" w:hAnsi="Times New Roman" w:eastAsia="方正仿宋_GBK" w:cs="Times New Roman"/>
          <w:b w:val="0"/>
          <w:bCs w:val="0"/>
          <w:sz w:val="32"/>
          <w:szCs w:val="32"/>
          <w:shd w:val="clear" w:color="auto" w:fill="FFFFFF"/>
          <w:lang w:val="en-US" w:eastAsia="zh-CN"/>
        </w:rPr>
        <w:t>7.15万元、</w:t>
      </w:r>
      <w:r>
        <w:rPr>
          <w:rFonts w:hint="default" w:ascii="Times New Roman" w:hAnsi="Times New Roman" w:eastAsia="方正仿宋_GBK" w:cs="Times New Roman"/>
          <w:b w:val="0"/>
          <w:bCs w:val="0"/>
          <w:sz w:val="32"/>
          <w:szCs w:val="32"/>
          <w:shd w:val="clear" w:color="auto" w:fill="FFFFFF"/>
          <w:lang w:eastAsia="zh-CN"/>
        </w:rPr>
        <w:t>在职人员的社保基数和公积金基数调增及每年薪级的增加，本年度还有</w:t>
      </w:r>
      <w:r>
        <w:rPr>
          <w:rFonts w:hint="default" w:ascii="Times New Roman" w:hAnsi="Times New Roman" w:eastAsia="方正仿宋_GBK" w:cs="Times New Roman"/>
          <w:b w:val="0"/>
          <w:bCs w:val="0"/>
          <w:sz w:val="32"/>
          <w:szCs w:val="32"/>
          <w:shd w:val="clear" w:color="auto" w:fill="FFFFFF"/>
          <w:lang w:val="en-US" w:eastAsia="zh-CN"/>
        </w:rPr>
        <w:t>2名人员的调入</w:t>
      </w:r>
      <w:r>
        <w:rPr>
          <w:rFonts w:hint="default" w:ascii="Times New Roman" w:hAnsi="Times New Roman" w:eastAsia="方正仿宋_GBK" w:cs="Times New Roman"/>
          <w:b w:val="0"/>
          <w:bCs w:val="0"/>
          <w:sz w:val="32"/>
          <w:szCs w:val="32"/>
          <w:shd w:val="clear" w:color="auto" w:fill="FFFFFF"/>
          <w:lang w:eastAsia="zh-CN"/>
        </w:rPr>
        <w:t>。</w:t>
      </w:r>
      <w:r>
        <w:rPr>
          <w:rFonts w:hint="default" w:ascii="Times New Roman" w:hAnsi="Times New Roman" w:eastAsia="方正仿宋_GBK" w:cs="Times New Roman"/>
          <w:b w:val="0"/>
          <w:bCs w:val="0"/>
          <w:sz w:val="32"/>
          <w:szCs w:val="32"/>
          <w:shd w:val="clear" w:color="auto" w:fill="FFFFFF"/>
        </w:rPr>
        <w:t>较年初预算数增加4.60万元，增长3.65%。主要原因是</w:t>
      </w:r>
      <w:r>
        <w:rPr>
          <w:rFonts w:hint="default" w:ascii="Times New Roman" w:hAnsi="Times New Roman" w:eastAsia="方正仿宋_GBK" w:cs="Times New Roman"/>
          <w:b w:val="0"/>
          <w:bCs w:val="0"/>
          <w:sz w:val="32"/>
          <w:szCs w:val="32"/>
          <w:shd w:val="clear" w:color="auto" w:fill="FFFFFF"/>
          <w:lang w:eastAsia="zh-CN"/>
        </w:rPr>
        <w:t>本年度有</w:t>
      </w:r>
      <w:r>
        <w:rPr>
          <w:rFonts w:hint="default" w:ascii="Times New Roman" w:hAnsi="Times New Roman" w:eastAsia="方正仿宋_GBK" w:cs="Times New Roman"/>
          <w:b w:val="0"/>
          <w:bCs w:val="0"/>
          <w:sz w:val="32"/>
          <w:szCs w:val="32"/>
          <w:shd w:val="clear" w:color="auto" w:fill="FFFFFF"/>
          <w:lang w:val="en-US" w:eastAsia="zh-CN"/>
        </w:rPr>
        <w:t>2名职工的调入，导致年初未有预算，所以较年初预算有增加。</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rPr>
      </w:pPr>
      <w:r>
        <w:rPr>
          <w:rStyle w:val="12"/>
          <w:rFonts w:hint="default" w:ascii="Times New Roman" w:hAnsi="Times New Roman" w:eastAsia="方正仿宋_GBK" w:cs="Times New Roman"/>
          <w:b w:val="0"/>
          <w:bCs w:val="0"/>
          <w:sz w:val="32"/>
          <w:szCs w:val="32"/>
          <w:shd w:val="clear" w:color="auto" w:fill="FFFFFF"/>
        </w:rPr>
        <w:t>3.结转结余情况。</w:t>
      </w:r>
      <w:r>
        <w:rPr>
          <w:rFonts w:hint="default" w:ascii="Times New Roman" w:hAnsi="Times New Roman" w:eastAsia="方正仿宋_GBK" w:cs="Times New Roman"/>
          <w:b w:val="0"/>
          <w:bCs w:val="0"/>
          <w:sz w:val="32"/>
          <w:szCs w:val="32"/>
          <w:shd w:val="clear" w:color="auto" w:fill="FFFFFF"/>
        </w:rPr>
        <w:t>2023年度年末一般公共预算财政拨款结转和结余</w:t>
      </w:r>
      <w:r>
        <w:rPr>
          <w:rFonts w:hint="default" w:ascii="Times New Roman" w:hAnsi="Times New Roman" w:eastAsia="方正仿宋_GBK" w:cs="Times New Roman"/>
          <w:b w:val="0"/>
          <w:bCs w:val="0"/>
          <w:sz w:val="32"/>
          <w:szCs w:val="32"/>
        </w:rPr>
        <w:t>9.06</w:t>
      </w:r>
      <w:r>
        <w:rPr>
          <w:rFonts w:hint="default" w:ascii="Times New Roman" w:hAnsi="Times New Roman" w:eastAsia="方正仿宋_GBK" w:cs="Times New Roman"/>
          <w:b w:val="0"/>
          <w:bCs w:val="0"/>
          <w:sz w:val="32"/>
          <w:szCs w:val="32"/>
          <w:shd w:val="clear" w:color="auto" w:fill="FFFFFF"/>
        </w:rPr>
        <w:t>万元，较上年决算数增加9.06万元，增长100.00%，主要原因是</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2022年绩效清算</w:t>
      </w:r>
      <w:r>
        <w:rPr>
          <w:rFonts w:hint="eastAsia"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财政拨款</w:t>
      </w:r>
      <w:r>
        <w:rPr>
          <w:rFonts w:hint="default" w:ascii="Times New Roman" w:hAnsi="Times New Roman" w:eastAsia="方正仿宋_GBK" w:cs="Times New Roman"/>
          <w:b w:val="0"/>
          <w:bCs w:val="0"/>
          <w:color w:val="000000" w:themeColor="text1"/>
          <w:sz w:val="32"/>
          <w:szCs w:val="32"/>
          <w:shd w:val="clear" w:color="auto" w:fill="FFFFFF"/>
          <w:lang w:val="en-US" w:eastAsia="zh-CN"/>
          <w14:textFill>
            <w14:solidFill>
              <w14:schemeClr w14:val="tx1"/>
            </w14:solidFill>
          </w14:textFill>
        </w:rPr>
        <w:t>在2023年年底到账，未及时支付导致结余增加。</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shd w:val="clear" w:color="auto" w:fill="FFFFFF"/>
        </w:rPr>
      </w:pPr>
      <w:r>
        <w:rPr>
          <w:rStyle w:val="12"/>
          <w:rFonts w:hint="default" w:ascii="Times New Roman" w:hAnsi="Times New Roman" w:eastAsia="方正仿宋_GBK" w:cs="Times New Roman"/>
          <w:b w:val="0"/>
          <w:bCs w:val="0"/>
          <w:sz w:val="32"/>
          <w:szCs w:val="32"/>
          <w:shd w:val="clear" w:color="auto" w:fill="FFFFFF"/>
        </w:rPr>
        <w:t xml:space="preserve"> 4.比较情况。</w:t>
      </w:r>
      <w:r>
        <w:rPr>
          <w:rFonts w:hint="default" w:ascii="Times New Roman" w:hAnsi="Times New Roman" w:eastAsia="方正仿宋_GBK" w:cs="Times New Roman"/>
          <w:b w:val="0"/>
          <w:bCs w:val="0"/>
          <w:sz w:val="32"/>
          <w:szCs w:val="32"/>
          <w:shd w:val="clear" w:color="auto" w:fill="FFFFFF"/>
        </w:rPr>
        <w:t>本单位2023年度一般公共预算财政拨款支出主要用于以下几个方面：</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shd w:val="clear" w:color="auto" w:fill="FFFFFF"/>
          <w:lang w:eastAsia="zh-CN"/>
        </w:rPr>
      </w:pP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lang w:val="en-US" w:eastAsia="zh-CN"/>
        </w:rPr>
        <w:t>1</w:t>
      </w:r>
      <w:r>
        <w:rPr>
          <w:rFonts w:hint="default" w:ascii="Times New Roman" w:hAnsi="Times New Roman" w:eastAsia="方正仿宋_GBK" w:cs="Times New Roman"/>
          <w:b w:val="0"/>
          <w:bCs w:val="0"/>
          <w:sz w:val="32"/>
          <w:szCs w:val="32"/>
          <w:shd w:val="clear" w:color="auto" w:fill="FFFFFF"/>
        </w:rPr>
        <w:t>）社会保障与就业支出</w:t>
      </w:r>
      <w:r>
        <w:rPr>
          <w:rFonts w:hint="default" w:ascii="Times New Roman" w:hAnsi="Times New Roman" w:eastAsia="方正仿宋_GBK" w:cs="Times New Roman"/>
          <w:b w:val="0"/>
          <w:bCs w:val="0"/>
          <w:sz w:val="32"/>
          <w:szCs w:val="32"/>
        </w:rPr>
        <w:t>19.07</w:t>
      </w:r>
      <w:r>
        <w:rPr>
          <w:rFonts w:hint="default" w:ascii="Times New Roman" w:hAnsi="Times New Roman" w:eastAsia="方正仿宋_GBK" w:cs="Times New Roman"/>
          <w:b w:val="0"/>
          <w:bCs w:val="0"/>
          <w:sz w:val="32"/>
          <w:szCs w:val="32"/>
          <w:shd w:val="clear" w:color="auto" w:fill="FFFFFF"/>
        </w:rPr>
        <w:t>万元，占</w:t>
      </w:r>
      <w:r>
        <w:rPr>
          <w:rFonts w:hint="default" w:ascii="Times New Roman" w:hAnsi="Times New Roman" w:eastAsia="方正仿宋_GBK" w:cs="Times New Roman"/>
          <w:b w:val="0"/>
          <w:bCs w:val="0"/>
          <w:sz w:val="32"/>
          <w:szCs w:val="32"/>
        </w:rPr>
        <w:t>14.58</w:t>
      </w:r>
      <w:r>
        <w:rPr>
          <w:rFonts w:hint="default" w:ascii="Times New Roman" w:hAnsi="Times New Roman" w:eastAsia="方正仿宋_GBK" w:cs="Times New Roman"/>
          <w:b w:val="0"/>
          <w:bCs w:val="0"/>
          <w:sz w:val="32"/>
          <w:szCs w:val="32"/>
          <w:shd w:val="clear" w:color="auto" w:fill="FFFFFF"/>
        </w:rPr>
        <w:t>%，较年初预算数减少5.69万元，下降22.98%，主要原因是</w:t>
      </w:r>
      <w:r>
        <w:rPr>
          <w:rFonts w:hint="default" w:ascii="Times New Roman" w:hAnsi="Times New Roman" w:eastAsia="方正仿宋_GBK" w:cs="Times New Roman"/>
          <w:b w:val="0"/>
          <w:bCs w:val="0"/>
          <w:sz w:val="32"/>
          <w:szCs w:val="32"/>
          <w:shd w:val="clear" w:color="auto" w:fill="FFFFFF"/>
          <w:lang w:eastAsia="zh-CN"/>
        </w:rPr>
        <w:t>年初预算时与实际缴费的基数不一致，年初预算把超额绩效核算在缴费的基数里面，而实际缴费基数不含超额绩效部分。</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lang w:val="en-US" w:eastAsia="zh-CN"/>
        </w:rPr>
        <w:t>2</w:t>
      </w:r>
      <w:r>
        <w:rPr>
          <w:rFonts w:hint="default" w:ascii="Times New Roman" w:hAnsi="Times New Roman" w:eastAsia="方正仿宋_GBK" w:cs="Times New Roman"/>
          <w:b w:val="0"/>
          <w:bCs w:val="0"/>
          <w:sz w:val="32"/>
          <w:szCs w:val="32"/>
          <w:shd w:val="clear" w:color="auto" w:fill="FFFFFF"/>
        </w:rPr>
        <w:t>）卫生健康支出</w:t>
      </w:r>
      <w:r>
        <w:rPr>
          <w:rFonts w:hint="default" w:ascii="Times New Roman" w:hAnsi="Times New Roman" w:eastAsia="方正仿宋_GBK" w:cs="Times New Roman"/>
          <w:b w:val="0"/>
          <w:bCs w:val="0"/>
          <w:sz w:val="32"/>
          <w:szCs w:val="32"/>
        </w:rPr>
        <w:t>104.94</w:t>
      </w:r>
      <w:r>
        <w:rPr>
          <w:rFonts w:hint="default" w:ascii="Times New Roman" w:hAnsi="Times New Roman" w:eastAsia="方正仿宋_GBK" w:cs="Times New Roman"/>
          <w:b w:val="0"/>
          <w:bCs w:val="0"/>
          <w:sz w:val="32"/>
          <w:szCs w:val="32"/>
          <w:shd w:val="clear" w:color="auto" w:fill="FFFFFF"/>
        </w:rPr>
        <w:t>万元，占</w:t>
      </w:r>
      <w:r>
        <w:rPr>
          <w:rFonts w:hint="default" w:ascii="Times New Roman" w:hAnsi="Times New Roman" w:eastAsia="方正仿宋_GBK" w:cs="Times New Roman"/>
          <w:b w:val="0"/>
          <w:bCs w:val="0"/>
          <w:sz w:val="32"/>
          <w:szCs w:val="32"/>
        </w:rPr>
        <w:t>80.26</w:t>
      </w:r>
      <w:r>
        <w:rPr>
          <w:rFonts w:hint="default" w:ascii="Times New Roman" w:hAnsi="Times New Roman" w:eastAsia="方正仿宋_GBK" w:cs="Times New Roman"/>
          <w:b w:val="0"/>
          <w:bCs w:val="0"/>
          <w:sz w:val="32"/>
          <w:szCs w:val="32"/>
          <w:shd w:val="clear" w:color="auto" w:fill="FFFFFF"/>
        </w:rPr>
        <w:t>%，较年初预算数增加12.83万元，增长13.93%，主要原因是</w:t>
      </w:r>
      <w:r>
        <w:rPr>
          <w:rFonts w:hint="default" w:ascii="Times New Roman" w:hAnsi="Times New Roman" w:eastAsia="方正仿宋_GBK" w:cs="Times New Roman"/>
          <w:b w:val="0"/>
          <w:bCs w:val="0"/>
          <w:color w:val="000000" w:themeColor="text1"/>
          <w:sz w:val="32"/>
          <w:szCs w:val="32"/>
          <w:shd w:val="clear" w:color="auto" w:fill="FFFFFF"/>
          <w:lang w:eastAsia="zh-CN"/>
          <w14:textFill>
            <w14:solidFill>
              <w14:schemeClr w14:val="tx1"/>
            </w14:solidFill>
          </w14:textFill>
        </w:rPr>
        <w:t>事业收入增加，导致相应的成本支出增加和在编人员的薪级调整及岗位变动导致基本工资的支出增加等。</w:t>
      </w:r>
    </w:p>
    <w:p>
      <w:pPr>
        <w:keepNext w:val="0"/>
        <w:keepLines w:val="0"/>
        <w:pageBreakBefore w:val="0"/>
        <w:widowControl/>
        <w:kinsoku/>
        <w:wordWrap/>
        <w:overflowPunct/>
        <w:topLinePunct w:val="0"/>
        <w:autoSpaceDE/>
        <w:autoSpaceDN/>
        <w:bidi w:val="0"/>
        <w:adjustRightInd/>
        <w:spacing w:beforeAutospacing="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shd w:val="clear" w:color="auto" w:fill="FFFFFF"/>
          <w:lang w:eastAsia="zh-CN"/>
        </w:rPr>
      </w:pP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lang w:val="en-US" w:eastAsia="zh-CN"/>
        </w:rPr>
        <w:t>3</w:t>
      </w:r>
      <w:r>
        <w:rPr>
          <w:rFonts w:hint="default" w:ascii="Times New Roman" w:hAnsi="Times New Roman" w:eastAsia="方正仿宋_GBK" w:cs="Times New Roman"/>
          <w:b w:val="0"/>
          <w:bCs w:val="0"/>
          <w:sz w:val="32"/>
          <w:szCs w:val="32"/>
          <w:shd w:val="clear" w:color="auto" w:fill="FFFFFF"/>
        </w:rPr>
        <w:t>）</w:t>
      </w:r>
      <w:r>
        <w:rPr>
          <w:rFonts w:hint="default" w:ascii="Times New Roman" w:hAnsi="Times New Roman" w:eastAsia="方正仿宋_GBK" w:cs="Times New Roman"/>
          <w:b w:val="0"/>
          <w:bCs w:val="0"/>
          <w:sz w:val="32"/>
          <w:szCs w:val="32"/>
        </w:rPr>
        <w:t>住房保障支出6.74</w:t>
      </w:r>
      <w:r>
        <w:rPr>
          <w:rFonts w:hint="default" w:ascii="Times New Roman" w:hAnsi="Times New Roman" w:eastAsia="方正仿宋_GBK" w:cs="Times New Roman"/>
          <w:b w:val="0"/>
          <w:bCs w:val="0"/>
          <w:sz w:val="32"/>
          <w:szCs w:val="32"/>
          <w:shd w:val="clear" w:color="auto" w:fill="FFFFFF"/>
        </w:rPr>
        <w:t>万元，占</w:t>
      </w:r>
      <w:r>
        <w:rPr>
          <w:rFonts w:hint="default" w:ascii="Times New Roman" w:hAnsi="Times New Roman" w:eastAsia="方正仿宋_GBK" w:cs="Times New Roman"/>
          <w:b w:val="0"/>
          <w:bCs w:val="0"/>
          <w:sz w:val="32"/>
          <w:szCs w:val="32"/>
        </w:rPr>
        <w:t>5.16</w:t>
      </w:r>
      <w:r>
        <w:rPr>
          <w:rFonts w:hint="default" w:ascii="Times New Roman" w:hAnsi="Times New Roman" w:eastAsia="方正仿宋_GBK" w:cs="Times New Roman"/>
          <w:b w:val="0"/>
          <w:bCs w:val="0"/>
          <w:sz w:val="32"/>
          <w:szCs w:val="32"/>
          <w:shd w:val="clear" w:color="auto" w:fill="FFFFFF"/>
        </w:rPr>
        <w:t>%，较年初预算数减少2.55万元，下降27.45%，主要原因是</w:t>
      </w:r>
      <w:r>
        <w:rPr>
          <w:rFonts w:hint="default" w:ascii="Times New Roman" w:hAnsi="Times New Roman" w:eastAsia="方正仿宋_GBK" w:cs="Times New Roman"/>
          <w:b w:val="0"/>
          <w:bCs w:val="0"/>
          <w:sz w:val="32"/>
          <w:szCs w:val="32"/>
          <w:shd w:val="clear" w:color="auto" w:fill="FFFFFF"/>
          <w:lang w:eastAsia="zh-CN"/>
        </w:rPr>
        <w:t>年初预算时与实际缴费的基数不一致，年初预算把超额绩效核算在缴费的基数里面，而实际缴费基数不含超额绩效部分。</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right="0" w:firstLine="640" w:firstLineChars="200"/>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（四）一般公共预算财政拨款基本支出决算情况说明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 2023年度一般公共财政拨款基本支出</w:t>
      </w:r>
      <w:r>
        <w:rPr>
          <w:rFonts w:hint="default" w:ascii="Times New Roman" w:hAnsi="Times New Roman" w:eastAsia="方正仿宋_GBK" w:cs="Times New Roman"/>
          <w:b w:val="0"/>
          <w:bCs w:val="0"/>
          <w:sz w:val="32"/>
          <w:szCs w:val="32"/>
        </w:rPr>
        <w:t>130.76</w:t>
      </w:r>
      <w:r>
        <w:rPr>
          <w:rFonts w:hint="default" w:ascii="Times New Roman" w:hAnsi="Times New Roman" w:eastAsia="方正仿宋_GBK" w:cs="Times New Roman"/>
          <w:b w:val="0"/>
          <w:bCs w:val="0"/>
          <w:sz w:val="32"/>
          <w:szCs w:val="32"/>
          <w:shd w:val="clear" w:color="auto" w:fill="FFFFFF"/>
        </w:rPr>
        <w:t>万元。其中：人员经费</w:t>
      </w:r>
      <w:r>
        <w:rPr>
          <w:rFonts w:hint="default" w:ascii="Times New Roman" w:hAnsi="Times New Roman" w:eastAsia="方正仿宋_GBK" w:cs="Times New Roman"/>
          <w:b w:val="0"/>
          <w:bCs w:val="0"/>
          <w:sz w:val="32"/>
          <w:szCs w:val="32"/>
        </w:rPr>
        <w:t>130.76</w:t>
      </w:r>
      <w:r>
        <w:rPr>
          <w:rFonts w:hint="default" w:ascii="Times New Roman" w:hAnsi="Times New Roman" w:eastAsia="方正仿宋_GBK" w:cs="Times New Roman"/>
          <w:b w:val="0"/>
          <w:bCs w:val="0"/>
          <w:sz w:val="32"/>
          <w:szCs w:val="32"/>
          <w:shd w:val="clear" w:color="auto" w:fill="FFFFFF"/>
        </w:rPr>
        <w:t>万元，较上年决算数增加28.24万元，增长27.55%，主要原因是</w:t>
      </w:r>
      <w:r>
        <w:rPr>
          <w:rFonts w:hint="default" w:ascii="Times New Roman" w:hAnsi="Times New Roman" w:eastAsia="方正仿宋_GBK" w:cs="Times New Roman"/>
          <w:b w:val="0"/>
          <w:bCs w:val="0"/>
          <w:color w:val="000000" w:themeColor="text1"/>
          <w:sz w:val="32"/>
          <w:szCs w:val="32"/>
          <w:shd w:val="clear" w:color="auto" w:fill="FFFFFF"/>
          <w:lang w:eastAsia="zh-CN"/>
          <w14:textFill>
            <w14:solidFill>
              <w14:schemeClr w14:val="tx1"/>
            </w14:solidFill>
          </w14:textFill>
        </w:rPr>
        <w:t>在编人员的薪级调整及岗位变动导致基本工资的支出增加和社保、公积金缴费基数的调增导致缴费增加。</w:t>
      </w:r>
      <w:r>
        <w:rPr>
          <w:rFonts w:hint="default" w:ascii="Times New Roman" w:hAnsi="Times New Roman" w:eastAsia="方正仿宋_GBK" w:cs="Times New Roman"/>
          <w:b w:val="0"/>
          <w:bCs w:val="0"/>
          <w:sz w:val="32"/>
          <w:szCs w:val="32"/>
          <w:shd w:val="clear" w:color="auto" w:fill="FFFFFF"/>
        </w:rPr>
        <w:t>人员经费用途主要包括</w:t>
      </w:r>
      <w:r>
        <w:rPr>
          <w:rFonts w:hint="default" w:ascii="Times New Roman" w:hAnsi="Times New Roman" w:eastAsia="方正仿宋_GBK" w:cs="Times New Roman"/>
          <w:b w:val="0"/>
          <w:bCs w:val="0"/>
          <w:sz w:val="32"/>
          <w:szCs w:val="32"/>
          <w:shd w:val="clear" w:color="auto" w:fill="FFFFFF"/>
          <w:lang w:eastAsia="zh-CN"/>
        </w:rPr>
        <w:t>基本工资、绩效工资和社保、公积金的缴纳等</w:t>
      </w:r>
      <w:r>
        <w:rPr>
          <w:rFonts w:hint="default" w:ascii="Times New Roman" w:hAnsi="Times New Roman" w:eastAsia="方正仿宋_GBK" w:cs="Times New Roman"/>
          <w:b w:val="0"/>
          <w:bCs w:val="0"/>
          <w:sz w:val="32"/>
          <w:szCs w:val="32"/>
          <w:shd w:val="clear" w:color="auto" w:fill="FFFFFF"/>
        </w:rPr>
        <w:t>。公用经费</w:t>
      </w:r>
      <w:r>
        <w:rPr>
          <w:rFonts w:hint="default" w:ascii="Times New Roman" w:hAnsi="Times New Roman" w:eastAsia="方正仿宋_GBK" w:cs="Times New Roman"/>
          <w:b w:val="0"/>
          <w:bCs w:val="0"/>
          <w:sz w:val="32"/>
          <w:szCs w:val="32"/>
        </w:rPr>
        <w:t>0.00</w:t>
      </w:r>
      <w:r>
        <w:rPr>
          <w:rFonts w:hint="default" w:ascii="Times New Roman" w:hAnsi="Times New Roman" w:eastAsia="方正仿宋_GBK" w:cs="Times New Roman"/>
          <w:b w:val="0"/>
          <w:bCs w:val="0"/>
          <w:sz w:val="32"/>
          <w:szCs w:val="32"/>
          <w:shd w:val="clear" w:color="auto" w:fill="FFFFFF"/>
        </w:rPr>
        <w:t>万元，较上年决算数减少13.84万元，下降100.00%，主要原因是主要原因是</w:t>
      </w:r>
      <w:r>
        <w:rPr>
          <w:rFonts w:hint="default" w:ascii="Times New Roman" w:hAnsi="Times New Roman" w:eastAsia="方正仿宋_GBK" w:cs="Times New Roman"/>
          <w:b w:val="0"/>
          <w:bCs w:val="0"/>
          <w:sz w:val="32"/>
          <w:szCs w:val="32"/>
          <w:shd w:val="clear" w:color="auto" w:fill="FFFFFF"/>
          <w:lang w:eastAsia="zh-CN"/>
        </w:rPr>
        <w:t>上年度有财政拨款项目支出，本年度未有财政拨款项目支出，导致公用经费为</w:t>
      </w:r>
      <w:r>
        <w:rPr>
          <w:rFonts w:hint="default" w:ascii="Times New Roman" w:hAnsi="Times New Roman" w:eastAsia="方正仿宋_GBK" w:cs="Times New Roman"/>
          <w:b w:val="0"/>
          <w:bCs w:val="0"/>
          <w:sz w:val="32"/>
          <w:szCs w:val="32"/>
          <w:shd w:val="clear" w:color="auto" w:fill="FFFFFF"/>
          <w:lang w:val="en-US" w:eastAsia="zh-CN"/>
        </w:rPr>
        <w:t>0元</w:t>
      </w:r>
      <w:r>
        <w:rPr>
          <w:rFonts w:hint="default" w:ascii="Times New Roman" w:hAnsi="Times New Roman" w:eastAsia="方正仿宋_GBK" w:cs="Times New Roman"/>
          <w:b w:val="0"/>
          <w:bCs w:val="0"/>
          <w:sz w:val="32"/>
          <w:szCs w:val="32"/>
          <w:shd w:val="clear" w:color="auto" w:fill="FFFFFF"/>
        </w:rPr>
        <w:t>。公用经费用途主要包括</w:t>
      </w:r>
      <w:r>
        <w:rPr>
          <w:rFonts w:hint="default" w:ascii="Times New Roman" w:hAnsi="Times New Roman" w:eastAsia="方正仿宋_GBK" w:cs="Times New Roman"/>
          <w:b w:val="0"/>
          <w:bCs w:val="0"/>
          <w:sz w:val="32"/>
          <w:szCs w:val="32"/>
          <w:shd w:val="clear" w:color="auto" w:fill="FFFFFF"/>
          <w:lang w:eastAsia="zh-CN"/>
        </w:rPr>
        <w:t>设备的采购等。</w:t>
      </w:r>
    </w:p>
    <w:p>
      <w:pPr>
        <w:pStyle w:val="15"/>
        <w:keepNext w:val="0"/>
        <w:keepLines w:val="0"/>
        <w:pageBreakBefore w:val="0"/>
        <w:widowControl/>
        <w:kinsoku/>
        <w:wordWrap/>
        <w:overflowPunct/>
        <w:topLinePunct w:val="0"/>
        <w:autoSpaceDE w:val="0"/>
        <w:autoSpaceDN/>
        <w:bidi w:val="0"/>
        <w:adjustRightInd/>
        <w:snapToGrid/>
        <w:spacing w:beforeAutospacing="0" w:afterAutospacing="0" w:line="560" w:lineRule="exact"/>
        <w:ind w:right="0" w:firstLine="640" w:firstLineChars="200"/>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（五）政府性基金预算收支决算情况说明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lang w:eastAsia="zh-CN"/>
        </w:rPr>
        <w:t>本单位2023年度无政府性基金预算财政拨款收支。</w:t>
      </w:r>
    </w:p>
    <w:p>
      <w:pPr>
        <w:pStyle w:val="15"/>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right="0" w:firstLine="640" w:firstLineChars="200"/>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（六）国有资本经营预算财政拨款支出决算情况说明</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outlineLvl w:val="9"/>
        <w:rPr>
          <w:rFonts w:hint="default" w:ascii="Times New Roman" w:hAnsi="Times New Roman" w:eastAsia="方正仿宋_GBK" w:cs="Times New Roman"/>
          <w:b w:val="0"/>
          <w:bCs w:val="0"/>
          <w:sz w:val="32"/>
          <w:szCs w:val="32"/>
          <w:shd w:val="clear" w:color="auto" w:fill="FFFFFF"/>
          <w:lang w:eastAsia="zh-CN"/>
        </w:rPr>
      </w:pPr>
      <w:r>
        <w:rPr>
          <w:rFonts w:hint="default" w:ascii="Times New Roman" w:hAnsi="Times New Roman" w:eastAsia="方正仿宋_GBK" w:cs="Times New Roman"/>
          <w:b w:val="0"/>
          <w:bCs w:val="0"/>
          <w:sz w:val="32"/>
          <w:szCs w:val="32"/>
          <w:shd w:val="clear" w:color="auto" w:fill="FFFFFF"/>
          <w:lang w:eastAsia="zh-CN"/>
        </w:rPr>
        <w:t>本单位2023年度无国有资本经营预算财政拨款支出。</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outlineLvl w:val="9"/>
        <w:rPr>
          <w:rStyle w:val="12"/>
          <w:rFonts w:hint="eastAsia" w:ascii="方正黑体_GBK" w:hAnsi="方正黑体_GBK" w:eastAsia="方正黑体_GBK" w:cs="方正黑体_GBK"/>
          <w:b w:val="0"/>
          <w:bCs w:val="0"/>
          <w:sz w:val="32"/>
          <w:szCs w:val="32"/>
          <w:shd w:val="clear" w:color="auto" w:fill="FFFFFF"/>
        </w:rPr>
      </w:pPr>
      <w:r>
        <w:rPr>
          <w:rStyle w:val="12"/>
          <w:rFonts w:hint="eastAsia" w:ascii="方正黑体_GBK" w:hAnsi="方正黑体_GBK" w:eastAsia="方正黑体_GBK" w:cs="方正黑体_GBK"/>
          <w:b w:val="0"/>
          <w:bCs w:val="0"/>
          <w:sz w:val="32"/>
          <w:szCs w:val="32"/>
          <w:shd w:val="clear" w:color="auto" w:fill="FFFFFF"/>
        </w:rPr>
        <w:t>三、“三公”经费情况说明</w:t>
      </w: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（一）“三公”经费支出总体情况说明</w:t>
      </w:r>
    </w:p>
    <w:p>
      <w:pPr>
        <w:pStyle w:val="10"/>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left"/>
        <w:textAlignment w:val="auto"/>
        <w:outlineLvl w:val="9"/>
        <w:rPr>
          <w:rFonts w:hint="default" w:ascii="Times New Roman" w:hAnsi="Times New Roman" w:eastAsia="方正仿宋_GBK" w:cs="Times New Roman"/>
          <w:b w:val="0"/>
          <w:bCs w:val="0"/>
          <w:kern w:val="0"/>
          <w:sz w:val="32"/>
          <w:szCs w:val="32"/>
          <w:lang w:val="en-US" w:eastAsia="zh-CN" w:bidi="ar"/>
        </w:rPr>
      </w:pPr>
      <w:r>
        <w:rPr>
          <w:rFonts w:hint="eastAsia" w:ascii="Times New Roman" w:hAnsi="Times New Roman" w:eastAsia="方正仿宋_GBK" w:cs="Times New Roman"/>
          <w:b w:val="0"/>
          <w:bCs w:val="0"/>
          <w:kern w:val="0"/>
          <w:sz w:val="32"/>
          <w:szCs w:val="32"/>
          <w:lang w:val="en-US" w:eastAsia="zh-CN" w:bidi="ar"/>
        </w:rPr>
        <w:t>本单位</w:t>
      </w:r>
      <w:r>
        <w:rPr>
          <w:rFonts w:hint="default" w:ascii="Times New Roman" w:hAnsi="Times New Roman" w:eastAsia="方正仿宋_GBK" w:cs="Times New Roman"/>
          <w:b w:val="0"/>
          <w:bCs w:val="0"/>
          <w:kern w:val="0"/>
          <w:sz w:val="32"/>
          <w:szCs w:val="32"/>
          <w:lang w:val="en-US" w:eastAsia="zh-CN" w:bidi="ar"/>
        </w:rPr>
        <w:t>属于差额拨款单位，财政未保障</w:t>
      </w:r>
      <w:r>
        <w:rPr>
          <w:rFonts w:hint="eastAsia" w:ascii="Times New Roman" w:hAnsi="Times New Roman" w:eastAsia="方正仿宋_GBK" w:cs="Times New Roman"/>
          <w:b w:val="0"/>
          <w:bCs w:val="0"/>
          <w:kern w:val="0"/>
          <w:sz w:val="32"/>
          <w:szCs w:val="32"/>
          <w:lang w:val="en-US" w:eastAsia="zh-CN" w:bidi="ar"/>
        </w:rPr>
        <w:t>本单位</w:t>
      </w:r>
      <w:r>
        <w:rPr>
          <w:rFonts w:hint="default" w:ascii="Times New Roman" w:hAnsi="Times New Roman" w:eastAsia="方正仿宋_GBK" w:cs="Times New Roman"/>
          <w:b w:val="0"/>
          <w:bCs w:val="0"/>
          <w:kern w:val="0"/>
          <w:sz w:val="32"/>
          <w:szCs w:val="32"/>
          <w:lang w:val="en-US" w:eastAsia="zh-CN" w:bidi="ar"/>
        </w:rPr>
        <w:t>“三公”经费。</w:t>
      </w: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（二）“三公”经费分项支出情况</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5"/>
        <w:keepNext w:val="0"/>
        <w:keepLines w:val="0"/>
        <w:pageBreakBefore w:val="0"/>
        <w:kinsoku/>
        <w:wordWrap/>
        <w:overflowPunct/>
        <w:topLinePunct w:val="0"/>
        <w:autoSpaceDE/>
        <w:autoSpaceDN/>
        <w:bidi w:val="0"/>
        <w:adjustRightInd/>
        <w:spacing w:line="560" w:lineRule="exact"/>
        <w:ind w:left="0" w:firstLine="640" w:firstLineChars="200"/>
        <w:jc w:val="both"/>
        <w:textAlignment w:val="auto"/>
        <w:rPr>
          <w:rFonts w:hint="eastAsia" w:ascii="方正仿宋_GBK" w:hAnsi="方正仿宋_GBK" w:eastAsia="方正仿宋_GBK" w:cs="方正仿宋_GBK"/>
          <w:i w:val="0"/>
          <w:color w:val="auto"/>
          <w:kern w:val="0"/>
          <w:sz w:val="24"/>
          <w:szCs w:val="24"/>
          <w:highlight w:val="none"/>
          <w:u w:val="none"/>
          <w:lang w:val="en-US" w:eastAsia="zh-CN" w:bidi="ar"/>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（三）“三公”经费实物量情况</w:t>
      </w:r>
    </w:p>
    <w:p>
      <w:pPr>
        <w:pStyle w:val="10"/>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2023年度本单位因公出国（境）共计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个团组，</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人；公务用车购置</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辆，公务车保有量为</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辆；国内公务接待</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批次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人，其中：国内外事接待</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批次，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人；国（境）外公务接待</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批次，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人。2023年本单位人均接待费</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元，车均购置费</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万元，车均维护费</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万元。</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right="0" w:firstLine="640" w:firstLineChars="200"/>
        <w:textAlignment w:val="auto"/>
        <w:outlineLvl w:val="9"/>
        <w:rPr>
          <w:rStyle w:val="12"/>
          <w:rFonts w:hint="eastAsia" w:ascii="方正黑体_GBK" w:hAnsi="方正黑体_GBK" w:eastAsia="方正黑体_GBK" w:cs="方正黑体_GBK"/>
          <w:b w:val="0"/>
          <w:bCs w:val="0"/>
          <w:sz w:val="32"/>
          <w:szCs w:val="32"/>
          <w:shd w:val="clear" w:color="auto" w:fill="FFFFFF"/>
        </w:rPr>
      </w:pPr>
      <w:r>
        <w:rPr>
          <w:rStyle w:val="12"/>
          <w:rFonts w:hint="eastAsia" w:ascii="方正黑体_GBK" w:hAnsi="方正黑体_GBK" w:eastAsia="方正黑体_GBK" w:cs="方正黑体_GBK"/>
          <w:b w:val="0"/>
          <w:bCs w:val="0"/>
          <w:sz w:val="32"/>
          <w:szCs w:val="32"/>
          <w:shd w:val="clear" w:color="auto" w:fill="FFFFFF"/>
        </w:rPr>
        <w:t>四、其他需要说明的事项</w:t>
      </w:r>
    </w:p>
    <w:p>
      <w:pPr>
        <w:pStyle w:val="15"/>
        <w:keepNext w:val="0"/>
        <w:keepLines w:val="0"/>
        <w:pageBreakBefore w:val="0"/>
        <w:widowControl/>
        <w:kinsoku/>
        <w:wordWrap/>
        <w:overflowPunct/>
        <w:topLinePunct w:val="0"/>
        <w:autoSpaceDE w:val="0"/>
        <w:autoSpaceDN/>
        <w:bidi w:val="0"/>
        <w:adjustRightInd/>
        <w:snapToGrid/>
        <w:spacing w:beforeAutospacing="0" w:afterAutospacing="0" w:line="560" w:lineRule="exact"/>
        <w:ind w:left="0" w:leftChars="0" w:right="0" w:firstLine="640" w:firstLineChars="200"/>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（一）财政拨款会议费和培训费情况说明</w:t>
      </w:r>
    </w:p>
    <w:p>
      <w:pPr>
        <w:pStyle w:val="16"/>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rPr>
        <w:t>因</w:t>
      </w:r>
      <w:r>
        <w:rPr>
          <w:rFonts w:hint="eastAsia" w:ascii="Times New Roman" w:hAnsi="Times New Roman" w:eastAsia="方正仿宋_GBK" w:cs="Times New Roman"/>
          <w:b w:val="0"/>
          <w:bCs w:val="0"/>
          <w:sz w:val="32"/>
          <w:szCs w:val="32"/>
          <w:lang w:val="en-US" w:eastAsia="zh-CN"/>
        </w:rPr>
        <w:t>本单位</w:t>
      </w:r>
      <w:r>
        <w:rPr>
          <w:rFonts w:hint="default" w:ascii="Times New Roman" w:hAnsi="Times New Roman" w:eastAsia="方正仿宋_GBK" w:cs="Times New Roman"/>
          <w:b w:val="0"/>
          <w:bCs w:val="0"/>
          <w:sz w:val="32"/>
          <w:szCs w:val="32"/>
        </w:rPr>
        <w:t>为差额拨款单位，财政未保障</w:t>
      </w:r>
      <w:r>
        <w:rPr>
          <w:rFonts w:hint="eastAsia" w:ascii="Times New Roman" w:hAnsi="Times New Roman" w:eastAsia="方正仿宋_GBK" w:cs="Times New Roman"/>
          <w:b w:val="0"/>
          <w:bCs w:val="0"/>
          <w:sz w:val="32"/>
          <w:szCs w:val="32"/>
          <w:lang w:val="en-US" w:eastAsia="zh-CN"/>
        </w:rPr>
        <w:t>本单位</w:t>
      </w:r>
      <w:r>
        <w:rPr>
          <w:rFonts w:hint="default" w:ascii="Times New Roman" w:hAnsi="Times New Roman" w:eastAsia="方正仿宋_GBK" w:cs="Times New Roman"/>
          <w:b w:val="0"/>
          <w:bCs w:val="0"/>
          <w:sz w:val="32"/>
          <w:szCs w:val="32"/>
        </w:rPr>
        <w:t>会议费和培训费。</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left="0" w:leftChars="0" w:right="0" w:firstLine="640" w:firstLineChars="200"/>
        <w:textAlignment w:val="auto"/>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（二）机关运行经费情况说明</w:t>
      </w:r>
    </w:p>
    <w:p>
      <w:pPr>
        <w:pStyle w:val="10"/>
        <w:keepNext w:val="0"/>
        <w:keepLines w:val="0"/>
        <w:pageBreakBefore w:val="0"/>
        <w:shd w:val="clear" w:color="auto" w:fill="FFFFFF"/>
        <w:kinsoku/>
        <w:wordWrap/>
        <w:overflowPunct/>
        <w:topLinePunct w:val="0"/>
        <w:autoSpaceDE/>
        <w:autoSpaceDN/>
        <w:bidi w:val="0"/>
        <w:adjustRightInd/>
        <w:spacing w:before="0" w:beforeAutospacing="0" w:after="0" w:afterAutospacing="0" w:line="560" w:lineRule="exact"/>
        <w:ind w:left="0" w:leftChars="0"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按照部门决算列报口径，因</w:t>
      </w:r>
      <w:r>
        <w:rPr>
          <w:rFonts w:hint="eastAsia" w:ascii="Times New Roman" w:hAnsi="Times New Roman" w:eastAsia="方正仿宋_GBK" w:cs="Times New Roman"/>
          <w:sz w:val="32"/>
          <w:szCs w:val="32"/>
          <w:lang w:eastAsia="zh-CN"/>
        </w:rPr>
        <w:t>本</w:t>
      </w:r>
      <w:r>
        <w:rPr>
          <w:rFonts w:hint="default" w:ascii="Times New Roman" w:hAnsi="Times New Roman" w:eastAsia="方正仿宋_GBK" w:cs="Times New Roman"/>
          <w:sz w:val="32"/>
          <w:szCs w:val="32"/>
          <w:lang w:eastAsia="zh-CN"/>
        </w:rPr>
        <w:t>单位</w:t>
      </w:r>
      <w:r>
        <w:rPr>
          <w:rFonts w:hint="default" w:ascii="Times New Roman" w:hAnsi="Times New Roman" w:eastAsia="方正仿宋_GBK" w:cs="Times New Roman"/>
          <w:sz w:val="32"/>
          <w:szCs w:val="32"/>
        </w:rPr>
        <w:t>为差额拨款事业单位不在机关运行经费统计范围之内。</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left="0" w:leftChars="0" w:right="0" w:firstLine="640" w:firstLineChars="200"/>
        <w:textAlignment w:val="auto"/>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（三）国有资产占用情况说明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截至2023年12月31日，本单位共有车辆</w:t>
      </w:r>
      <w:r>
        <w:rPr>
          <w:rFonts w:hint="default" w:ascii="Times New Roman" w:hAnsi="Times New Roman" w:eastAsia="方正仿宋_GBK" w:cs="Times New Roman"/>
          <w:b w:val="0"/>
          <w:bCs w:val="0"/>
          <w:sz w:val="32"/>
          <w:szCs w:val="32"/>
        </w:rPr>
        <w:t>1</w:t>
      </w:r>
      <w:r>
        <w:rPr>
          <w:rFonts w:hint="default" w:ascii="Times New Roman" w:hAnsi="Times New Roman" w:eastAsia="方正仿宋_GBK" w:cs="Times New Roman"/>
          <w:b w:val="0"/>
          <w:bCs w:val="0"/>
          <w:sz w:val="32"/>
          <w:szCs w:val="32"/>
          <w:shd w:val="clear" w:color="auto" w:fill="FFFFFF"/>
        </w:rPr>
        <w:t>辆，其中，副部（省）级及以上领导用车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辆、主要负责人用车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辆、机要通信用车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辆、应急保障用车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辆、执法执勤用车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辆，特种专业技术用车</w:t>
      </w:r>
      <w:r>
        <w:rPr>
          <w:rFonts w:hint="default" w:ascii="Times New Roman" w:hAnsi="Times New Roman" w:eastAsia="方正仿宋_GBK" w:cs="Times New Roman"/>
          <w:b w:val="0"/>
          <w:bCs w:val="0"/>
          <w:sz w:val="32"/>
          <w:szCs w:val="32"/>
        </w:rPr>
        <w:t>1</w:t>
      </w:r>
      <w:r>
        <w:rPr>
          <w:rFonts w:hint="default" w:ascii="Times New Roman" w:hAnsi="Times New Roman" w:eastAsia="方正仿宋_GBK" w:cs="Times New Roman"/>
          <w:b w:val="0"/>
          <w:bCs w:val="0"/>
          <w:sz w:val="32"/>
          <w:szCs w:val="32"/>
          <w:shd w:val="clear" w:color="auto" w:fill="FFFFFF"/>
        </w:rPr>
        <w:t>辆，离退休干部用车</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辆。单价100万元（含）以上专用设备</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台（套）。</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left="0" w:leftChars="0" w:right="0" w:firstLine="640" w:firstLineChars="200"/>
        <w:textAlignment w:val="auto"/>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（四）政府采购支出情况说明</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highlight w:val="none"/>
          <w:shd w:val="clear" w:color="auto" w:fill="FFFFFF"/>
        </w:rPr>
      </w:pPr>
      <w:r>
        <w:rPr>
          <w:rFonts w:hint="default" w:ascii="Times New Roman" w:hAnsi="Times New Roman" w:eastAsia="方正仿宋_GBK" w:cs="Times New Roman"/>
          <w:b w:val="0"/>
          <w:bCs w:val="0"/>
          <w:sz w:val="32"/>
          <w:szCs w:val="32"/>
          <w:highlight w:val="none"/>
          <w:shd w:val="clear" w:color="auto" w:fill="FFFFFF"/>
        </w:rPr>
        <w:t>2023年度本单位政府采购支出总额</w:t>
      </w:r>
      <w:r>
        <w:rPr>
          <w:rFonts w:hint="default" w:ascii="Times New Roman" w:hAnsi="Times New Roman" w:eastAsia="方正仿宋_GBK" w:cs="Times New Roman"/>
          <w:b w:val="0"/>
          <w:bCs w:val="0"/>
          <w:sz w:val="32"/>
          <w:szCs w:val="32"/>
          <w:highlight w:val="none"/>
        </w:rPr>
        <w:t>0.00</w:t>
      </w:r>
      <w:r>
        <w:rPr>
          <w:rFonts w:hint="default" w:ascii="Times New Roman" w:hAnsi="Times New Roman" w:eastAsia="方正仿宋_GBK" w:cs="Times New Roman"/>
          <w:b w:val="0"/>
          <w:bCs w:val="0"/>
          <w:sz w:val="32"/>
          <w:szCs w:val="32"/>
          <w:highlight w:val="none"/>
          <w:shd w:val="clear" w:color="auto" w:fill="FFFFFF"/>
        </w:rPr>
        <w:t>万元，其中：政府采购货物支出</w:t>
      </w:r>
      <w:r>
        <w:rPr>
          <w:rFonts w:hint="default" w:ascii="Times New Roman" w:hAnsi="Times New Roman" w:eastAsia="方正仿宋_GBK" w:cs="Times New Roman"/>
          <w:b w:val="0"/>
          <w:bCs w:val="0"/>
          <w:sz w:val="32"/>
          <w:szCs w:val="32"/>
          <w:highlight w:val="none"/>
        </w:rPr>
        <w:t>0.00</w:t>
      </w:r>
      <w:r>
        <w:rPr>
          <w:rFonts w:hint="default" w:ascii="Times New Roman" w:hAnsi="Times New Roman" w:eastAsia="方正仿宋_GBK" w:cs="Times New Roman"/>
          <w:b w:val="0"/>
          <w:bCs w:val="0"/>
          <w:sz w:val="32"/>
          <w:szCs w:val="32"/>
          <w:highlight w:val="none"/>
          <w:shd w:val="clear" w:color="auto" w:fill="FFFFFF"/>
        </w:rPr>
        <w:t>万元、政府采购工程支出</w:t>
      </w:r>
      <w:r>
        <w:rPr>
          <w:rFonts w:hint="default" w:ascii="Times New Roman" w:hAnsi="Times New Roman" w:eastAsia="方正仿宋_GBK" w:cs="Times New Roman"/>
          <w:b w:val="0"/>
          <w:bCs w:val="0"/>
          <w:sz w:val="32"/>
          <w:szCs w:val="32"/>
          <w:highlight w:val="none"/>
        </w:rPr>
        <w:t>0.00</w:t>
      </w:r>
      <w:r>
        <w:rPr>
          <w:rFonts w:hint="default" w:ascii="Times New Roman" w:hAnsi="Times New Roman" w:eastAsia="方正仿宋_GBK" w:cs="Times New Roman"/>
          <w:b w:val="0"/>
          <w:bCs w:val="0"/>
          <w:sz w:val="32"/>
          <w:szCs w:val="32"/>
          <w:highlight w:val="none"/>
          <w:shd w:val="clear" w:color="auto" w:fill="FFFFFF"/>
        </w:rPr>
        <w:t>万元、政府采购服务支出</w:t>
      </w:r>
      <w:r>
        <w:rPr>
          <w:rFonts w:hint="default" w:ascii="Times New Roman" w:hAnsi="Times New Roman" w:eastAsia="方正仿宋_GBK" w:cs="Times New Roman"/>
          <w:b w:val="0"/>
          <w:bCs w:val="0"/>
          <w:sz w:val="32"/>
          <w:szCs w:val="32"/>
          <w:highlight w:val="none"/>
        </w:rPr>
        <w:t>0.00</w:t>
      </w:r>
      <w:r>
        <w:rPr>
          <w:rFonts w:hint="default" w:ascii="Times New Roman" w:hAnsi="Times New Roman" w:eastAsia="方正仿宋_GBK" w:cs="Times New Roman"/>
          <w:b w:val="0"/>
          <w:bCs w:val="0"/>
          <w:sz w:val="32"/>
          <w:szCs w:val="32"/>
          <w:highlight w:val="none"/>
          <w:shd w:val="clear" w:color="auto" w:fill="FFFFFF"/>
        </w:rPr>
        <w:t>万元。授予中小企业合同金额</w:t>
      </w:r>
      <w:r>
        <w:rPr>
          <w:rFonts w:hint="default" w:ascii="Times New Roman" w:hAnsi="Times New Roman" w:eastAsia="方正仿宋_GBK" w:cs="Times New Roman"/>
          <w:b w:val="0"/>
          <w:bCs w:val="0"/>
          <w:sz w:val="32"/>
          <w:szCs w:val="32"/>
          <w:highlight w:val="none"/>
        </w:rPr>
        <w:t>0.00万</w:t>
      </w:r>
      <w:r>
        <w:rPr>
          <w:rFonts w:hint="default" w:ascii="Times New Roman" w:hAnsi="Times New Roman" w:eastAsia="方正仿宋_GBK" w:cs="Times New Roman"/>
          <w:b w:val="0"/>
          <w:bCs w:val="0"/>
          <w:sz w:val="32"/>
          <w:szCs w:val="32"/>
          <w:highlight w:val="none"/>
          <w:shd w:val="clear" w:color="auto" w:fill="FFFFFF"/>
        </w:rPr>
        <w:t>元，占政府采购支出总额的</w:t>
      </w:r>
      <w:r>
        <w:rPr>
          <w:rFonts w:hint="default" w:ascii="Times New Roman" w:hAnsi="Times New Roman" w:eastAsia="方正仿宋_GBK" w:cs="Times New Roman"/>
          <w:b w:val="0"/>
          <w:bCs w:val="0"/>
          <w:sz w:val="32"/>
          <w:szCs w:val="32"/>
          <w:highlight w:val="none"/>
        </w:rPr>
        <w:t>0</w:t>
      </w:r>
      <w:r>
        <w:rPr>
          <w:rFonts w:hint="default" w:ascii="Times New Roman" w:hAnsi="Times New Roman" w:eastAsia="方正仿宋_GBK" w:cs="Times New Roman"/>
          <w:b w:val="0"/>
          <w:bCs w:val="0"/>
          <w:sz w:val="32"/>
          <w:szCs w:val="32"/>
          <w:highlight w:val="none"/>
          <w:shd w:val="clear" w:color="auto" w:fill="FFFFFF"/>
        </w:rPr>
        <w:t>%，其中：授予小微企业合同金额</w:t>
      </w:r>
      <w:r>
        <w:rPr>
          <w:rFonts w:hint="default" w:ascii="Times New Roman" w:hAnsi="Times New Roman" w:eastAsia="方正仿宋_GBK" w:cs="Times New Roman"/>
          <w:b w:val="0"/>
          <w:bCs w:val="0"/>
          <w:sz w:val="32"/>
          <w:szCs w:val="32"/>
          <w:highlight w:val="none"/>
        </w:rPr>
        <w:t>0.00</w:t>
      </w:r>
      <w:r>
        <w:rPr>
          <w:rFonts w:hint="default" w:ascii="Times New Roman" w:hAnsi="Times New Roman" w:eastAsia="方正仿宋_GBK" w:cs="Times New Roman"/>
          <w:b w:val="0"/>
          <w:bCs w:val="0"/>
          <w:sz w:val="32"/>
          <w:szCs w:val="32"/>
          <w:highlight w:val="none"/>
          <w:shd w:val="clear" w:color="auto" w:fill="FFFFFF"/>
        </w:rPr>
        <w:t>万元，占政府采购支出总额的</w:t>
      </w:r>
      <w:r>
        <w:rPr>
          <w:rFonts w:hint="default" w:ascii="Times New Roman" w:hAnsi="Times New Roman" w:eastAsia="方正仿宋_GBK" w:cs="Times New Roman"/>
          <w:b w:val="0"/>
          <w:bCs w:val="0"/>
          <w:sz w:val="32"/>
          <w:szCs w:val="32"/>
          <w:highlight w:val="none"/>
        </w:rPr>
        <w:t>0</w:t>
      </w:r>
      <w:r>
        <w:rPr>
          <w:rFonts w:hint="default" w:ascii="Times New Roman" w:hAnsi="Times New Roman" w:eastAsia="方正仿宋_GBK" w:cs="Times New Roman"/>
          <w:b w:val="0"/>
          <w:bCs w:val="0"/>
          <w:sz w:val="32"/>
          <w:szCs w:val="32"/>
          <w:highlight w:val="none"/>
          <w:shd w:val="clear" w:color="auto" w:fill="FFFFFF"/>
        </w:rPr>
        <w:t xml:space="preserve"> %。2023年度</w:t>
      </w:r>
      <w:r>
        <w:rPr>
          <w:rFonts w:hint="eastAsia" w:ascii="Times New Roman" w:hAnsi="Times New Roman" w:eastAsia="方正仿宋_GBK" w:cs="Times New Roman"/>
          <w:b w:val="0"/>
          <w:bCs w:val="0"/>
          <w:sz w:val="32"/>
          <w:szCs w:val="32"/>
          <w:highlight w:val="none"/>
          <w:shd w:val="clear" w:color="auto" w:fill="FFFFFF"/>
          <w:lang w:eastAsia="zh-CN"/>
        </w:rPr>
        <w:t>本单位</w:t>
      </w:r>
      <w:r>
        <w:rPr>
          <w:rFonts w:hint="default" w:ascii="Times New Roman" w:hAnsi="Times New Roman" w:eastAsia="方正仿宋_GBK" w:cs="Times New Roman"/>
          <w:b w:val="0"/>
          <w:bCs w:val="0"/>
          <w:sz w:val="32"/>
          <w:szCs w:val="32"/>
          <w:highlight w:val="none"/>
          <w:shd w:val="clear" w:color="auto" w:fill="FFFFFF"/>
        </w:rPr>
        <w:t>未发生政府采购事项，无相关经费支出。</w:t>
      </w:r>
    </w:p>
    <w:p>
      <w:pPr>
        <w:pStyle w:val="10"/>
        <w:keepNext w:val="0"/>
        <w:keepLines w:val="0"/>
        <w:pageBreakBefore w:val="0"/>
        <w:widowControl/>
        <w:numPr>
          <w:ilvl w:val="0"/>
          <w:numId w:val="2"/>
        </w:numPr>
        <w:shd w:val="clear" w:color="auto" w:fill="FFFFFF"/>
        <w:kinsoku/>
        <w:wordWrap/>
        <w:overflowPunct/>
        <w:topLinePunct w:val="0"/>
        <w:autoSpaceDN/>
        <w:bidi w:val="0"/>
        <w:adjustRightInd/>
        <w:spacing w:beforeAutospacing="0" w:after="0" w:afterAutospacing="0" w:line="560" w:lineRule="exact"/>
        <w:ind w:right="0" w:firstLine="640" w:firstLineChars="200"/>
        <w:textAlignment w:val="auto"/>
        <w:rPr>
          <w:rStyle w:val="12"/>
          <w:rFonts w:hint="eastAsia" w:ascii="方正黑体_GBK" w:hAnsi="方正黑体_GBK" w:eastAsia="方正黑体_GBK" w:cs="方正黑体_GBK"/>
          <w:b w:val="0"/>
          <w:bCs w:val="0"/>
          <w:sz w:val="32"/>
          <w:szCs w:val="32"/>
          <w:shd w:val="clear" w:color="auto" w:fill="FFFFFF"/>
        </w:rPr>
      </w:pPr>
      <w:r>
        <w:rPr>
          <w:rStyle w:val="12"/>
          <w:rFonts w:hint="eastAsia" w:ascii="方正黑体_GBK" w:hAnsi="方正黑体_GBK" w:eastAsia="方正黑体_GBK" w:cs="方正黑体_GBK"/>
          <w:b w:val="0"/>
          <w:bCs w:val="0"/>
          <w:sz w:val="32"/>
          <w:szCs w:val="32"/>
          <w:shd w:val="clear" w:color="auto" w:fill="FFFFFF"/>
        </w:rPr>
        <w:t>预算绩效管理情况说明</w:t>
      </w: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（一）单位自评情况</w:t>
      </w:r>
    </w:p>
    <w:tbl>
      <w:tblPr>
        <w:tblStyle w:val="13"/>
        <w:tblpPr w:leftFromText="180" w:rightFromText="180" w:vertAnchor="text" w:horzAnchor="page" w:tblpX="1783" w:tblpY="1944"/>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490" w:hRule="atLeast"/>
        </w:trPr>
        <w:tc>
          <w:tcPr>
            <w:tcW w:w="8400" w:type="dxa"/>
            <w:gridSpan w:val="11"/>
            <w:shd w:val="clear" w:color="auto" w:fill="auto"/>
            <w:vAlign w:val="center"/>
          </w:tcPr>
          <w:p>
            <w:pPr>
              <w:keepNext w:val="0"/>
              <w:keepLines w:val="0"/>
              <w:widowControl/>
              <w:suppressLineNumbers w:val="0"/>
              <w:ind w:firstLine="1285" w:firstLineChars="400"/>
              <w:jc w:val="both"/>
              <w:textAlignment w:val="center"/>
              <w:rPr>
                <w:rFonts w:hint="eastAsia" w:cs="宋体"/>
                <w:b/>
                <w:bCs w:val="0"/>
                <w:i w:val="0"/>
                <w:color w:val="auto"/>
                <w:kern w:val="0"/>
                <w:sz w:val="32"/>
                <w:szCs w:val="32"/>
                <w:highlight w:val="none"/>
                <w:u w:val="none"/>
                <w:lang w:val="en-US" w:eastAsia="zh-CN" w:bidi="ar"/>
              </w:rPr>
            </w:pPr>
            <w:r>
              <w:rPr>
                <w:rFonts w:hint="eastAsia" w:cs="宋体"/>
                <w:b/>
                <w:bCs w:val="0"/>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宋体" w:hAnsi="宋体" w:eastAsia="宋体" w:cs="宋体"/>
                <w:b/>
                <w:bCs w:val="0"/>
                <w:i w:val="0"/>
                <w:color w:val="auto"/>
                <w:kern w:val="0"/>
                <w:sz w:val="32"/>
                <w:szCs w:val="32"/>
                <w:highlight w:val="none"/>
                <w:u w:val="none"/>
                <w:lang w:val="en-US" w:eastAsia="zh-CN" w:bidi="ar"/>
              </w:rPr>
              <w:t>2023年度项目支出绩效自评情况表（</w:t>
            </w:r>
            <w:r>
              <w:rPr>
                <w:rFonts w:hint="eastAsia" w:cs="宋体"/>
                <w:b/>
                <w:bCs w:val="0"/>
                <w:i w:val="0"/>
                <w:color w:val="auto"/>
                <w:kern w:val="0"/>
                <w:sz w:val="32"/>
                <w:szCs w:val="32"/>
                <w:highlight w:val="none"/>
                <w:u w:val="none"/>
                <w:lang w:val="en-US" w:eastAsia="zh-CN" w:bidi="ar"/>
              </w:rPr>
              <w:t>二级项目</w:t>
            </w:r>
            <w:r>
              <w:rPr>
                <w:rFonts w:hint="eastAsia" w:ascii="宋体" w:hAnsi="宋体" w:eastAsia="宋体" w:cs="宋体"/>
                <w:b/>
                <w:bCs w:val="0"/>
                <w:i w:val="0"/>
                <w:color w:val="auto"/>
                <w:kern w:val="0"/>
                <w:sz w:val="32"/>
                <w:szCs w:val="32"/>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pPr>
        <w:pStyle w:val="10"/>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Times New Roman"/>
          <w:b w:val="0"/>
          <w:bCs w:val="0"/>
          <w:kern w:val="0"/>
          <w:sz w:val="32"/>
          <w:szCs w:val="32"/>
          <w:lang w:val="en-US"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eastAsia" w:ascii="方正楷体_GBK" w:hAnsi="方正楷体_GBK" w:eastAsia="方正楷体_GBK" w:cs="方正楷体_GBK"/>
          <w:b w:val="0"/>
          <w:bCs w:val="0"/>
          <w:sz w:val="32"/>
          <w:szCs w:val="32"/>
          <w:shd w:val="clear" w:color="auto" w:fill="FFFFFF"/>
          <w:lang w:eastAsia="zh-CN"/>
        </w:rPr>
      </w:pP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eastAsia" w:ascii="方正楷体_GBK" w:hAnsi="方正楷体_GBK" w:eastAsia="方正楷体_GBK" w:cs="方正楷体_GBK"/>
          <w:b w:val="0"/>
          <w:bCs w:val="0"/>
          <w:sz w:val="32"/>
          <w:szCs w:val="32"/>
          <w:shd w:val="clear" w:color="auto" w:fill="FFFFFF"/>
          <w:lang w:eastAsia="zh-CN"/>
        </w:rPr>
      </w:pP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pPr>
        <w:pStyle w:val="15"/>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pPr>
        <w:pStyle w:val="15"/>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pPr>
        <w:pStyle w:val="15"/>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kern w:val="0"/>
          <w:sz w:val="32"/>
          <w:szCs w:val="32"/>
          <w:lang w:val="en-US" w:eastAsia="zh-CN" w:bidi="ar-SA"/>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p>
    <w:p>
      <w:pPr>
        <w:pStyle w:val="10"/>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240" w:lineRule="auto"/>
        <w:ind w:right="0" w:firstLine="640" w:firstLineChars="200"/>
        <w:textAlignment w:val="auto"/>
        <w:outlineLvl w:val="9"/>
        <w:rPr>
          <w:rStyle w:val="12"/>
          <w:rFonts w:hint="eastAsia" w:ascii="方正黑体_GBK" w:hAnsi="方正黑体_GBK" w:eastAsia="方正黑体_GBK" w:cs="方正黑体_GBK"/>
          <w:b w:val="0"/>
          <w:bCs w:val="0"/>
          <w:sz w:val="32"/>
          <w:szCs w:val="32"/>
          <w:shd w:val="clear" w:color="auto" w:fill="FFFFFF"/>
        </w:rPr>
      </w:pPr>
      <w:r>
        <w:rPr>
          <w:rStyle w:val="12"/>
          <w:rFonts w:hint="eastAsia" w:ascii="方正黑体_GBK" w:hAnsi="方正黑体_GBK" w:eastAsia="方正黑体_GBK" w:cs="方正黑体_GBK"/>
          <w:b w:val="0"/>
          <w:bCs w:val="0"/>
          <w:sz w:val="32"/>
          <w:szCs w:val="32"/>
          <w:shd w:val="clear" w:color="auto" w:fill="FFFFFF"/>
        </w:rPr>
        <w:t xml:space="preserve"> 六、专业名词解释</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Fonts w:hint="eastAsia" w:ascii="方正楷体_GBK" w:hAnsi="方正楷体_GBK" w:eastAsia="方正楷体_GBK" w:cs="方正楷体_GBK"/>
          <w:b w:val="0"/>
          <w:bCs w:val="0"/>
          <w:sz w:val="32"/>
          <w:szCs w:val="32"/>
          <w:shd w:val="clear" w:color="auto" w:fill="FFFFFF"/>
        </w:rPr>
        <w:t>（一）财政拨款收入：</w:t>
      </w:r>
      <w:r>
        <w:rPr>
          <w:rFonts w:hint="default" w:ascii="Times New Roman" w:hAnsi="Times New Roman" w:eastAsia="方正仿宋_GBK" w:cs="Times New Roman"/>
          <w:b w:val="0"/>
          <w:bCs w:val="0"/>
          <w:sz w:val="32"/>
          <w:szCs w:val="32"/>
          <w:shd w:val="clear" w:color="auto" w:fill="FFFFFF"/>
        </w:rPr>
        <w:t>指本年度从本级财政部门取得的财政拨款，包括一般公共预算财政拨款和政府性基金预算财政拨款。</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（二）事业收入</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指事业单位开展专业业务活动及其辅助活动取得的现金流入；事业单位收到的财政专户实际核拨的教育收费等资金在此反映。</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（三）经营收入</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指事业单位在专业业务活动及其辅助活动之外开展非独立核算经营活动取得的现金流入。</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（四）其他收入</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（五）使用非财政拨款结余</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Style w:val="12"/>
          <w:rFonts w:hint="eastAsia" w:ascii="方正楷体_GBK" w:hAnsi="方正楷体_GBK" w:eastAsia="方正楷体_GBK" w:cs="方正楷体_GBK"/>
          <w:b w:val="0"/>
          <w:bCs w:val="0"/>
          <w:sz w:val="32"/>
          <w:szCs w:val="32"/>
          <w:shd w:val="clear" w:color="auto" w:fill="FFFFFF"/>
        </w:rPr>
        <w:t>（六）年初结转和结余</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指单位上年结转本年使用的基本支出结转、项目支出结转和结余、经营结余。</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（七）结余分配</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指单位按照国家有关规定，缴纳所得税、提取专用基金、转入非财政拨款结余等当年结余的分配情况。</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（八）年末结转和结余</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指单位结转下年的基本支出结转、项目支出结转和结余、经营结余。</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（九）基本支出</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（十）项目支出</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指在基本支出之外为完成特定行政任务和事业发展目标所发生的支出。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（十一）经营支出</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指事业单位在专业业务活动及其辅助活动之外开展非独立核算经营活动发生的支出。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（十二）“三公”经费</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（十三）机关运行经费</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（十四）工资福利支出（支出经济分类科目类级）</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反映单位开支的在职职工和编制外长期聘用人员的各类劳动报酬，以及为上述人员缴纳的各项社会保险费等。</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（十五）商品和服务支出（支出经济分类科目类级）</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反映单位购买商品和服务的支出（不包括用于购置固定资产的支出、战略性和应急储备支出）。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（十六）对个人和家庭的补助（支出经济分类科目类级）</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反映用于对个人和家庭的补助支出。</w:t>
      </w:r>
    </w:p>
    <w:p>
      <w:pPr>
        <w:pStyle w:val="10"/>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right="0" w:firstLine="640" w:firstLineChars="200"/>
        <w:jc w:val="both"/>
        <w:textAlignment w:val="auto"/>
        <w:outlineLvl w:val="9"/>
        <w:rPr>
          <w:rFonts w:hint="default" w:ascii="Times New Roman" w:hAnsi="Times New Roman" w:eastAsia="方正仿宋_GBK" w:cs="Times New Roman"/>
          <w:b w:val="0"/>
          <w:bCs w:val="0"/>
          <w:sz w:val="32"/>
          <w:szCs w:val="32"/>
        </w:rPr>
      </w:pPr>
      <w:r>
        <w:rPr>
          <w:rStyle w:val="12"/>
          <w:rFonts w:hint="eastAsia" w:ascii="方正楷体_GBK" w:hAnsi="方正楷体_GBK" w:eastAsia="方正楷体_GBK" w:cs="方正楷体_GBK"/>
          <w:b w:val="0"/>
          <w:bCs w:val="0"/>
          <w:sz w:val="32"/>
          <w:szCs w:val="32"/>
          <w:shd w:val="clear" w:color="auto" w:fill="FFFFFF"/>
        </w:rPr>
        <w:t>（十七）其他资本性支出（支出经济分类科目类级）</w:t>
      </w:r>
      <w:r>
        <w:rPr>
          <w:rFonts w:hint="eastAsia" w:ascii="方正楷体_GBK" w:hAnsi="方正楷体_GBK" w:eastAsia="方正楷体_GBK" w:cs="方正楷体_GBK"/>
          <w:b w:val="0"/>
          <w:bCs w:val="0"/>
          <w:sz w:val="32"/>
          <w:szCs w:val="32"/>
          <w:shd w:val="clear" w:color="auto" w:fill="FFFFFF"/>
        </w:rPr>
        <w:t>：</w:t>
      </w:r>
      <w:r>
        <w:rPr>
          <w:rFonts w:hint="default" w:ascii="Times New Roman" w:hAnsi="Times New Roman" w:eastAsia="方正仿宋_GBK" w:cs="Times New Roman"/>
          <w:b w:val="0"/>
          <w:bCs w:val="0"/>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10"/>
        <w:keepNext w:val="0"/>
        <w:keepLines w:val="0"/>
        <w:pageBreakBefore w:val="0"/>
        <w:widowControl/>
        <w:shd w:val="clear" w:color="auto" w:fill="FFFFFF"/>
        <w:kinsoku/>
        <w:wordWrap/>
        <w:overflowPunct/>
        <w:topLinePunct w:val="0"/>
        <w:autoSpaceDN/>
        <w:bidi w:val="0"/>
        <w:adjustRightInd/>
        <w:spacing w:before="0" w:beforeAutospacing="0" w:after="0" w:afterAutospacing="0" w:line="560" w:lineRule="exact"/>
        <w:ind w:right="0" w:firstLine="640" w:firstLineChars="200"/>
        <w:textAlignment w:val="auto"/>
        <w:rPr>
          <w:rStyle w:val="12"/>
          <w:rFonts w:hint="eastAsia" w:ascii="方正黑体_GBK" w:hAnsi="方正黑体_GBK" w:eastAsia="方正黑体_GBK" w:cs="方正黑体_GBK"/>
          <w:b w:val="0"/>
          <w:bCs w:val="0"/>
          <w:sz w:val="32"/>
          <w:szCs w:val="32"/>
          <w:shd w:val="clear" w:color="auto" w:fill="FFFFFF"/>
        </w:rPr>
      </w:pPr>
      <w:r>
        <w:rPr>
          <w:rStyle w:val="12"/>
          <w:rFonts w:hint="eastAsia" w:ascii="方正黑体_GBK" w:hAnsi="方正黑体_GBK" w:eastAsia="方正黑体_GBK" w:cs="方正黑体_GBK"/>
          <w:b w:val="0"/>
          <w:bCs w:val="0"/>
          <w:sz w:val="32"/>
          <w:szCs w:val="32"/>
          <w:shd w:val="clear" w:color="auto" w:fill="FFFFFF"/>
        </w:rPr>
        <w:t>七、决算公开联系方式及信息反馈渠道</w:t>
      </w:r>
    </w:p>
    <w:p>
      <w:pPr>
        <w:pStyle w:val="10"/>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rPr>
      </w:pPr>
      <w:r>
        <w:rPr>
          <w:rFonts w:hint="default" w:ascii="Times New Roman" w:hAnsi="Times New Roman" w:eastAsia="方正仿宋_GBK" w:cs="Times New Roman"/>
          <w:b w:val="0"/>
          <w:bCs w:val="0"/>
          <w:sz w:val="32"/>
          <w:szCs w:val="32"/>
          <w:shd w:val="clear" w:color="auto" w:fill="FFFFFF"/>
        </w:rPr>
        <w:t>本单位决算公开信息反馈和联系方式：</w:t>
      </w:r>
    </w:p>
    <w:p>
      <w:pPr>
        <w:pStyle w:val="10"/>
        <w:keepNext w:val="0"/>
        <w:keepLines w:val="0"/>
        <w:pageBreakBefore w:val="0"/>
        <w:widowControl/>
        <w:kinsoku/>
        <w:wordWrap/>
        <w:overflowPunct/>
        <w:topLinePunct w:val="0"/>
        <w:autoSpaceDN/>
        <w:bidi w:val="0"/>
        <w:adjustRightInd/>
        <w:snapToGrid w:val="0"/>
        <w:spacing w:before="0" w:beforeAutospacing="0" w:after="0" w:afterAutospacing="0" w:line="560" w:lineRule="exact"/>
        <w:ind w:right="0" w:firstLine="640" w:firstLineChars="200"/>
        <w:jc w:val="both"/>
        <w:textAlignment w:val="auto"/>
        <w:rPr>
          <w:rFonts w:hint="default" w:ascii="Times New Roman" w:hAnsi="Times New Roman" w:eastAsia="方正仿宋_GBK" w:cs="Times New Roman"/>
          <w:b w:val="0"/>
          <w:bCs w:val="0"/>
          <w:sz w:val="32"/>
          <w:szCs w:val="32"/>
          <w:highlight w:val="none"/>
          <w:lang w:val="en-US" w:eastAsia="zh-CN"/>
        </w:rPr>
      </w:pPr>
      <w:r>
        <w:rPr>
          <w:rFonts w:hint="eastAsia" w:ascii="Times New Roman" w:hAnsi="Times New Roman" w:eastAsia="方正仿宋_GBK" w:cs="Times New Roman"/>
          <w:b w:val="0"/>
          <w:bCs w:val="0"/>
          <w:sz w:val="32"/>
          <w:szCs w:val="32"/>
          <w:highlight w:val="none"/>
          <w:shd w:val="clear" w:color="auto" w:fill="FFFFFF"/>
          <w:lang w:eastAsia="zh-CN"/>
        </w:rPr>
        <w:t>白江</w:t>
      </w:r>
      <w:r>
        <w:rPr>
          <w:rFonts w:hint="eastAsia" w:ascii="Times New Roman" w:hAnsi="Times New Roman" w:eastAsia="方正仿宋_GBK" w:cs="Times New Roman"/>
          <w:b w:val="0"/>
          <w:bCs w:val="0"/>
          <w:sz w:val="32"/>
          <w:szCs w:val="32"/>
          <w:highlight w:val="none"/>
          <w:shd w:val="clear" w:color="auto" w:fill="FFFFFF"/>
          <w:lang w:val="en-US" w:eastAsia="zh-CN"/>
        </w:rPr>
        <w:t xml:space="preserve">  </w:t>
      </w:r>
      <w:r>
        <w:rPr>
          <w:rFonts w:hint="default" w:ascii="Times New Roman" w:hAnsi="Times New Roman" w:eastAsia="方正仿宋_GBK" w:cs="Times New Roman"/>
          <w:b w:val="0"/>
          <w:bCs w:val="0"/>
          <w:sz w:val="32"/>
          <w:szCs w:val="32"/>
          <w:highlight w:val="none"/>
          <w:shd w:val="clear" w:color="auto" w:fill="FFFFFF"/>
          <w:lang w:val="en-US" w:eastAsia="zh-CN"/>
        </w:rPr>
        <w:t>023-76612118</w:t>
      </w:r>
    </w:p>
    <w:p>
      <w:pPr>
        <w:pStyle w:val="15"/>
        <w:keepNext w:val="0"/>
        <w:keepLines w:val="0"/>
        <w:pageBreakBefore w:val="0"/>
        <w:widowControl/>
        <w:kinsoku/>
        <w:wordWrap/>
        <w:overflowPunct/>
        <w:topLinePunct w:val="0"/>
        <w:autoSpaceDE w:val="0"/>
        <w:autoSpaceDN/>
        <w:bidi w:val="0"/>
        <w:adjustRightInd/>
        <w:spacing w:beforeAutospacing="0" w:afterAutospacing="0" w:line="560" w:lineRule="exact"/>
        <w:ind w:right="0" w:firstLine="640" w:firstLineChars="200"/>
        <w:textAlignment w:val="auto"/>
        <w:rPr>
          <w:rStyle w:val="12"/>
          <w:rFonts w:hint="default" w:ascii="Times New Roman" w:hAnsi="Times New Roman" w:eastAsia="方正仿宋_GBK" w:cs="Times New Roman"/>
          <w:b w:val="0"/>
          <w:bCs w:val="0"/>
          <w:sz w:val="32"/>
          <w:szCs w:val="32"/>
          <w:highlight w:val="none"/>
          <w:shd w:val="clear" w:color="auto" w:fill="FFFF00"/>
        </w:rPr>
        <w:sectPr>
          <w:footerReference r:id="rId3" w:type="default"/>
          <w:pgSz w:w="11915" w:h="16840"/>
          <w:pgMar w:top="1440" w:right="1800" w:bottom="1440" w:left="1800" w:header="851" w:footer="992" w:gutter="0"/>
          <w:pgNumType w:fmt="numberInDash"/>
          <w:cols w:space="720" w:num="1"/>
          <w:docGrid w:type="lines" w:linePitch="312" w:charSpace="0"/>
        </w:sectPr>
      </w:pPr>
    </w:p>
    <w:p>
      <w:pPr>
        <w:rPr>
          <w:rFonts w:hint="default" w:cs="宋体"/>
          <w:sz w:val="21"/>
          <w:szCs w:val="21"/>
        </w:rPr>
      </w:pPr>
    </w:p>
    <w:tbl>
      <w:tblPr>
        <w:tblStyle w:val="13"/>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sz w:val="20"/>
                <w:u w:color="auto"/>
              </w:rPr>
              <w:t>重庆市秀山土家族苗族自治县龙凤坝镇卫生院</w:t>
            </w: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Arial" w:hAnsi="Arial" w:cs="Arial"/>
                <w:color w:val="000000"/>
                <w:sz w:val="22"/>
                <w:szCs w:val="22"/>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Arial" w:hAnsi="Arial" w:cs="Arial"/>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139.82</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14.56</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0.01</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19.07</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119.51</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Arial" w:hAnsi="Arial" w:cs="Arial"/>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6.74</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cs="宋体"/>
                <w:b/>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cs="宋体"/>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154.38</w:t>
            </w: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145.32</w:t>
            </w: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9.06</w:t>
            </w:r>
            <w:r>
              <w:rPr>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154.38</w:t>
            </w:r>
            <w:r>
              <w:rPr>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cs="宋体"/>
                <w:color w:val="000000"/>
                <w:sz w:val="20"/>
                <w:szCs w:val="20"/>
              </w:rPr>
            </w:pPr>
            <w:r>
              <w:rPr>
                <w:rFonts w:cs="宋体"/>
                <w:color w:val="000000"/>
                <w:sz w:val="20"/>
                <w:szCs w:val="20"/>
              </w:rPr>
              <w:t>154.38</w:t>
            </w:r>
            <w:r>
              <w:rPr>
                <w:color w:val="000000"/>
                <w:sz w:val="20"/>
                <w:u w:color="auto"/>
              </w:rPr>
              <w:t xml:space="preserve"> </w:t>
            </w:r>
          </w:p>
        </w:tc>
      </w:tr>
    </w:tbl>
    <w:p>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p>
    <w:tbl>
      <w:tblPr>
        <w:tblStyle w:val="13"/>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tblPrEx>
          <w:tblLayout w:type="fixed"/>
          <w:tblCellMar>
            <w:top w:w="0" w:type="dxa"/>
            <w:left w:w="0" w:type="dxa"/>
            <w:bottom w:w="0" w:type="dxa"/>
            <w:right w:w="0" w:type="dxa"/>
          </w:tblCellMar>
        </w:tblPrEx>
        <w:trPr>
          <w:trHeight w:val="641"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4873"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sz w:val="20"/>
                <w:u w:color="auto"/>
              </w:rPr>
              <w:t>重庆市秀山土家族苗族自治县龙凤坝镇卫生院</w:t>
            </w: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4873"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31"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154.38</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139.82</w:t>
            </w: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14.56</w:t>
            </w:r>
            <w:r>
              <w:rPr>
                <w:b/>
                <w:color w:val="000000"/>
                <w:sz w:val="20"/>
                <w:u w:color="auto"/>
              </w:rPr>
              <w:t xml:space="preserve"> </w:t>
            </w:r>
          </w:p>
        </w:tc>
        <w:tc>
          <w:tcPr>
            <w:tcW w:w="13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0.01</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19.07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19.07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19.07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19.07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0.67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0.67</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8.74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8.74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5.52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5.52</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128.57</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114.01</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14.56</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0.01</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114.33</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99.76</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14.56</w:t>
            </w:r>
            <w:r>
              <w:rPr>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0.01</w:t>
            </w:r>
            <w:r>
              <w:rPr>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114.33</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99.76</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14.56</w:t>
            </w: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0.01</w:t>
            </w: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9.60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9.60</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9.60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9.60</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4.64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4.64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4.64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4.64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6.74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6.74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6.74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6.74</w:t>
            </w:r>
            <w:r>
              <w:rPr>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6.74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6.74</w:t>
            </w: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p>
    <w:tbl>
      <w:tblPr>
        <w:tblStyle w:val="13"/>
        <w:tblW w:w="15378" w:type="dxa"/>
        <w:tblInd w:w="0" w:type="dxa"/>
        <w:tblLayout w:type="fixed"/>
        <w:tblCellMar>
          <w:top w:w="0" w:type="dxa"/>
          <w:left w:w="0" w:type="dxa"/>
          <w:bottom w:w="0" w:type="dxa"/>
          <w:right w:w="0" w:type="dxa"/>
        </w:tblCellMar>
      </w:tblPr>
      <w:tblGrid>
        <w:gridCol w:w="1803"/>
        <w:gridCol w:w="3355"/>
        <w:gridCol w:w="1701"/>
        <w:gridCol w:w="1701"/>
        <w:gridCol w:w="1701"/>
        <w:gridCol w:w="1685"/>
        <w:gridCol w:w="1685"/>
        <w:gridCol w:w="1747"/>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5158"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 xml:space="preserve">重庆市秀山土家族苗族自治县龙凤坝镇卫生院 </w:t>
            </w: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5158"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上缴上级支出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经营支出</w:t>
            </w:r>
          </w:p>
        </w:tc>
        <w:tc>
          <w:tcPr>
            <w:tcW w:w="174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80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145.32</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145.32</w:t>
            </w:r>
            <w:r>
              <w:rPr>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4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19.07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19.07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19.07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19.07</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0.67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0.67</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8.74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8.74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4.13</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5.52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5.52</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119.51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119.51</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105.26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105.26</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105.26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105.26</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9.60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9.60</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9.60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9.60</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4.64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4.64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4.64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4.64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b/>
                <w:color w:val="000000"/>
                <w:sz w:val="20"/>
                <w:szCs w:val="20"/>
              </w:rPr>
              <w:t>6.74</w:t>
            </w:r>
            <w:r>
              <w:rPr>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6.74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rFonts w:cs="宋体"/>
                <w:color w:val="000000"/>
                <w:sz w:val="20"/>
                <w:szCs w:val="20"/>
              </w:rPr>
              <w:t>6.74</w:t>
            </w:r>
            <w:r>
              <w:rPr>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color w:val="000000"/>
                <w:sz w:val="20"/>
                <w:szCs w:val="20"/>
              </w:rPr>
            </w:pPr>
            <w:r>
              <w:rPr>
                <w:color w:val="000000"/>
                <w:sz w:val="20"/>
                <w:u w:color="auto"/>
              </w:rPr>
              <w:t xml:space="preserve"> </w:t>
            </w:r>
          </w:p>
        </w:tc>
      </w:tr>
    </w:tbl>
    <w:p>
      <w:pPr>
        <w:rPr>
          <w:rFonts w:hint="default" w:cs="宋体"/>
          <w:sz w:val="21"/>
          <w:szCs w:val="21"/>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p>
    <w:p>
      <w:pPr>
        <w:rPr>
          <w:rFonts w:hint="default" w:cs="宋体"/>
          <w:sz w:val="21"/>
          <w:szCs w:val="21"/>
        </w:rPr>
      </w:pPr>
    </w:p>
    <w:tbl>
      <w:tblPr>
        <w:tblStyle w:val="13"/>
        <w:tblW w:w="14732" w:type="dxa"/>
        <w:tblInd w:w="0" w:type="dxa"/>
        <w:tblLayout w:type="fixed"/>
        <w:tblCellMar>
          <w:top w:w="0" w:type="dxa"/>
          <w:left w:w="0" w:type="dxa"/>
          <w:bottom w:w="0" w:type="dxa"/>
          <w:right w:w="0" w:type="dxa"/>
        </w:tblCellMar>
      </w:tblPr>
      <w:tblGrid>
        <w:gridCol w:w="2979"/>
        <w:gridCol w:w="1526"/>
        <w:gridCol w:w="3191"/>
        <w:gridCol w:w="1700"/>
        <w:gridCol w:w="1700"/>
        <w:gridCol w:w="1700"/>
        <w:gridCol w:w="1936"/>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450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重庆市秀山土家族苗族自治县龙凤坝镇卫生院</w:t>
            </w:r>
          </w:p>
        </w:tc>
        <w:tc>
          <w:tcPr>
            <w:tcW w:w="31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450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50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22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29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3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29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1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139.82</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一、一般公共服务支出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二、外交支出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三、国防支出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四、公共安全支出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五、教育支出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六、科学技术支出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七、文化旅游体育与传媒支出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八、社会保障和就业支出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19.07</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19.07</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九、卫生健康支出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104.94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104.94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十、节能环保支出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十一、城乡社区支出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十二、农林水支出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十三、交通运输支出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十四、资源勘探工业信息等支出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十五、商业服务业等支出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十六、金融支出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十七、援助其他地区支出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十八、自然资源海洋气象等支出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十九、住房保障支出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6.74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6.74</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二十、粮油物资储备支出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二十一、国有资本经营预算支出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二十二、灾害防治及应急管理支出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二十三、其他支出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二十四、债务还本支出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二十五、债务付息支出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二十六、抗疫特别国债安排的支出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本年收入合计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139.82</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本年支出合计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130.76</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130.76</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年初财政拨款结转和结余</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年末财政拨款结转和结余</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9.06</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9.06</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139.82</w:t>
            </w:r>
            <w:r>
              <w:rPr>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139.82</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139.82</w:t>
            </w:r>
            <w:r>
              <w:rPr>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3"/>
        <w:tblW w:w="15378" w:type="dxa"/>
        <w:tblInd w:w="0" w:type="dxa"/>
        <w:tblLayout w:type="fixed"/>
        <w:tblCellMar>
          <w:top w:w="0" w:type="dxa"/>
          <w:left w:w="0" w:type="dxa"/>
          <w:bottom w:w="0" w:type="dxa"/>
          <w:right w:w="0" w:type="dxa"/>
        </w:tblCellMar>
      </w:tblPr>
      <w:tblGrid>
        <w:gridCol w:w="1857"/>
        <w:gridCol w:w="3549"/>
        <w:gridCol w:w="3319"/>
        <w:gridCol w:w="3319"/>
        <w:gridCol w:w="3334"/>
      </w:tblGrid>
      <w:tr>
        <w:tblPrEx>
          <w:tblLayout w:type="fixed"/>
          <w:tblCellMar>
            <w:top w:w="0" w:type="dxa"/>
            <w:left w:w="0" w:type="dxa"/>
            <w:bottom w:w="0" w:type="dxa"/>
            <w:right w:w="0" w:type="dxa"/>
          </w:tblCellMar>
        </w:tblPrEx>
        <w:trPr>
          <w:trHeight w:val="510"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255" w:hRule="atLeast"/>
        </w:trPr>
        <w:tc>
          <w:tcPr>
            <w:tcW w:w="5406"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重庆市秀山土家族苗族自治县龙凤坝镇卫生院</w:t>
            </w: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5406"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19"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334"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08" w:hRule="atLeast"/>
        </w:trPr>
        <w:tc>
          <w:tcPr>
            <w:tcW w:w="5406"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9972"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26" w:hRule="atLeast"/>
        </w:trPr>
        <w:tc>
          <w:tcPr>
            <w:tcW w:w="1857"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54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334"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26"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5" w:hRule="atLeast"/>
        </w:trPr>
        <w:tc>
          <w:tcPr>
            <w:tcW w:w="1857"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54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1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334"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08" w:hRule="atLeast"/>
        </w:trPr>
        <w:tc>
          <w:tcPr>
            <w:tcW w:w="5406"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130.76</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bCs/>
                <w:color w:val="000000"/>
                <w:sz w:val="20"/>
                <w:szCs w:val="20"/>
              </w:rPr>
              <w:t>130.76</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社会保障和就业支出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19.07</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19.07</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20805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19.07</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19.07</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事业单位离退休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0.67</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0.67</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2080505</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机关事业单位基本养老保险缴费支出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8.74</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8.74</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2080506</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机关事业单位职业年金缴费支出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4.13</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4.13</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2080599</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其他行政事业单位养老支出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5.52</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5.52</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卫生健康支出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104.94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104.94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21003</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基层医疗卫生机构</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90.70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90.70</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2100302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乡镇卫生院</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90.70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90.70</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21004</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公共卫生</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9.60</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9.60</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2100408</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基本公共卫生服务</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9.60</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9.60</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21011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行政事业单位医疗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4.64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4.64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2101102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事业单位医疗</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4.64</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4.64</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住房保障支出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6.74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6.74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22102</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b/>
                <w:color w:val="000000"/>
                <w:sz w:val="20"/>
                <w:szCs w:val="20"/>
              </w:rPr>
              <w:t>住房改革支出</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6.74</w:t>
            </w:r>
            <w:r>
              <w:rPr>
                <w:b/>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b/>
                <w:color w:val="000000"/>
                <w:sz w:val="20"/>
                <w:szCs w:val="20"/>
              </w:rPr>
              <w:t>6.74</w:t>
            </w:r>
            <w:r>
              <w:rPr>
                <w:b/>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08" w:hRule="atLeast"/>
        </w:trPr>
        <w:tc>
          <w:tcPr>
            <w:tcW w:w="185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2210201</w:t>
            </w:r>
          </w:p>
        </w:tc>
        <w:tc>
          <w:tcPr>
            <w:tcW w:w="354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cs="宋体"/>
                <w:color w:val="000000"/>
                <w:sz w:val="20"/>
                <w:szCs w:val="20"/>
              </w:rPr>
            </w:pPr>
            <w:r>
              <w:rPr>
                <w:rFonts w:cs="宋体"/>
                <w:color w:val="000000"/>
                <w:sz w:val="20"/>
                <w:szCs w:val="20"/>
              </w:rPr>
              <w:t>住房公积金</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6.74</w:t>
            </w:r>
            <w:r>
              <w:rPr>
                <w:color w:val="000000"/>
                <w:sz w:val="20"/>
                <w:u w:color="auto"/>
              </w:rPr>
              <w:t xml:space="preserve"> </w:t>
            </w:r>
          </w:p>
        </w:tc>
        <w:tc>
          <w:tcPr>
            <w:tcW w:w="331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rFonts w:cs="宋体"/>
                <w:color w:val="000000"/>
                <w:sz w:val="20"/>
                <w:szCs w:val="20"/>
              </w:rPr>
              <w:t>6.74</w:t>
            </w:r>
            <w:r>
              <w:rPr>
                <w:color w:val="000000"/>
                <w:sz w:val="20"/>
                <w:u w:color="auto"/>
              </w:rPr>
              <w:t xml:space="preserve"> </w:t>
            </w:r>
          </w:p>
        </w:tc>
        <w:tc>
          <w:tcPr>
            <w:tcW w:w="333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color w:val="000000"/>
                <w:sz w:val="20"/>
                <w:u w:color="auto"/>
              </w:rPr>
              <w:t xml:space="preserve"> </w:t>
            </w:r>
          </w:p>
        </w:tc>
      </w:tr>
    </w:tbl>
    <w:p>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pPr>
        <w:ind w:firstLine="630" w:firstLineChars="300"/>
        <w:rPr>
          <w:rFonts w:hint="default" w:cs="宋体"/>
          <w:sz w:val="21"/>
          <w:szCs w:val="21"/>
        </w:rPr>
      </w:pPr>
      <w:r>
        <w:rPr>
          <w:rFonts w:cs="宋体"/>
          <w:sz w:val="21"/>
          <w:szCs w:val="21"/>
        </w:rPr>
        <w:br w:type="page"/>
      </w:r>
    </w:p>
    <w:tbl>
      <w:tblPr>
        <w:tblStyle w:val="13"/>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3345" w:type="dxa"/>
            <w:gridSpan w:val="2"/>
            <w:vMerge w:val="restart"/>
            <w:tcBorders>
              <w:top w:val="nil"/>
              <w:left w:val="nil"/>
              <w:right w:val="nil"/>
            </w:tcBorders>
            <w:shd w:val="clear" w:color="auto" w:fill="auto"/>
            <w:tcMar>
              <w:top w:w="15" w:type="dxa"/>
              <w:left w:w="15" w:type="dxa"/>
              <w:right w:w="15" w:type="dxa"/>
            </w:tcMar>
            <w:vAlign w:val="bottom"/>
          </w:tcPr>
          <w:p>
            <w:pPr>
              <w:spacing w:line="240" w:lineRule="exact"/>
              <w:rPr>
                <w:rFonts w:hint="default" w:cs="宋体"/>
                <w:color w:val="000000"/>
                <w:sz w:val="18"/>
                <w:szCs w:val="18"/>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重庆市秀山土家族苗族自治县龙凤坝镇卫生院</w:t>
            </w: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3345" w:type="dxa"/>
            <w:gridSpan w:val="2"/>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37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cs="宋体"/>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123.47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22.76</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10.81</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63.90</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8.74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4.13</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4.64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0.14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6.74</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1.58</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7.29</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6.62</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rFonts w:cs="宋体"/>
                <w:color w:val="000000"/>
                <w:sz w:val="18"/>
                <w:szCs w:val="18"/>
              </w:rPr>
              <w:t>0.67</w:t>
            </w: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cs="宋体"/>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cs="宋体"/>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cs="宋体"/>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cs="宋体"/>
                <w:color w:val="000000"/>
                <w:sz w:val="18"/>
                <w:szCs w:val="18"/>
              </w:rPr>
            </w:pPr>
            <w:r>
              <w:rPr>
                <w:rFonts w:cs="宋体"/>
                <w:color w:val="000000"/>
                <w:sz w:val="18"/>
                <w:szCs w:val="18"/>
              </w:rPr>
              <w:t>130.76</w:t>
            </w:r>
            <w:r>
              <w:rPr>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cs="宋体"/>
                <w:color w:val="000000"/>
                <w:sz w:val="18"/>
                <w:szCs w:val="18"/>
              </w:rPr>
            </w:pPr>
            <w:r>
              <w:rPr>
                <w:color w:val="000000"/>
                <w:sz w:val="18"/>
                <w:u w:color="auto"/>
              </w:rPr>
              <w:t xml:space="preserve"> </w:t>
            </w:r>
          </w:p>
        </w:tc>
      </w:tr>
    </w:tbl>
    <w:p>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3"/>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重庆市秀山土家族苗族自治县龙凤坝镇卫生院</w:t>
            </w: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cs="宋体"/>
          <w:sz w:val="21"/>
          <w:szCs w:val="21"/>
        </w:rPr>
        <w:br w:type="page"/>
      </w:r>
    </w:p>
    <w:tbl>
      <w:tblPr>
        <w:tblStyle w:val="13"/>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4942" w:type="dxa"/>
            <w:gridSpan w:val="2"/>
            <w:vMerge w:val="restart"/>
            <w:tcBorders>
              <w:top w:val="nil"/>
              <w:left w:val="nil"/>
              <w:right w:val="nil"/>
            </w:tcBorders>
            <w:shd w:val="clear" w:color="auto" w:fill="auto"/>
            <w:tcMar>
              <w:top w:w="15" w:type="dxa"/>
              <w:left w:w="15" w:type="dxa"/>
              <w:right w:w="15" w:type="dxa"/>
            </w:tcMar>
            <w:vAlign w:val="bottom"/>
          </w:tcPr>
          <w:p>
            <w:pPr>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重庆市秀山土家族苗族自治县龙凤坝镇卫生院</w:t>
            </w: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4942" w:type="dxa"/>
            <w:gridSpan w:val="2"/>
            <w:vMerge w:val="continue"/>
            <w:tcBorders>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276" w:type="dxa"/>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cs="宋体"/>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cs="宋体"/>
                <w:b/>
                <w:color w:val="000000"/>
                <w:sz w:val="20"/>
                <w:szCs w:val="20"/>
              </w:rPr>
            </w:pPr>
            <w:r>
              <w:rPr>
                <w:rFonts w:cs="宋体"/>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cs="宋体"/>
                <w:b/>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cs="宋体"/>
                <w:b/>
                <w:color w:val="000000"/>
                <w:sz w:val="20"/>
                <w:szCs w:val="20"/>
              </w:rPr>
            </w:pPr>
            <w:r>
              <w:rPr>
                <w:rFonts w:cs="宋体"/>
                <w:b/>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cs="宋体"/>
                <w:b/>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cs="宋体"/>
                <w:b/>
                <w:color w:val="000000"/>
                <w:sz w:val="20"/>
                <w:szCs w:val="20"/>
              </w:rPr>
            </w:pPr>
            <w:r>
              <w:rPr>
                <w:b/>
                <w:color w:val="000000"/>
                <w:sz w:val="20"/>
                <w:u w:color="auto"/>
              </w:rPr>
              <w:t xml:space="preserve"> </w:t>
            </w:r>
          </w:p>
        </w:tc>
      </w:tr>
    </w:tbl>
    <w:p>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p>
    <w:p>
      <w:pPr>
        <w:rPr>
          <w:rFonts w:hint="default" w:cs="宋体"/>
          <w:sz w:val="21"/>
          <w:szCs w:val="21"/>
        </w:rPr>
      </w:pPr>
      <w:r>
        <w:rPr>
          <w:rFonts w:hint="default" w:cs="宋体"/>
          <w:sz w:val="21"/>
          <w:szCs w:val="21"/>
        </w:rPr>
        <w:br w:type="page"/>
      </w:r>
    </w:p>
    <w:tbl>
      <w:tblPr>
        <w:tblStyle w:val="13"/>
        <w:tblW w:w="15378" w:type="dxa"/>
        <w:tblInd w:w="0" w:type="dxa"/>
        <w:tblLayout w:type="fixed"/>
        <w:tblCellMar>
          <w:top w:w="0" w:type="dxa"/>
          <w:left w:w="0" w:type="dxa"/>
          <w:bottom w:w="0" w:type="dxa"/>
          <w:right w:w="0" w:type="dxa"/>
        </w:tblCellMar>
      </w:tblPr>
      <w:tblGrid>
        <w:gridCol w:w="4167"/>
        <w:gridCol w:w="2236"/>
        <w:gridCol w:w="2184"/>
        <w:gridCol w:w="4660"/>
        <w:gridCol w:w="2131"/>
      </w:tblGrid>
      <w:tr>
        <w:tblPrEx>
          <w:tblLayout w:type="fixed"/>
          <w:tblCellMar>
            <w:top w:w="0" w:type="dxa"/>
            <w:left w:w="0" w:type="dxa"/>
            <w:bottom w:w="0" w:type="dxa"/>
            <w:right w:w="0" w:type="dxa"/>
          </w:tblCellMar>
        </w:tblPrEx>
        <w:trPr>
          <w:trHeight w:val="175" w:hRule="atLeast"/>
        </w:trPr>
        <w:tc>
          <w:tcPr>
            <w:tcW w:w="15378"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cs="宋体"/>
                <w:b/>
                <w:color w:val="000000"/>
                <w:sz w:val="32"/>
                <w:szCs w:val="32"/>
              </w:rPr>
            </w:pPr>
            <w:r>
              <w:rPr>
                <w:rFonts w:cs="宋体"/>
                <w:b/>
                <w:color w:val="000000"/>
                <w:sz w:val="32"/>
                <w:szCs w:val="32"/>
              </w:rPr>
              <w:t>机构运行信息表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23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公开09表</w:t>
            </w:r>
          </w:p>
        </w:tc>
      </w:tr>
      <w:tr>
        <w:tblPrEx>
          <w:tblLayout w:type="fixed"/>
          <w:tblCellMar>
            <w:top w:w="0" w:type="dxa"/>
            <w:left w:w="0" w:type="dxa"/>
            <w:bottom w:w="0" w:type="dxa"/>
            <w:right w:w="0" w:type="dxa"/>
          </w:tblCellMar>
        </w:tblPrEx>
        <w:trPr>
          <w:trHeight w:val="175" w:hRule="atLeast"/>
        </w:trPr>
        <w:tc>
          <w:tcPr>
            <w:tcW w:w="4167"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textAlignment w:val="bottom"/>
              <w:rPr>
                <w:rFonts w:hint="default" w:cs="宋体"/>
                <w:color w:val="000000"/>
                <w:sz w:val="20"/>
                <w:szCs w:val="20"/>
              </w:rPr>
            </w:pPr>
            <w:r>
              <w:rPr>
                <w:rFonts w:cs="宋体"/>
                <w:sz w:val="20"/>
                <w:szCs w:val="20"/>
              </w:rPr>
              <w:t>公开单位</w:t>
            </w:r>
            <w:r>
              <w:rPr>
                <w:rFonts w:cs="宋体"/>
                <w:color w:val="000000"/>
                <w:sz w:val="20"/>
                <w:szCs w:val="20"/>
              </w:rPr>
              <w:t xml:space="preserve">： </w:t>
            </w:r>
            <w:r>
              <w:rPr>
                <w:color w:val="000000"/>
                <w:sz w:val="20"/>
                <w:u w:color="auto"/>
              </w:rPr>
              <w:t>重庆市秀山土家族苗族自治县龙凤坝镇卫生院</w:t>
            </w:r>
          </w:p>
        </w:tc>
        <w:tc>
          <w:tcPr>
            <w:tcW w:w="2236"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center"/>
              <w:rPr>
                <w:rFonts w:hint="default" w:cs="宋体"/>
                <w:color w:val="000000"/>
                <w:sz w:val="20"/>
                <w:szCs w:val="20"/>
              </w:rPr>
            </w:pPr>
          </w:p>
        </w:tc>
        <w:tc>
          <w:tcPr>
            <w:tcW w:w="218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cs="宋体"/>
                <w:color w:val="000000"/>
                <w:sz w:val="20"/>
                <w:szCs w:val="20"/>
              </w:rPr>
            </w:pPr>
          </w:p>
        </w:tc>
        <w:tc>
          <w:tcPr>
            <w:tcW w:w="4660"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cs="宋体"/>
                <w:color w:val="000000"/>
                <w:sz w:val="20"/>
                <w:szCs w:val="20"/>
              </w:rPr>
            </w:pPr>
          </w:p>
        </w:tc>
        <w:tc>
          <w:tcPr>
            <w:tcW w:w="2131"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23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预算数</w:t>
            </w:r>
          </w:p>
        </w:tc>
        <w:tc>
          <w:tcPr>
            <w:tcW w:w="218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项  目</w:t>
            </w:r>
          </w:p>
        </w:tc>
        <w:tc>
          <w:tcPr>
            <w:tcW w:w="213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tblPrEx>
          <w:tblLayout w:type="fixed"/>
          <w:tblCellMar>
            <w:top w:w="0" w:type="dxa"/>
            <w:left w:w="0" w:type="dxa"/>
            <w:bottom w:w="0" w:type="dxa"/>
            <w:right w:w="0" w:type="dxa"/>
          </w:tblCellMar>
        </w:tblPrEx>
        <w:trPr>
          <w:trHeight w:val="18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一、“三公”经费支出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四、机关运行经费</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（一）支出合计</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（一）行政单位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（二）参照公务员法管理事业单位</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2．公务用车购置及运行维护费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五、资产信息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（1）公务用车购置费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（一）车辆数合计（辆）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1</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（2）公务用车运行维护费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1．副部（省）级及以上领导用车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2．主要领导干部用车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（1）国内接待费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3．机要通信用车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4．应急保障用车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（2）国（境）外接待费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5．执法执勤用车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（二）相关统计数</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6．特种专业技术用车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rFonts w:cs="宋体"/>
                <w:color w:val="000000"/>
                <w:sz w:val="20"/>
                <w:szCs w:val="20"/>
              </w:rPr>
              <w:t>1</w:t>
            </w: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1．因公出国（境）团组数（个）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7．离退休干部用车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2．因公出国（境）人次数（人）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8．其他用车</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3．公务用车购置数（辆）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（二）单价100万元（含）以上设备（不含车辆）</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4．公务用车保有量（辆）</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六、政府采购支出信息</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5．国内公务接待批次（个）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（一）政府采购支出合计</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1．政府采购货物支出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6．国内公务接待人次（人）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2．政府采购工程支出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其中：外事接待人次（人）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3．政府采购服务支出</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7．国（境）外公务接待批次（个）</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（二）政府采购授予中小企业合同金额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346" w:hRule="atLeast"/>
        </w:trPr>
        <w:tc>
          <w:tcPr>
            <w:tcW w:w="4167"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8．国（境）外公务接待人次（人）</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 xml:space="preserve">        其中：授予小微企业合同金额</w:t>
            </w: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r>
      <w:tr>
        <w:tblPrEx>
          <w:tblLayout w:type="fixed"/>
          <w:tblCellMar>
            <w:top w:w="0" w:type="dxa"/>
            <w:left w:w="0" w:type="dxa"/>
            <w:bottom w:w="0" w:type="dxa"/>
            <w:right w:w="0" w:type="dxa"/>
          </w:tblCellMar>
        </w:tblPrEx>
        <w:trPr>
          <w:trHeight w:val="269"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二、会议费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r>
        <w:tblPrEx>
          <w:tblLayout w:type="fixed"/>
          <w:tblCellMar>
            <w:top w:w="0" w:type="dxa"/>
            <w:left w:w="0" w:type="dxa"/>
            <w:bottom w:w="0" w:type="dxa"/>
            <w:right w:w="0" w:type="dxa"/>
          </w:tblCellMar>
        </w:tblPrEx>
        <w:trPr>
          <w:trHeight w:val="244" w:hRule="atLeast"/>
        </w:trPr>
        <w:tc>
          <w:tcPr>
            <w:tcW w:w="4167"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textAlignment w:val="center"/>
              <w:rPr>
                <w:rFonts w:hint="default" w:cs="宋体"/>
                <w:color w:val="000000"/>
                <w:sz w:val="20"/>
                <w:szCs w:val="20"/>
              </w:rPr>
            </w:pPr>
            <w:r>
              <w:rPr>
                <w:rFonts w:cs="宋体"/>
                <w:color w:val="000000"/>
                <w:sz w:val="20"/>
                <w:szCs w:val="20"/>
              </w:rPr>
              <w:t>三、培训费</w:t>
            </w:r>
          </w:p>
        </w:tc>
        <w:tc>
          <w:tcPr>
            <w:tcW w:w="223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center"/>
              <w:textAlignment w:val="center"/>
              <w:rPr>
                <w:rFonts w:hint="default" w:cs="宋体"/>
                <w:color w:val="000000"/>
                <w:sz w:val="20"/>
                <w:szCs w:val="20"/>
              </w:rPr>
            </w:pPr>
            <w:r>
              <w:rPr>
                <w:rFonts w:cs="宋体"/>
                <w:color w:val="000000"/>
                <w:sz w:val="20"/>
                <w:szCs w:val="20"/>
              </w:rPr>
              <w:t>—</w:t>
            </w:r>
          </w:p>
        </w:tc>
        <w:tc>
          <w:tcPr>
            <w:tcW w:w="218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textAlignment w:val="bottom"/>
              <w:rPr>
                <w:rFonts w:hint="default" w:cs="宋体"/>
                <w:color w:val="000000"/>
                <w:sz w:val="20"/>
                <w:szCs w:val="20"/>
              </w:rPr>
            </w:pPr>
            <w:r>
              <w:rPr>
                <w:color w:val="000000"/>
                <w:sz w:val="20"/>
                <w:u w:color="auto"/>
              </w:rPr>
              <w:t xml:space="preserve"> </w:t>
            </w:r>
          </w:p>
        </w:tc>
        <w:tc>
          <w:tcPr>
            <w:tcW w:w="4660"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40" w:lineRule="exact"/>
              <w:rPr>
                <w:rFonts w:hint="default" w:cs="宋体"/>
                <w:color w:val="000000"/>
                <w:sz w:val="20"/>
                <w:szCs w:val="20"/>
              </w:rPr>
            </w:pPr>
          </w:p>
        </w:tc>
        <w:tc>
          <w:tcPr>
            <w:tcW w:w="213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40" w:lineRule="exact"/>
              <w:jc w:val="right"/>
              <w:rPr>
                <w:rFonts w:hint="default" w:cs="宋体"/>
                <w:color w:val="000000"/>
                <w:sz w:val="20"/>
                <w:szCs w:val="20"/>
              </w:rPr>
            </w:pPr>
          </w:p>
        </w:tc>
      </w:tr>
    </w:tbl>
    <w:p>
      <w:pPr>
        <w:rPr>
          <w:rFonts w:cs="宋体"/>
          <w:sz w:val="21"/>
          <w:szCs w:val="21"/>
        </w:rPr>
      </w:pPr>
      <w:r>
        <w:rPr>
          <w:rFonts w:cs="宋体"/>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20"/>
          <w:szCs w:val="20"/>
        </w:rPr>
        <w:br w:type="textWrapping"/>
      </w:r>
      <w:r>
        <w:rPr>
          <w:rFonts w:cs="宋体"/>
          <w:sz w:val="20"/>
          <w:szCs w:val="20"/>
        </w:rPr>
        <w:t xml:space="preserve">      2.本套报表金额单位转换时可能存在尾数误差。</w:t>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embedRegular r:id="rId1" w:fontKey="{003606E5-F2AB-435C-8308-8D05BFF0067F}"/>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Century Gothic"/>
    <w:panose1 w:val="020F0502020204030204"/>
    <w:charset w:val="00"/>
    <w:family w:val="swiss"/>
    <w:pitch w:val="default"/>
    <w:sig w:usb0="00000000" w:usb1="00000000" w:usb2="00000001" w:usb3="00000000" w:csb0="0000019F" w:csb1="00000000"/>
  </w:font>
  <w:font w:name="Century Gothic">
    <w:panose1 w:val="020B0502020202020204"/>
    <w:charset w:val="00"/>
    <w:family w:val="auto"/>
    <w:pitch w:val="default"/>
    <w:sig w:usb0="00000287" w:usb1="00000000" w:usb2="00000000" w:usb3="00000000" w:csb0="2000009F" w:csb1="DFD70000"/>
  </w:font>
  <w:font w:name="方正小标宋_GBK">
    <w:panose1 w:val="03000509000000000000"/>
    <w:charset w:val="86"/>
    <w:family w:val="script"/>
    <w:pitch w:val="default"/>
    <w:sig w:usb0="00000000" w:usb1="00000000" w:usb2="00000000" w:usb3="00000000" w:csb0="00000000" w:csb1="00000000"/>
    <w:embedRegular r:id="rId2" w:fontKey="{A4E5C53F-B443-41B5-ADF1-70860234B2F6}"/>
  </w:font>
  <w:font w:name="方正仿宋_GBK">
    <w:panose1 w:val="03000509000000000000"/>
    <w:charset w:val="86"/>
    <w:family w:val="auto"/>
    <w:pitch w:val="default"/>
    <w:sig w:usb0="00000000" w:usb1="00000000" w:usb2="00000000" w:usb3="00000000" w:csb0="00000000" w:csb1="00000000"/>
    <w:embedRegular r:id="rId3" w:fontKey="{A9416A05-6588-45F2-945A-4FDEF8AD6E49}"/>
  </w:font>
  <w:font w:name="方正黑体_GBK">
    <w:panose1 w:val="03000509000000000000"/>
    <w:charset w:val="86"/>
    <w:family w:val="auto"/>
    <w:pitch w:val="default"/>
    <w:sig w:usb0="00000000" w:usb1="00000000" w:usb2="00000000" w:usb3="00000000" w:csb0="00000000" w:csb1="00000000"/>
    <w:embedRegular r:id="rId4" w:fontKey="{0B6B8357-CDC6-4F0D-B409-5EAFB6C0B044}"/>
  </w:font>
  <w:font w:name="方正楷体_GBK">
    <w:panose1 w:val="03000509000000000000"/>
    <w:charset w:val="86"/>
    <w:family w:val="auto"/>
    <w:pitch w:val="default"/>
    <w:sig w:usb0="00000000" w:usb1="00000000" w:usb2="00000000" w:usb3="00000000" w:csb0="00000000" w:csb1="00000000"/>
    <w:embedRegular r:id="rId5" w:fontKey="{B363CEE6-E563-4C2E-BC36-AA6F6861105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rPr>
                              <w:rFonts w:hint="default"/>
                            </w:rPr>
                          </w:pPr>
                          <w:r>
                            <w:fldChar w:fldCharType="begin"/>
                          </w:r>
                          <w:r>
                            <w:instrText xml:space="preserve"> PAGE  \* MERGEFORMAT </w:instrText>
                          </w:r>
                          <w:r>
                            <w:fldChar w:fldCharType="separate"/>
                          </w:r>
                          <w:r>
                            <w:rPr>
                              <w:rFonts w:hint="default"/>
                            </w:rP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7"/>
                      <w:rPr>
                        <w:rFonts w:hint="default"/>
                      </w:rPr>
                    </w:pPr>
                    <w:r>
                      <w:fldChar w:fldCharType="begin"/>
                    </w:r>
                    <w:r>
                      <w:instrText xml:space="preserve"> PAGE  \* MERGEFORMAT </w:instrText>
                    </w:r>
                    <w:r>
                      <w:fldChar w:fldCharType="separate"/>
                    </w:r>
                    <w:r>
                      <w:rPr>
                        <w:rFonts w:hint="default"/>
                      </w:rPr>
                      <w:t>- 23 -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7"/>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7"/>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24 -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7"/>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7"/>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3AFCE0D"/>
    <w:multiLevelType w:val="multilevel"/>
    <w:tmpl w:val="C3AFCE0D"/>
    <w:lvl w:ilvl="0" w:tentative="0">
      <w:start w:val="1"/>
      <w:numFmt w:val="none"/>
      <w:pStyle w:val="4"/>
      <w:suff w:val="space"/>
      <w:lvlText w:val=""/>
      <w:lvlJc w:val="left"/>
      <w:pPr>
        <w:ind w:left="0" w:firstLine="0"/>
      </w:pPr>
      <w:rPr>
        <w:rFonts w:hint="eastAsia"/>
      </w:rPr>
    </w:lvl>
    <w:lvl w:ilvl="1" w:tentative="0">
      <w:start w:val="1"/>
      <w:numFmt w:val="koreanDigital2"/>
      <w:suff w:val="space"/>
      <w:lvlText w:val="第%2节"/>
      <w:lvlJc w:val="left"/>
      <w:pPr>
        <w:ind w:left="0" w:firstLine="0"/>
      </w:pPr>
      <w:rPr>
        <w:rFonts w:hint="eastAsia"/>
      </w:rPr>
    </w:lvl>
    <w:lvl w:ilvl="2" w:tentative="0">
      <w:start w:val="1"/>
      <w:numFmt w:val="chineseCountingThousand"/>
      <w:suff w:val="space"/>
      <w:lvlText w:val="%3、"/>
      <w:lvlJc w:val="left"/>
      <w:pPr>
        <w:ind w:left="0" w:firstLine="0"/>
      </w:pPr>
      <w:rPr>
        <w:rFonts w:hint="eastAsia"/>
      </w:rPr>
    </w:lvl>
    <w:lvl w:ilvl="3" w:tentative="0">
      <w:start w:val="1"/>
      <w:numFmt w:val="chineseCountingThousand"/>
      <w:suff w:val="space"/>
      <w:lvlText w:val="%1%4、"/>
      <w:lvlJc w:val="left"/>
      <w:pPr>
        <w:ind w:left="0" w:firstLine="0"/>
      </w:pPr>
      <w:rPr>
        <w:rFonts w:hint="eastAsia"/>
      </w:rPr>
    </w:lvl>
    <w:lvl w:ilvl="4" w:tentative="0">
      <w:start w:val="1"/>
      <w:numFmt w:val="chineseCountingThousand"/>
      <w:suff w:val="space"/>
      <w:lvlText w:val="%1（%5）"/>
      <w:lvlJc w:val="left"/>
      <w:pPr>
        <w:ind w:left="0" w:firstLine="0"/>
      </w:pPr>
      <w:rPr>
        <w:rFonts w:hint="eastAsia"/>
      </w:rPr>
    </w:lvl>
    <w:lvl w:ilvl="5" w:tentative="0">
      <w:start w:val="1"/>
      <w:numFmt w:val="none"/>
      <w:suff w:val="space"/>
      <w:lvlText w:val=""/>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1">
    <w:nsid w:val="C5339A02"/>
    <w:multiLevelType w:val="singleLevel"/>
    <w:tmpl w:val="C5339A02"/>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kMzE3ZDk2MjdkOGQyNjJkNDZlMDIzNmU2MmQzZTMifQ=="/>
    <w:docVar w:name="KSO_WPS_MARK_KEY" w:val="cb430e82-639d-4434-98d8-c53ec0343e59"/>
  </w:docVars>
  <w:rsids>
    <w:rsidRoot w:val="00B03CCD"/>
    <w:rsid w:val="002B254B"/>
    <w:rsid w:val="00550ABE"/>
    <w:rsid w:val="00770383"/>
    <w:rsid w:val="007819D4"/>
    <w:rsid w:val="007B419D"/>
    <w:rsid w:val="009B67B8"/>
    <w:rsid w:val="009D2B67"/>
    <w:rsid w:val="00B03CCD"/>
    <w:rsid w:val="00C20C3E"/>
    <w:rsid w:val="00F73F90"/>
    <w:rsid w:val="01474EBF"/>
    <w:rsid w:val="01B85823"/>
    <w:rsid w:val="01F3521E"/>
    <w:rsid w:val="022B1ABD"/>
    <w:rsid w:val="03571EA4"/>
    <w:rsid w:val="037C35F2"/>
    <w:rsid w:val="03B87EA0"/>
    <w:rsid w:val="03E3214F"/>
    <w:rsid w:val="044C50BA"/>
    <w:rsid w:val="05B83BE6"/>
    <w:rsid w:val="05BC6D49"/>
    <w:rsid w:val="06194FF1"/>
    <w:rsid w:val="06A2550B"/>
    <w:rsid w:val="06F80EE2"/>
    <w:rsid w:val="07001CCA"/>
    <w:rsid w:val="075678DB"/>
    <w:rsid w:val="079D7CC7"/>
    <w:rsid w:val="08051BCA"/>
    <w:rsid w:val="086C12F4"/>
    <w:rsid w:val="08705944"/>
    <w:rsid w:val="08BA052C"/>
    <w:rsid w:val="08DB07BA"/>
    <w:rsid w:val="0969353F"/>
    <w:rsid w:val="098305D0"/>
    <w:rsid w:val="0A3317EA"/>
    <w:rsid w:val="0A5C4B69"/>
    <w:rsid w:val="0A86124A"/>
    <w:rsid w:val="0AB54CC0"/>
    <w:rsid w:val="0B9335CE"/>
    <w:rsid w:val="0BF2311A"/>
    <w:rsid w:val="0C7927C4"/>
    <w:rsid w:val="0C9B098C"/>
    <w:rsid w:val="0D673E11"/>
    <w:rsid w:val="0DDA54E4"/>
    <w:rsid w:val="0E14247A"/>
    <w:rsid w:val="0E3A5F83"/>
    <w:rsid w:val="0F6E4136"/>
    <w:rsid w:val="0F836721"/>
    <w:rsid w:val="0FA25D96"/>
    <w:rsid w:val="107B59E5"/>
    <w:rsid w:val="10EC0126"/>
    <w:rsid w:val="10F70B9A"/>
    <w:rsid w:val="111445C7"/>
    <w:rsid w:val="114278C6"/>
    <w:rsid w:val="1158083A"/>
    <w:rsid w:val="11643A4B"/>
    <w:rsid w:val="11ED0F98"/>
    <w:rsid w:val="11F03528"/>
    <w:rsid w:val="12C921C4"/>
    <w:rsid w:val="13871C70"/>
    <w:rsid w:val="13A71CB4"/>
    <w:rsid w:val="13AF1D43"/>
    <w:rsid w:val="13CE1647"/>
    <w:rsid w:val="13FD55AB"/>
    <w:rsid w:val="14200702"/>
    <w:rsid w:val="14897465"/>
    <w:rsid w:val="159B2A8A"/>
    <w:rsid w:val="163A6CEE"/>
    <w:rsid w:val="173708E3"/>
    <w:rsid w:val="177F3671"/>
    <w:rsid w:val="1796765E"/>
    <w:rsid w:val="17C374FC"/>
    <w:rsid w:val="17F46DE4"/>
    <w:rsid w:val="182E4AB6"/>
    <w:rsid w:val="186B0371"/>
    <w:rsid w:val="189079DC"/>
    <w:rsid w:val="189B0D0B"/>
    <w:rsid w:val="18B43F7C"/>
    <w:rsid w:val="18ED7539"/>
    <w:rsid w:val="194A1770"/>
    <w:rsid w:val="19B906A4"/>
    <w:rsid w:val="19C53F92"/>
    <w:rsid w:val="1B6F15B6"/>
    <w:rsid w:val="1B7D570A"/>
    <w:rsid w:val="1BAA2EDC"/>
    <w:rsid w:val="1CA55E64"/>
    <w:rsid w:val="1CF572D8"/>
    <w:rsid w:val="1D014A01"/>
    <w:rsid w:val="1D022362"/>
    <w:rsid w:val="1D1B04B0"/>
    <w:rsid w:val="1D216DE3"/>
    <w:rsid w:val="1DA52501"/>
    <w:rsid w:val="1DBD6767"/>
    <w:rsid w:val="1DC52125"/>
    <w:rsid w:val="1DD26311"/>
    <w:rsid w:val="1E374ACB"/>
    <w:rsid w:val="1ECF0A66"/>
    <w:rsid w:val="1EF67CA4"/>
    <w:rsid w:val="1F020D3A"/>
    <w:rsid w:val="1F2C5189"/>
    <w:rsid w:val="1F4B0B02"/>
    <w:rsid w:val="1F7D30E2"/>
    <w:rsid w:val="1FBB35CD"/>
    <w:rsid w:val="1FCD26AF"/>
    <w:rsid w:val="20626B78"/>
    <w:rsid w:val="20642787"/>
    <w:rsid w:val="21556F04"/>
    <w:rsid w:val="22403BD3"/>
    <w:rsid w:val="24B92327"/>
    <w:rsid w:val="24C14514"/>
    <w:rsid w:val="2533755C"/>
    <w:rsid w:val="25791755"/>
    <w:rsid w:val="26396DF4"/>
    <w:rsid w:val="27167136"/>
    <w:rsid w:val="271B442C"/>
    <w:rsid w:val="27895B59"/>
    <w:rsid w:val="27B23302"/>
    <w:rsid w:val="29310A5F"/>
    <w:rsid w:val="2969595B"/>
    <w:rsid w:val="29C37A35"/>
    <w:rsid w:val="2A076083"/>
    <w:rsid w:val="2A73162E"/>
    <w:rsid w:val="2B167953"/>
    <w:rsid w:val="2B200583"/>
    <w:rsid w:val="2B8209DE"/>
    <w:rsid w:val="2C636760"/>
    <w:rsid w:val="2C6762A3"/>
    <w:rsid w:val="2EC0789A"/>
    <w:rsid w:val="2FCA4B37"/>
    <w:rsid w:val="2FE029D7"/>
    <w:rsid w:val="2FF06E00"/>
    <w:rsid w:val="2FF45527"/>
    <w:rsid w:val="30586FEC"/>
    <w:rsid w:val="30CB76E0"/>
    <w:rsid w:val="315961FB"/>
    <w:rsid w:val="315F0B22"/>
    <w:rsid w:val="31D84415"/>
    <w:rsid w:val="32285F6F"/>
    <w:rsid w:val="32770556"/>
    <w:rsid w:val="329C0913"/>
    <w:rsid w:val="32AA0460"/>
    <w:rsid w:val="3337290D"/>
    <w:rsid w:val="33E31118"/>
    <w:rsid w:val="33EF7674"/>
    <w:rsid w:val="342D7BC6"/>
    <w:rsid w:val="34E873B2"/>
    <w:rsid w:val="352930DB"/>
    <w:rsid w:val="35573069"/>
    <w:rsid w:val="355F6038"/>
    <w:rsid w:val="358C217E"/>
    <w:rsid w:val="35B92531"/>
    <w:rsid w:val="36C9128A"/>
    <w:rsid w:val="37841E99"/>
    <w:rsid w:val="37B03D32"/>
    <w:rsid w:val="37BF1123"/>
    <w:rsid w:val="383C3F15"/>
    <w:rsid w:val="38BE4696"/>
    <w:rsid w:val="3939115E"/>
    <w:rsid w:val="39B82A39"/>
    <w:rsid w:val="39C42CA8"/>
    <w:rsid w:val="39DC4FD6"/>
    <w:rsid w:val="39F03D7A"/>
    <w:rsid w:val="39F33306"/>
    <w:rsid w:val="3A2C1C67"/>
    <w:rsid w:val="3ADD7F09"/>
    <w:rsid w:val="3B1705E5"/>
    <w:rsid w:val="3B18334B"/>
    <w:rsid w:val="3B36794F"/>
    <w:rsid w:val="3B6F6EE0"/>
    <w:rsid w:val="3BC9672E"/>
    <w:rsid w:val="3C566AD6"/>
    <w:rsid w:val="3C594871"/>
    <w:rsid w:val="3C6A5B02"/>
    <w:rsid w:val="3D2757A1"/>
    <w:rsid w:val="3D3D4FC4"/>
    <w:rsid w:val="3DDF3AB1"/>
    <w:rsid w:val="3E1D0952"/>
    <w:rsid w:val="3E271B90"/>
    <w:rsid w:val="3E42660A"/>
    <w:rsid w:val="3E7555B1"/>
    <w:rsid w:val="3E787ED9"/>
    <w:rsid w:val="3F032E93"/>
    <w:rsid w:val="3F0527E5"/>
    <w:rsid w:val="3F694D83"/>
    <w:rsid w:val="3F885DCC"/>
    <w:rsid w:val="3FCD675E"/>
    <w:rsid w:val="4004000C"/>
    <w:rsid w:val="40BD5482"/>
    <w:rsid w:val="411B6CE5"/>
    <w:rsid w:val="412070D7"/>
    <w:rsid w:val="41314E40"/>
    <w:rsid w:val="41E0734B"/>
    <w:rsid w:val="426C1EA8"/>
    <w:rsid w:val="42736402"/>
    <w:rsid w:val="42E86A87"/>
    <w:rsid w:val="43307B09"/>
    <w:rsid w:val="439A3EB9"/>
    <w:rsid w:val="43BB152F"/>
    <w:rsid w:val="44C37687"/>
    <w:rsid w:val="453E3FCF"/>
    <w:rsid w:val="45CB699A"/>
    <w:rsid w:val="465B470D"/>
    <w:rsid w:val="469D6AD4"/>
    <w:rsid w:val="46ED2CEF"/>
    <w:rsid w:val="471E6C84"/>
    <w:rsid w:val="4748792B"/>
    <w:rsid w:val="475D719D"/>
    <w:rsid w:val="47674801"/>
    <w:rsid w:val="48225EF7"/>
    <w:rsid w:val="488F422B"/>
    <w:rsid w:val="48E36915"/>
    <w:rsid w:val="48EB6572"/>
    <w:rsid w:val="495C4A24"/>
    <w:rsid w:val="495F07B0"/>
    <w:rsid w:val="497135DF"/>
    <w:rsid w:val="4A263DF2"/>
    <w:rsid w:val="4A6F6675"/>
    <w:rsid w:val="4A871007"/>
    <w:rsid w:val="4B135857"/>
    <w:rsid w:val="4B78163E"/>
    <w:rsid w:val="4B7951CB"/>
    <w:rsid w:val="4B7C315C"/>
    <w:rsid w:val="4DAC4ACA"/>
    <w:rsid w:val="4DBE01D2"/>
    <w:rsid w:val="4E051ADE"/>
    <w:rsid w:val="4F0C6BA3"/>
    <w:rsid w:val="4F186D58"/>
    <w:rsid w:val="50F06B6E"/>
    <w:rsid w:val="51051862"/>
    <w:rsid w:val="51D21804"/>
    <w:rsid w:val="52234D33"/>
    <w:rsid w:val="522F6E0C"/>
    <w:rsid w:val="52463BA1"/>
    <w:rsid w:val="524B165F"/>
    <w:rsid w:val="52F163D4"/>
    <w:rsid w:val="531A2DB4"/>
    <w:rsid w:val="53C0244D"/>
    <w:rsid w:val="53DD4D4E"/>
    <w:rsid w:val="53E578CE"/>
    <w:rsid w:val="541330F0"/>
    <w:rsid w:val="54272666"/>
    <w:rsid w:val="543B029D"/>
    <w:rsid w:val="54861779"/>
    <w:rsid w:val="552256E1"/>
    <w:rsid w:val="554E5773"/>
    <w:rsid w:val="555A3CBC"/>
    <w:rsid w:val="5582012B"/>
    <w:rsid w:val="558E4E05"/>
    <w:rsid w:val="55BE2E85"/>
    <w:rsid w:val="55DB68A7"/>
    <w:rsid w:val="56530F5D"/>
    <w:rsid w:val="567700D3"/>
    <w:rsid w:val="56FF7E9E"/>
    <w:rsid w:val="5710464C"/>
    <w:rsid w:val="578511D8"/>
    <w:rsid w:val="578867FC"/>
    <w:rsid w:val="5842572D"/>
    <w:rsid w:val="59D73990"/>
    <w:rsid w:val="5A3B59D6"/>
    <w:rsid w:val="5AD134D8"/>
    <w:rsid w:val="5AD51448"/>
    <w:rsid w:val="5C263CE4"/>
    <w:rsid w:val="5C5D2777"/>
    <w:rsid w:val="5CF66BF3"/>
    <w:rsid w:val="5D290C69"/>
    <w:rsid w:val="5F2D4A41"/>
    <w:rsid w:val="60C74F6C"/>
    <w:rsid w:val="60F9710D"/>
    <w:rsid w:val="61025A59"/>
    <w:rsid w:val="613D5BBC"/>
    <w:rsid w:val="61536C39"/>
    <w:rsid w:val="62944DD7"/>
    <w:rsid w:val="6319381F"/>
    <w:rsid w:val="63C25DC5"/>
    <w:rsid w:val="63C62057"/>
    <w:rsid w:val="64571EF5"/>
    <w:rsid w:val="64E90C62"/>
    <w:rsid w:val="64FB113D"/>
    <w:rsid w:val="656152C6"/>
    <w:rsid w:val="6587477F"/>
    <w:rsid w:val="658C3A08"/>
    <w:rsid w:val="65C031CA"/>
    <w:rsid w:val="65CE6852"/>
    <w:rsid w:val="66267C04"/>
    <w:rsid w:val="663F505A"/>
    <w:rsid w:val="66EE5541"/>
    <w:rsid w:val="66EF6A80"/>
    <w:rsid w:val="67924660"/>
    <w:rsid w:val="67FB0754"/>
    <w:rsid w:val="68407834"/>
    <w:rsid w:val="6883293E"/>
    <w:rsid w:val="688412AD"/>
    <w:rsid w:val="68EB1B71"/>
    <w:rsid w:val="6A09156C"/>
    <w:rsid w:val="6A6C7940"/>
    <w:rsid w:val="6AAD2300"/>
    <w:rsid w:val="6B474EF5"/>
    <w:rsid w:val="6C0A5AC5"/>
    <w:rsid w:val="6C560CAE"/>
    <w:rsid w:val="6C576495"/>
    <w:rsid w:val="6D903FF5"/>
    <w:rsid w:val="6DA955B8"/>
    <w:rsid w:val="6DE346AB"/>
    <w:rsid w:val="6DE5391A"/>
    <w:rsid w:val="6EFD1324"/>
    <w:rsid w:val="6F5A53AC"/>
    <w:rsid w:val="6FAC003D"/>
    <w:rsid w:val="6FE55E12"/>
    <w:rsid w:val="6FFB2E76"/>
    <w:rsid w:val="708F6F7F"/>
    <w:rsid w:val="70D94BD3"/>
    <w:rsid w:val="71C34D91"/>
    <w:rsid w:val="72DB435C"/>
    <w:rsid w:val="72E2613A"/>
    <w:rsid w:val="72F771F4"/>
    <w:rsid w:val="73934AD2"/>
    <w:rsid w:val="750837F0"/>
    <w:rsid w:val="754758CF"/>
    <w:rsid w:val="764F62AB"/>
    <w:rsid w:val="765C45EC"/>
    <w:rsid w:val="768A7619"/>
    <w:rsid w:val="772E1EBA"/>
    <w:rsid w:val="781926BC"/>
    <w:rsid w:val="796D60A4"/>
    <w:rsid w:val="79A031D5"/>
    <w:rsid w:val="7A1525F7"/>
    <w:rsid w:val="7B420052"/>
    <w:rsid w:val="7BD06A28"/>
    <w:rsid w:val="7C3A7C0B"/>
    <w:rsid w:val="7C5248E4"/>
    <w:rsid w:val="7C566698"/>
    <w:rsid w:val="7C5866A3"/>
    <w:rsid w:val="7D6513F2"/>
    <w:rsid w:val="7D7406BB"/>
    <w:rsid w:val="7D7B38D6"/>
    <w:rsid w:val="7DE94331"/>
    <w:rsid w:val="7E202625"/>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paragraph" w:styleId="4">
    <w:name w:val="heading 1"/>
    <w:basedOn w:val="1"/>
    <w:next w:val="1"/>
    <w:qFormat/>
    <w:uiPriority w:val="0"/>
    <w:pPr>
      <w:numPr>
        <w:ilvl w:val="0"/>
        <w:numId w:val="1"/>
      </w:numPr>
      <w:spacing w:line="540" w:lineRule="exact"/>
      <w:jc w:val="center"/>
      <w:outlineLvl w:val="0"/>
    </w:pPr>
    <w:rPr>
      <w:rFonts w:ascii="Times New Roman" w:hAnsi="Times New Roman" w:eastAsia="方正小标宋_GBK" w:cs="Times New Roman"/>
      <w:b/>
      <w:bCs/>
      <w:kern w:val="44"/>
      <w:sz w:val="44"/>
      <w:szCs w:val="44"/>
    </w:rPr>
  </w:style>
  <w:style w:type="character" w:default="1" w:styleId="11">
    <w:name w:val="Default Paragraph Font"/>
    <w:semiHidden/>
    <w:unhideWhenUsed/>
    <w:qFormat/>
    <w:uiPriority w:val="1"/>
  </w:style>
  <w:style w:type="table" w:default="1" w:styleId="13">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5">
    <w:name w:val="Body Text First Indent"/>
    <w:basedOn w:val="2"/>
    <w:qFormat/>
    <w:uiPriority w:val="0"/>
    <w:pPr>
      <w:ind w:firstLine="420" w:firstLineChars="100"/>
    </w:pPr>
  </w:style>
  <w:style w:type="paragraph" w:styleId="6">
    <w:name w:val="Balloon Text"/>
    <w:basedOn w:val="1"/>
    <w:link w:val="19"/>
    <w:qFormat/>
    <w:uiPriority w:val="0"/>
    <w:rPr>
      <w:sz w:val="18"/>
      <w:szCs w:val="18"/>
    </w:rPr>
  </w:style>
  <w:style w:type="paragraph" w:styleId="7">
    <w:name w:val="footer"/>
    <w:basedOn w:val="1"/>
    <w:qFormat/>
    <w:uiPriority w:val="0"/>
    <w:pPr>
      <w:tabs>
        <w:tab w:val="center" w:pos="4153"/>
        <w:tab w:val="right" w:pos="8306"/>
      </w:tabs>
      <w:snapToGrid w:val="0"/>
    </w:pPr>
    <w:rPr>
      <w:sz w:val="18"/>
      <w:szCs w:val="18"/>
    </w:rPr>
  </w:style>
  <w:style w:type="paragraph" w:styleId="8">
    <w:name w:val="header"/>
    <w:basedOn w:val="1"/>
    <w:qFormat/>
    <w:uiPriority w:val="0"/>
    <w:pPr>
      <w:tabs>
        <w:tab w:val="center" w:pos="4153"/>
        <w:tab w:val="right" w:pos="8306"/>
      </w:tabs>
      <w:snapToGrid w:val="0"/>
      <w:jc w:val="center"/>
    </w:pPr>
    <w:rPr>
      <w:sz w:val="18"/>
      <w:szCs w:val="18"/>
    </w:rPr>
  </w:style>
  <w:style w:type="paragraph" w:styleId="9">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10">
    <w:name w:val="Normal (Web)"/>
    <w:basedOn w:val="1"/>
    <w:unhideWhenUsed/>
    <w:qFormat/>
    <w:uiPriority w:val="0"/>
    <w:pPr>
      <w:spacing w:before="100" w:beforeAutospacing="1" w:after="100" w:afterAutospacing="1"/>
    </w:pPr>
  </w:style>
  <w:style w:type="character" w:styleId="12">
    <w:name w:val="Strong"/>
    <w:qFormat/>
    <w:uiPriority w:val="0"/>
    <w:rPr>
      <w:b/>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5">
    <w:name w:val="列出段落1"/>
    <w:basedOn w:val="1"/>
    <w:qFormat/>
    <w:uiPriority w:val="99"/>
    <w:pPr>
      <w:ind w:firstLine="420" w:firstLineChars="200"/>
    </w:pPr>
    <w:rPr>
      <w:rFonts w:hint="default"/>
    </w:rPr>
  </w:style>
  <w:style w:type="paragraph" w:customStyle="1" w:styleId="16">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7">
    <w:name w:val="21"/>
    <w:qFormat/>
    <w:uiPriority w:val="0"/>
    <w:rPr>
      <w:rFonts w:hint="default" w:ascii="Wingdings" w:hAnsi="Wingdings" w:cs="Wingdings"/>
      <w:b/>
      <w:bCs/>
    </w:rPr>
  </w:style>
  <w:style w:type="paragraph" w:customStyle="1" w:styleId="18">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9">
    <w:name w:val="批注框文本 Char"/>
    <w:basedOn w:val="11"/>
    <w:link w:val="6"/>
    <w:qFormat/>
    <w:uiPriority w:val="0"/>
    <w:rPr>
      <w:rFonts w:ascii="宋体" w:hAnsi="宋体"/>
      <w:sz w:val="18"/>
      <w:szCs w:val="18"/>
    </w:rPr>
  </w:style>
  <w:style w:type="paragraph" w:styleId="2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8373</Words>
  <Characters>9990</Characters>
  <Lines>190</Lines>
  <Paragraphs>53</Paragraphs>
  <TotalTime>1</TotalTime>
  <ScaleCrop>false</ScaleCrop>
  <LinksUpToDate>false</LinksUpToDate>
  <CharactersWithSpaces>11009</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Administrator</cp:lastModifiedBy>
  <dcterms:modified xsi:type="dcterms:W3CDTF">2024-12-23T07:54:56Z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0D0381053F8E41CEADCD44E355B12F00</vt:lpwstr>
  </property>
</Properties>
</file>