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Style w:val="11"/>
          <w:rFonts w:hint="eastAsia" w:ascii="方正小标宋_GBK" w:hAnsi="方正小标宋_GBK" w:eastAsia="方正小标宋_GBK" w:cs="方正小标宋_GBK"/>
          <w:b w:val="0"/>
          <w:bCs/>
          <w:spacing w:val="-20"/>
          <w:kern w:val="0"/>
          <w:sz w:val="44"/>
          <w:szCs w:val="44"/>
          <w:shd w:val="clear" w:color="auto" w:fill="FFFFFF"/>
          <w:lang w:bidi="ar"/>
        </w:rPr>
      </w:pPr>
      <w:r>
        <w:rPr>
          <w:rStyle w:val="11"/>
          <w:rFonts w:hint="eastAsia" w:ascii="方正小标宋_GBK" w:hAnsi="方正小标宋_GBK" w:eastAsia="方正小标宋_GBK" w:cs="方正小标宋_GBK"/>
          <w:b w:val="0"/>
          <w:bCs/>
          <w:spacing w:val="-20"/>
          <w:kern w:val="0"/>
          <w:sz w:val="44"/>
          <w:szCs w:val="44"/>
          <w:shd w:val="clear" w:color="auto" w:fill="FFFFFF"/>
          <w:lang w:bidi="ar"/>
        </w:rPr>
        <w:t>重庆市秀山土家族苗族自治县宋农镇卫生</w:t>
      </w:r>
      <w:r>
        <w:rPr>
          <w:rStyle w:val="11"/>
          <w:rFonts w:hint="eastAsia" w:ascii="方正小标宋_GBK" w:hAnsi="方正小标宋_GBK" w:eastAsia="方正小标宋_GBK" w:cs="方正小标宋_GBK"/>
          <w:b w:val="0"/>
          <w:bCs/>
          <w:spacing w:val="-20"/>
          <w:kern w:val="0"/>
          <w:sz w:val="44"/>
          <w:szCs w:val="44"/>
          <w:shd w:val="clear" w:color="auto" w:fill="FFFFFF"/>
          <w:lang w:eastAsia="zh-CN" w:bidi="ar"/>
        </w:rPr>
        <w:t>院</w:t>
      </w:r>
      <w:r>
        <w:rPr>
          <w:rStyle w:val="11"/>
          <w:rFonts w:hint="eastAsia" w:ascii="方正小标宋_GBK" w:hAnsi="方正小标宋_GBK" w:eastAsia="方正小标宋_GBK" w:cs="方正小标宋_GBK"/>
          <w:b w:val="0"/>
          <w:bCs/>
          <w:spacing w:val="-20"/>
          <w:kern w:val="0"/>
          <w:sz w:val="44"/>
          <w:szCs w:val="44"/>
          <w:shd w:val="clear" w:color="auto" w:fill="FFFFFF"/>
          <w:lang w:bidi="ar"/>
        </w:rPr>
        <w:t>202</w:t>
      </w:r>
      <w:r>
        <w:rPr>
          <w:rStyle w:val="11"/>
          <w:rFonts w:hint="eastAsia" w:ascii="方正小标宋_GBK" w:hAnsi="方正小标宋_GBK" w:eastAsia="方正小标宋_GBK" w:cs="方正小标宋_GBK"/>
          <w:b w:val="0"/>
          <w:bCs/>
          <w:spacing w:val="-20"/>
          <w:kern w:val="0"/>
          <w:sz w:val="44"/>
          <w:szCs w:val="44"/>
          <w:shd w:val="clear" w:color="auto" w:fill="FFFFFF"/>
          <w:lang w:val="en-US" w:eastAsia="zh-CN" w:bidi="ar"/>
        </w:rPr>
        <w:t>3</w:t>
      </w:r>
      <w:r>
        <w:rPr>
          <w:rStyle w:val="11"/>
          <w:rFonts w:hint="eastAsia" w:ascii="方正小标宋_GBK" w:hAnsi="方正小标宋_GBK" w:eastAsia="方正小标宋_GBK" w:cs="方正小标宋_GBK"/>
          <w:b w:val="0"/>
          <w:bCs/>
          <w:spacing w:val="-20"/>
          <w:kern w:val="0"/>
          <w:sz w:val="44"/>
          <w:szCs w:val="44"/>
          <w:shd w:val="clear" w:color="auto" w:fill="FFFFFF"/>
          <w:lang w:bidi="ar"/>
        </w:rPr>
        <w:t>年度决算</w:t>
      </w:r>
      <w:r>
        <w:rPr>
          <w:rStyle w:val="11"/>
          <w:rFonts w:hint="eastAsia" w:ascii="方正小标宋_GBK" w:hAnsi="方正小标宋_GBK" w:eastAsia="方正小标宋_GBK" w:cs="方正小标宋_GBK"/>
          <w:b w:val="0"/>
          <w:bCs/>
          <w:spacing w:val="-20"/>
          <w:kern w:val="0"/>
          <w:sz w:val="44"/>
          <w:szCs w:val="44"/>
          <w:shd w:val="clear" w:color="auto" w:fill="FFFFFF"/>
          <w:lang w:eastAsia="zh-CN" w:bidi="ar"/>
        </w:rPr>
        <w:t>公开</w:t>
      </w:r>
      <w:r>
        <w:rPr>
          <w:rStyle w:val="11"/>
          <w:rFonts w:hint="eastAsia" w:ascii="方正小标宋_GBK" w:hAnsi="方正小标宋_GBK" w:eastAsia="方正小标宋_GBK" w:cs="方正小标宋_GBK"/>
          <w:b w:val="0"/>
          <w:bCs/>
          <w:spacing w:val="-20"/>
          <w:kern w:val="0"/>
          <w:sz w:val="44"/>
          <w:szCs w:val="44"/>
          <w:shd w:val="clear" w:color="auto" w:fill="FFFFFF"/>
          <w:lang w:bidi="ar"/>
        </w:rPr>
        <w:t>说明</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outlineLvl w:val="9"/>
        <w:rPr>
          <w:rStyle w:val="11"/>
          <w:rFonts w:hint="eastAsia" w:ascii="方正小标宋_GBK" w:hAnsi="方正小标宋_GBK" w:eastAsia="方正小标宋_GBK" w:cs="方正小标宋_GBK"/>
          <w:b w:val="0"/>
          <w:bCs/>
          <w:spacing w:val="-20"/>
          <w:kern w:val="0"/>
          <w:sz w:val="44"/>
          <w:szCs w:val="44"/>
          <w:shd w:val="clear" w:color="auto" w:fill="FFFFFF"/>
          <w:lang w:bidi="ar"/>
        </w:rPr>
      </w:pP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方正黑体_GBK" w:hAnsi="方正黑体_GBK" w:eastAsia="方正黑体_GBK" w:cs="方正黑体_GBK"/>
          <w:kern w:val="2"/>
          <w:sz w:val="32"/>
          <w:szCs w:val="32"/>
          <w:highlight w:val="none"/>
          <w:lang w:eastAsia="zh-CN"/>
        </w:rPr>
      </w:pPr>
      <w:r>
        <w:rPr>
          <w:rFonts w:hint="eastAsia" w:ascii="方正黑体_GBK" w:hAnsi="方正黑体_GBK" w:eastAsia="方正黑体_GBK" w:cs="方正黑体_GBK"/>
          <w:kern w:val="2"/>
          <w:sz w:val="32"/>
          <w:szCs w:val="32"/>
          <w:highlight w:val="none"/>
          <w:lang w:eastAsia="zh-CN"/>
        </w:rPr>
        <w:t>一、单位基本情况</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楷体_GBK" w:hAnsi="方正楷体_GBK" w:eastAsia="方正楷体_GBK" w:cs="方正楷体_GBK"/>
          <w:kern w:val="2"/>
          <w:sz w:val="32"/>
          <w:szCs w:val="32"/>
          <w:highlight w:val="none"/>
          <w:lang w:eastAsia="zh-CN"/>
        </w:rPr>
      </w:pPr>
      <w:r>
        <w:rPr>
          <w:rFonts w:hint="eastAsia" w:ascii="方正楷体_GBK" w:hAnsi="方正楷体_GBK" w:eastAsia="方正楷体_GBK" w:cs="方正楷体_GBK"/>
          <w:kern w:val="2"/>
          <w:sz w:val="32"/>
          <w:szCs w:val="32"/>
          <w:highlight w:val="none"/>
          <w:lang w:eastAsia="zh-CN"/>
        </w:rPr>
        <w:t>（一）职能职责</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eastAsia" w:ascii="Times New Roman" w:hAnsi="Times New Roman" w:eastAsia="方正仿宋_GBK" w:cs="方正仿宋_GBK"/>
          <w:kern w:val="2"/>
          <w:sz w:val="32"/>
          <w:szCs w:val="32"/>
          <w:highlight w:val="none"/>
          <w:lang w:eastAsia="zh-CN"/>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Times New Roman" w:hAnsi="Times New Roman" w:eastAsia="方正仿宋_GBK" w:cs="方正仿宋_GBK"/>
          <w:kern w:val="2"/>
          <w:sz w:val="32"/>
          <w:szCs w:val="32"/>
          <w:highlight w:val="none"/>
          <w:lang w:eastAsia="zh-CN"/>
        </w:rPr>
      </w:pPr>
      <w:r>
        <w:rPr>
          <w:rFonts w:hint="eastAsia" w:ascii="Times New Roman" w:hAnsi="Times New Roman" w:eastAsia="方正仿宋_GBK" w:cs="方正仿宋_GBK"/>
          <w:kern w:val="2"/>
          <w:sz w:val="32"/>
          <w:szCs w:val="32"/>
          <w:highlight w:val="none"/>
          <w:lang w:eastAsia="zh-CN"/>
        </w:rPr>
        <w:t>1.根据国家和本市规定收集、报送辖区内卫生健康信息，建立和管理居民健康档案，提出改进辖区公共卫生状况的建议；</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2</w:t>
      </w:r>
      <w:r>
        <w:rPr>
          <w:rFonts w:hint="eastAsia" w:ascii="Times New Roman" w:hAnsi="Times New Roman" w:eastAsia="方正仿宋_GBK" w:cs="方正仿宋_GBK"/>
          <w:kern w:val="2"/>
          <w:sz w:val="32"/>
          <w:szCs w:val="32"/>
          <w:highlight w:val="none"/>
          <w:lang w:eastAsia="zh-CN"/>
        </w:rPr>
        <w:t>.开展健康教育，普及健康知识；</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3.</w:t>
      </w:r>
      <w:r>
        <w:rPr>
          <w:rFonts w:hint="eastAsia" w:ascii="Times New Roman" w:hAnsi="Times New Roman" w:eastAsia="方正仿宋_GBK" w:cs="方正仿宋_GBK"/>
          <w:kern w:val="2"/>
          <w:sz w:val="32"/>
          <w:szCs w:val="32"/>
          <w:highlight w:val="none"/>
          <w:lang w:eastAsia="zh-CN"/>
        </w:rPr>
        <w:t>协助开展传染病以及地方病、寄生虫病的预防控制， 配合开展爱国卫生工作；</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4.</w:t>
      </w:r>
      <w:r>
        <w:rPr>
          <w:rFonts w:hint="eastAsia" w:ascii="Times New Roman" w:hAnsi="Times New Roman" w:eastAsia="方正仿宋_GBK" w:cs="方正仿宋_GBK"/>
          <w:kern w:val="2"/>
          <w:sz w:val="32"/>
          <w:szCs w:val="32"/>
          <w:highlight w:val="none"/>
          <w:lang w:eastAsia="zh-CN"/>
        </w:rPr>
        <w:t>做好高危人群、重点慢性病患者的筛查和病例管理；</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5.</w:t>
      </w:r>
      <w:r>
        <w:rPr>
          <w:rFonts w:hint="eastAsia" w:ascii="Times New Roman" w:hAnsi="Times New Roman" w:eastAsia="方正仿宋_GBK" w:cs="方正仿宋_GBK"/>
          <w:kern w:val="2"/>
          <w:sz w:val="32"/>
          <w:szCs w:val="32"/>
          <w:highlight w:val="none"/>
          <w:lang w:eastAsia="zh-CN"/>
        </w:rPr>
        <w:t>提供心理健康指导服务，实施精神病社区管理；</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6</w:t>
      </w:r>
      <w:r>
        <w:rPr>
          <w:rFonts w:hint="eastAsia" w:ascii="Times New Roman" w:hAnsi="Times New Roman" w:eastAsia="方正仿宋_GBK" w:cs="方正仿宋_GBK"/>
          <w:kern w:val="2"/>
          <w:sz w:val="32"/>
          <w:szCs w:val="32"/>
          <w:highlight w:val="none"/>
          <w:lang w:eastAsia="zh-CN"/>
        </w:rPr>
        <w:t>.为妇女、儿童、老年人、残疾人等重点人群提供保健和康复服务；</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7.</w:t>
      </w:r>
      <w:r>
        <w:rPr>
          <w:rFonts w:hint="eastAsia" w:ascii="Times New Roman" w:hAnsi="Times New Roman" w:eastAsia="方正仿宋_GBK" w:cs="方正仿宋_GBK"/>
          <w:kern w:val="2"/>
          <w:sz w:val="32"/>
          <w:szCs w:val="32"/>
          <w:highlight w:val="none"/>
          <w:lang w:eastAsia="zh-CN"/>
        </w:rPr>
        <w:t>提供计划生育技术服务，协助处置辖区内突发公共卫生事件等；</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Times New Roman" w:hAnsi="Times New Roman" w:eastAsia="方正仿宋_GBK" w:cs="方正仿宋_GBK"/>
          <w:kern w:val="2"/>
          <w:sz w:val="32"/>
          <w:szCs w:val="32"/>
          <w:highlight w:val="none"/>
          <w:lang w:eastAsia="zh-CN"/>
        </w:rPr>
      </w:pPr>
      <w:r>
        <w:rPr>
          <w:rFonts w:hint="default" w:ascii="Times New Roman" w:hAnsi="Times New Roman" w:eastAsia="方正仿宋_GBK" w:cs="方正仿宋_GBK"/>
          <w:kern w:val="2"/>
          <w:sz w:val="32"/>
          <w:szCs w:val="32"/>
          <w:highlight w:val="none"/>
          <w:lang w:eastAsia="zh-CN"/>
        </w:rPr>
        <w:t>8.</w:t>
      </w:r>
      <w:r>
        <w:rPr>
          <w:rFonts w:hint="eastAsia" w:ascii="Times New Roman" w:hAnsi="Times New Roman" w:eastAsia="方正仿宋_GBK" w:cs="方正仿宋_GBK"/>
          <w:kern w:val="2"/>
          <w:sz w:val="32"/>
          <w:szCs w:val="32"/>
          <w:highlight w:val="none"/>
          <w:lang w:eastAsia="zh-CN"/>
        </w:rPr>
        <w:t>按要求提供其他公共卫生服务。</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楷体_GBK" w:hAnsi="方正楷体_GBK" w:eastAsia="方正楷体_GBK" w:cs="方正楷体_GBK"/>
          <w:kern w:val="2"/>
          <w:sz w:val="32"/>
          <w:szCs w:val="32"/>
          <w:highlight w:val="none"/>
        </w:rPr>
      </w:pPr>
      <w:r>
        <w:rPr>
          <w:rFonts w:hint="eastAsia" w:ascii="方正楷体_GBK" w:hAnsi="方正楷体_GBK" w:eastAsia="方正楷体_GBK" w:cs="方正楷体_GBK"/>
          <w:kern w:val="2"/>
          <w:sz w:val="32"/>
          <w:szCs w:val="32"/>
          <w:highlight w:val="none"/>
        </w:rPr>
        <w:t>（二）机构设置</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仿宋_GBK" w:hAnsi="方正仿宋_GBK" w:eastAsia="方正仿宋_GBK" w:cs="方正仿宋_GBK"/>
          <w:kern w:val="2"/>
          <w:sz w:val="32"/>
          <w:szCs w:val="32"/>
          <w:highlight w:val="none"/>
        </w:rPr>
      </w:pPr>
      <w:r>
        <w:rPr>
          <w:rFonts w:hint="eastAsia" w:ascii="方正仿宋_GBK" w:hAnsi="方正仿宋_GBK" w:eastAsia="方正仿宋_GBK" w:cs="方正仿宋_GBK"/>
          <w:kern w:val="2"/>
          <w:sz w:val="32"/>
          <w:szCs w:val="32"/>
          <w:highlight w:val="none"/>
        </w:rPr>
        <w:t>本单位为秀山县卫生健康委员会二级预算单位，无下级预算单位。</w:t>
      </w:r>
      <w:r>
        <w:rPr>
          <w:rFonts w:hint="eastAsia" w:ascii="方正仿宋_GBK" w:hAnsi="方正仿宋_GBK" w:eastAsia="方正仿宋_GBK" w:cs="方正仿宋_GBK"/>
          <w:kern w:val="2"/>
          <w:sz w:val="32"/>
          <w:szCs w:val="32"/>
          <w:highlight w:val="none"/>
          <w:lang w:eastAsia="zh-CN"/>
        </w:rPr>
        <w:t>本单位</w:t>
      </w:r>
      <w:r>
        <w:rPr>
          <w:rFonts w:hint="eastAsia" w:ascii="方正仿宋_GBK" w:hAnsi="方正仿宋_GBK" w:eastAsia="方正仿宋_GBK" w:cs="方正仿宋_GBK"/>
          <w:kern w:val="2"/>
          <w:sz w:val="32"/>
          <w:szCs w:val="32"/>
          <w:highlight w:val="none"/>
        </w:rPr>
        <w:t>下设办公室、财务科、门诊部、中医科、医技科、库房、药房、收费室、综合住院部。</w:t>
      </w:r>
    </w:p>
    <w:p>
      <w:pPr>
        <w:pStyle w:val="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9"/>
          <w:rFonts w:hint="eastAsia" w:cs="宋体"/>
          <w:b w:val="0"/>
          <w:bCs/>
          <w:sz w:val="32"/>
          <w:szCs w:val="32"/>
          <w:shd w:val="clear" w:color="auto" w:fill="FFFFFF"/>
        </w:rPr>
      </w:pPr>
      <w:r>
        <w:rPr>
          <w:rStyle w:val="19"/>
          <w:rFonts w:hint="eastAsia" w:ascii="方正黑体_GBK" w:hAnsi="方正黑体_GBK" w:eastAsia="方正黑体_GBK" w:cs="方正黑体_GBK"/>
          <w:b w:val="0"/>
          <w:bCs/>
          <w:sz w:val="32"/>
          <w:szCs w:val="32"/>
          <w:shd w:val="clear" w:color="auto" w:fill="FFFFFF"/>
          <w:lang w:eastAsia="zh-CN"/>
        </w:rPr>
        <w:t>单位</w:t>
      </w:r>
      <w:r>
        <w:rPr>
          <w:rStyle w:val="19"/>
          <w:rFonts w:hint="eastAsia" w:ascii="方正黑体_GBK" w:hAnsi="方正黑体_GBK" w:eastAsia="方正黑体_GBK" w:cs="方正黑体_GBK"/>
          <w:b w:val="0"/>
          <w:bCs/>
          <w:sz w:val="32"/>
          <w:szCs w:val="32"/>
          <w:shd w:val="clear" w:color="auto" w:fill="FFFFFF"/>
        </w:rPr>
        <w:t>决算情况说明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bCs/>
          <w:sz w:val="32"/>
          <w:szCs w:val="32"/>
        </w:rPr>
      </w:pPr>
      <w:r>
        <w:rPr>
          <w:rStyle w:val="19"/>
          <w:rFonts w:hint="eastAsia" w:ascii="方正楷体_GBK" w:hAnsi="方正楷体_GBK" w:eastAsia="方正楷体_GBK" w:cs="方正楷体_GBK"/>
          <w:b w:val="0"/>
          <w:bCs/>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auto"/>
          <w:sz w:val="32"/>
          <w:szCs w:val="32"/>
        </w:rPr>
      </w:pPr>
      <w:r>
        <w:rPr>
          <w:rStyle w:val="19"/>
          <w:rFonts w:hint="default" w:ascii="Times New Roman" w:hAnsi="Times New Roman" w:eastAsia="方正楷体_GBK" w:cs="Times New Roman"/>
          <w:b w:val="0"/>
          <w:bCs/>
          <w:color w:val="auto"/>
          <w:sz w:val="32"/>
          <w:szCs w:val="32"/>
          <w:shd w:val="clear" w:color="auto" w:fill="FFFFFF"/>
        </w:rPr>
        <w:t>1.</w:t>
      </w:r>
      <w:r>
        <w:rPr>
          <w:rStyle w:val="19"/>
          <w:rFonts w:hint="eastAsia" w:ascii="方正楷体_GBK" w:hAnsi="方正楷体_GBK" w:eastAsia="方正楷体_GBK" w:cs="方正楷体_GBK"/>
          <w:b w:val="0"/>
          <w:bCs/>
          <w:color w:val="auto"/>
          <w:sz w:val="32"/>
          <w:szCs w:val="32"/>
          <w:shd w:val="clear" w:color="auto" w:fill="FFFFFF"/>
        </w:rPr>
        <w:t>总体情况</w:t>
      </w:r>
      <w:r>
        <w:rPr>
          <w:color w:val="auto"/>
          <w:sz w:val="32"/>
          <w:szCs w:val="32"/>
          <w:shd w:val="clear" w:color="auto" w:fill="FFFFFF"/>
        </w:rPr>
        <w:t>。</w:t>
      </w:r>
      <w:r>
        <w:rPr>
          <w:rFonts w:hint="default" w:ascii="Times New Roman" w:hAnsi="Times New Roman" w:eastAsia="方正仿宋_GBK" w:cs="Times New Roman"/>
          <w:color w:val="auto"/>
          <w:sz w:val="32"/>
          <w:szCs w:val="32"/>
          <w:shd w:val="clear" w:color="auto" w:fill="FFFFFF"/>
        </w:rPr>
        <w:t>2023</w:t>
      </w:r>
      <w:r>
        <w:rPr>
          <w:rFonts w:ascii="方正仿宋_GBK" w:hAnsi="方正仿宋_GBK" w:eastAsia="方正仿宋_GBK" w:cs="方正仿宋_GBK"/>
          <w:color w:val="auto"/>
          <w:sz w:val="32"/>
          <w:szCs w:val="32"/>
          <w:shd w:val="clear" w:color="auto" w:fill="FFFFFF"/>
        </w:rPr>
        <w:t>年度收入总计</w:t>
      </w:r>
      <w:r>
        <w:rPr>
          <w:rFonts w:hint="default" w:ascii="Times New Roman" w:hAnsi="Times New Roman" w:eastAsia="方正仿宋_GBK" w:cs="Times New Roman"/>
          <w:color w:val="auto"/>
          <w:sz w:val="32"/>
          <w:szCs w:val="32"/>
          <w:shd w:val="clear" w:color="auto" w:fill="FFFFFF"/>
        </w:rPr>
        <w:t>386.70</w:t>
      </w:r>
      <w:r>
        <w:rPr>
          <w:rFonts w:ascii="方正仿宋_GBK" w:hAnsi="方正仿宋_GBK" w:eastAsia="方正仿宋_GBK" w:cs="方正仿宋_GBK"/>
          <w:color w:val="auto"/>
          <w:sz w:val="32"/>
          <w:szCs w:val="32"/>
          <w:shd w:val="clear" w:color="auto" w:fill="FFFFFF"/>
        </w:rPr>
        <w:t>万元，支出总计</w:t>
      </w:r>
      <w:r>
        <w:rPr>
          <w:rFonts w:hint="default" w:ascii="Times New Roman" w:hAnsi="Times New Roman" w:eastAsia="方正仿宋_GBK" w:cs="Times New Roman"/>
          <w:color w:val="auto"/>
          <w:sz w:val="32"/>
          <w:szCs w:val="32"/>
          <w:shd w:val="clear" w:color="auto" w:fill="FFFFFF"/>
        </w:rPr>
        <w:t>386.70</w:t>
      </w:r>
      <w:r>
        <w:rPr>
          <w:rFonts w:ascii="方正仿宋_GBK" w:hAnsi="方正仿宋_GBK" w:eastAsia="方正仿宋_GBK" w:cs="方正仿宋_GBK"/>
          <w:color w:val="auto"/>
          <w:sz w:val="32"/>
          <w:szCs w:val="32"/>
          <w:shd w:val="clear" w:color="auto" w:fill="FFFFFF"/>
        </w:rPr>
        <w:t>万元。收支较上年决算数增加</w:t>
      </w:r>
      <w:r>
        <w:rPr>
          <w:rFonts w:hint="default" w:ascii="Times New Roman" w:hAnsi="Times New Roman" w:eastAsia="方正仿宋_GBK" w:cs="Times New Roman"/>
          <w:color w:val="auto"/>
          <w:sz w:val="32"/>
          <w:szCs w:val="32"/>
          <w:shd w:val="clear" w:color="auto" w:fill="FFFFFF"/>
        </w:rPr>
        <w:t>6.66</w:t>
      </w:r>
      <w:r>
        <w:rPr>
          <w:rFonts w:ascii="方正仿宋_GBK" w:hAnsi="方正仿宋_GBK" w:eastAsia="方正仿宋_GBK" w:cs="方正仿宋_GBK"/>
          <w:color w:val="auto"/>
          <w:sz w:val="32"/>
          <w:szCs w:val="32"/>
          <w:shd w:val="clear" w:color="auto" w:fill="FFFFFF"/>
        </w:rPr>
        <w:t>万元，增长</w:t>
      </w:r>
      <w:r>
        <w:rPr>
          <w:rFonts w:hint="default" w:ascii="Times New Roman" w:hAnsi="Times New Roman" w:eastAsia="方正仿宋_GBK" w:cs="Times New Roman"/>
          <w:color w:val="auto"/>
          <w:sz w:val="32"/>
          <w:szCs w:val="32"/>
          <w:shd w:val="clear" w:color="auto" w:fill="FFFFFF"/>
        </w:rPr>
        <w:t>1.75</w:t>
      </w:r>
      <w:r>
        <w:rPr>
          <w:rFonts w:ascii="方正仿宋_GBK" w:hAnsi="方正仿宋_GBK" w:eastAsia="方正仿宋_GBK" w:cs="方正仿宋_GBK"/>
          <w:color w:val="auto"/>
          <w:sz w:val="32"/>
          <w:szCs w:val="32"/>
          <w:shd w:val="clear" w:color="auto" w:fill="FFFFFF"/>
        </w:rPr>
        <w:t>%，</w:t>
      </w:r>
      <w:r>
        <w:rPr>
          <w:rFonts w:ascii="方正仿宋_GBK" w:hAnsi="方正仿宋_GBK" w:eastAsia="方正仿宋_GBK" w:cs="方正仿宋_GBK"/>
          <w:color w:val="auto"/>
          <w:sz w:val="32"/>
          <w:szCs w:val="32"/>
        </w:rPr>
        <w:t>主要原因是本单位</w:t>
      </w:r>
      <w:r>
        <w:rPr>
          <w:rFonts w:hint="default" w:ascii="Times New Roman" w:hAnsi="Times New Roman" w:eastAsia="方正仿宋_GBK"/>
          <w:color w:val="auto"/>
          <w:sz w:val="32"/>
          <w:szCs w:val="32"/>
        </w:rPr>
        <w:t>202</w:t>
      </w:r>
      <w:r>
        <w:rPr>
          <w:rFonts w:hint="eastAsia" w:ascii="Times New Roman" w:hAnsi="Times New Roman" w:eastAsia="方正仿宋_GBK"/>
          <w:color w:val="auto"/>
          <w:sz w:val="32"/>
          <w:szCs w:val="32"/>
          <w:lang w:val="en-US" w:eastAsia="zh-CN"/>
        </w:rPr>
        <w:t>3</w:t>
      </w:r>
      <w:r>
        <w:rPr>
          <w:rFonts w:ascii="方正仿宋_GBK" w:hAnsi="方正仿宋_GBK" w:eastAsia="方正仿宋_GBK" w:cs="方正仿宋_GBK"/>
          <w:color w:val="auto"/>
          <w:sz w:val="32"/>
          <w:szCs w:val="32"/>
        </w:rPr>
        <w:t>年度</w:t>
      </w:r>
      <w:r>
        <w:rPr>
          <w:rFonts w:hint="eastAsia" w:ascii="方正仿宋_GBK" w:hAnsi="方正仿宋_GBK" w:eastAsia="方正仿宋_GBK" w:cs="方正仿宋_GBK"/>
          <w:color w:val="auto"/>
          <w:sz w:val="32"/>
          <w:szCs w:val="32"/>
          <w:lang w:eastAsia="zh-CN"/>
        </w:rPr>
        <w:t>财政</w:t>
      </w:r>
      <w:r>
        <w:rPr>
          <w:rStyle w:val="19"/>
          <w:rFonts w:hint="eastAsia" w:ascii="Times New Roman" w:hAnsi="Times New Roman" w:eastAsia="方正仿宋_GBK" w:cs="Times New Roman"/>
          <w:b w:val="0"/>
          <w:bCs/>
          <w:color w:val="auto"/>
          <w:sz w:val="32"/>
          <w:szCs w:val="32"/>
          <w:shd w:val="clear" w:color="auto" w:fill="FFFFFF"/>
        </w:rPr>
        <w:t>拨款</w:t>
      </w:r>
      <w:r>
        <w:rPr>
          <w:rFonts w:ascii="方正仿宋_GBK" w:hAnsi="方正仿宋_GBK" w:eastAsia="方正仿宋_GBK" w:cs="方正仿宋_GBK"/>
          <w:color w:val="auto"/>
          <w:sz w:val="32"/>
          <w:szCs w:val="32"/>
        </w:rPr>
        <w:t>收入</w:t>
      </w:r>
      <w:r>
        <w:rPr>
          <w:rFonts w:ascii="方正仿宋_GBK" w:hAnsi="方正仿宋_GBK" w:eastAsia="方正仿宋_GBK" w:cs="方正仿宋_GBK"/>
          <w:color w:val="auto"/>
          <w:sz w:val="32"/>
          <w:szCs w:val="32"/>
          <w:shd w:val="clear" w:color="auto" w:fill="FFFFFF"/>
        </w:rPr>
        <w:t>增加</w:t>
      </w:r>
      <w:r>
        <w:rPr>
          <w:rFonts w:ascii="方正仿宋_GBK" w:hAnsi="方正仿宋_GBK" w:eastAsia="方正仿宋_GBK" w:cs="方正仿宋_GBK"/>
          <w:color w:val="auto"/>
          <w:sz w:val="32"/>
          <w:szCs w:val="32"/>
        </w:rPr>
        <w:t>，同时院内</w:t>
      </w:r>
      <w:r>
        <w:rPr>
          <w:rFonts w:hint="eastAsia" w:ascii="方正仿宋_GBK" w:hAnsi="方正仿宋_GBK" w:eastAsia="方正仿宋_GBK" w:cs="方正仿宋_GBK"/>
          <w:color w:val="auto"/>
          <w:sz w:val="32"/>
          <w:szCs w:val="32"/>
          <w:lang w:eastAsia="zh-CN"/>
        </w:rPr>
        <w:t>支出也</w:t>
      </w:r>
      <w:r>
        <w:rPr>
          <w:rFonts w:ascii="方正仿宋_GBK" w:hAnsi="方正仿宋_GBK" w:eastAsia="方正仿宋_GBK" w:cs="方正仿宋_GBK"/>
          <w:color w:val="auto"/>
          <w:sz w:val="32"/>
          <w:szCs w:val="32"/>
        </w:rPr>
        <w:t>相应</w:t>
      </w:r>
      <w:r>
        <w:rPr>
          <w:rFonts w:ascii="方正仿宋_GBK" w:hAnsi="方正仿宋_GBK" w:eastAsia="方正仿宋_GBK" w:cs="方正仿宋_GBK"/>
          <w:color w:val="auto"/>
          <w:sz w:val="32"/>
          <w:szCs w:val="32"/>
          <w:shd w:val="clear" w:color="auto" w:fill="FFFFFF"/>
        </w:rPr>
        <w:t>增加</w:t>
      </w:r>
      <w:r>
        <w:rPr>
          <w:rFonts w:ascii="方正仿宋_GBK" w:hAnsi="方正仿宋_GBK" w:eastAsia="方正仿宋_GBK" w:cs="方正仿宋_GBK"/>
          <w:color w:val="auto"/>
          <w:sz w:val="32"/>
          <w:szCs w:val="32"/>
        </w:rPr>
        <w:t>。</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9"/>
          <w:rFonts w:hint="eastAsia" w:ascii="Times New Roman" w:hAnsi="Times New Roman" w:eastAsia="方正仿宋_GBK" w:cs="Times New Roman"/>
          <w:b w:val="0"/>
          <w:bCs/>
          <w:color w:val="auto"/>
          <w:sz w:val="32"/>
          <w:szCs w:val="32"/>
          <w:shd w:val="clear" w:color="auto" w:fill="FFFFFF"/>
          <w:lang w:eastAsia="zh-CN"/>
        </w:rPr>
      </w:pPr>
      <w:r>
        <w:rPr>
          <w:rStyle w:val="19"/>
          <w:rFonts w:hint="eastAsia" w:ascii="Times New Roman" w:hAnsi="Times New Roman" w:eastAsia="方正楷体_GBK" w:cs="Times New Roman"/>
          <w:b w:val="0"/>
          <w:bCs/>
          <w:color w:val="auto"/>
          <w:sz w:val="32"/>
          <w:szCs w:val="32"/>
          <w:shd w:val="clear" w:color="auto" w:fill="FFFFFF"/>
        </w:rPr>
        <w:t>2.收入情况。</w:t>
      </w:r>
      <w:r>
        <w:rPr>
          <w:rStyle w:val="19"/>
          <w:rFonts w:hint="default" w:ascii="Times New Roman" w:hAnsi="Times New Roman" w:eastAsia="方正仿宋_GBK" w:cs="Times New Roman"/>
          <w:b w:val="0"/>
          <w:bCs/>
          <w:color w:val="auto"/>
          <w:sz w:val="32"/>
          <w:szCs w:val="32"/>
          <w:shd w:val="clear" w:color="auto" w:fill="FFFFFF"/>
        </w:rPr>
        <w:t>2023</w:t>
      </w:r>
      <w:r>
        <w:rPr>
          <w:rStyle w:val="19"/>
          <w:rFonts w:hint="eastAsia" w:ascii="方正仿宋_GBK" w:hAnsi="方正仿宋_GBK" w:eastAsia="方正仿宋_GBK" w:cs="方正仿宋_GBK"/>
          <w:b w:val="0"/>
          <w:bCs/>
          <w:color w:val="auto"/>
          <w:sz w:val="32"/>
          <w:szCs w:val="32"/>
          <w:shd w:val="clear" w:color="auto" w:fill="FFFFFF"/>
        </w:rPr>
        <w:t>年度收入合计</w:t>
      </w:r>
      <w:r>
        <w:rPr>
          <w:rStyle w:val="19"/>
          <w:rFonts w:hint="eastAsia" w:ascii="Times New Roman" w:hAnsi="Times New Roman" w:eastAsia="方正仿宋_GBK" w:cs="Times New Roman"/>
          <w:b w:val="0"/>
          <w:bCs/>
          <w:color w:val="auto"/>
          <w:sz w:val="32"/>
          <w:szCs w:val="32"/>
          <w:shd w:val="clear" w:color="auto" w:fill="FFFFFF"/>
        </w:rPr>
        <w:t>386.70</w:t>
      </w:r>
      <w:r>
        <w:rPr>
          <w:rStyle w:val="19"/>
          <w:rFonts w:hint="eastAsia" w:ascii="方正仿宋_GBK" w:hAnsi="方正仿宋_GBK" w:eastAsia="方正仿宋_GBK" w:cs="方正仿宋_GBK"/>
          <w:b w:val="0"/>
          <w:bCs/>
          <w:color w:val="auto"/>
          <w:sz w:val="32"/>
          <w:szCs w:val="32"/>
          <w:shd w:val="clear" w:color="auto" w:fill="FFFFFF"/>
        </w:rPr>
        <w:t>万元，较上年决算数增加</w:t>
      </w:r>
      <w:r>
        <w:rPr>
          <w:rStyle w:val="19"/>
          <w:rFonts w:hint="eastAsia" w:ascii="Times New Roman" w:hAnsi="Times New Roman" w:eastAsia="方正仿宋_GBK" w:cs="Times New Roman"/>
          <w:b w:val="0"/>
          <w:bCs/>
          <w:color w:val="auto"/>
          <w:sz w:val="32"/>
          <w:szCs w:val="32"/>
          <w:shd w:val="clear" w:color="auto" w:fill="FFFFFF"/>
        </w:rPr>
        <w:t>17.06</w:t>
      </w:r>
      <w:r>
        <w:rPr>
          <w:rStyle w:val="19"/>
          <w:rFonts w:hint="eastAsia" w:ascii="方正仿宋_GBK" w:hAnsi="方正仿宋_GBK" w:eastAsia="方正仿宋_GBK" w:cs="方正仿宋_GBK"/>
          <w:b w:val="0"/>
          <w:bCs/>
          <w:color w:val="auto"/>
          <w:sz w:val="32"/>
          <w:szCs w:val="32"/>
          <w:shd w:val="clear" w:color="auto" w:fill="FFFFFF"/>
        </w:rPr>
        <w:t>万元，增长</w:t>
      </w:r>
      <w:r>
        <w:rPr>
          <w:rStyle w:val="19"/>
          <w:rFonts w:hint="eastAsia" w:ascii="Times New Roman" w:hAnsi="Times New Roman" w:eastAsia="方正仿宋_GBK" w:cs="Times New Roman"/>
          <w:b w:val="0"/>
          <w:bCs/>
          <w:color w:val="auto"/>
          <w:sz w:val="32"/>
          <w:szCs w:val="32"/>
          <w:shd w:val="clear" w:color="auto" w:fill="FFFFFF"/>
        </w:rPr>
        <w:t>4.62</w:t>
      </w:r>
      <w:r>
        <w:rPr>
          <w:rStyle w:val="19"/>
          <w:rFonts w:hint="eastAsia" w:ascii="方正仿宋_GBK" w:hAnsi="方正仿宋_GBK" w:eastAsia="方正仿宋_GBK" w:cs="方正仿宋_GBK"/>
          <w:b w:val="0"/>
          <w:bCs/>
          <w:color w:val="auto"/>
          <w:sz w:val="32"/>
          <w:szCs w:val="32"/>
          <w:shd w:val="clear" w:color="auto" w:fill="FFFFFF"/>
        </w:rPr>
        <w:t>%，主要原因是</w:t>
      </w:r>
      <w:r>
        <w:rPr>
          <w:rFonts w:hint="eastAsia" w:ascii="Times New Roman" w:hAnsi="Times New Roman" w:eastAsia="方正仿宋_GBK" w:cs="方正仿宋_GBK"/>
          <w:b w:val="0"/>
          <w:bCs w:val="0"/>
          <w:color w:val="auto"/>
          <w:sz w:val="32"/>
          <w:szCs w:val="32"/>
          <w:highlight w:val="none"/>
          <w:lang w:eastAsia="zh-CN"/>
        </w:rPr>
        <w:t>202</w:t>
      </w:r>
      <w:r>
        <w:rPr>
          <w:rFonts w:hint="eastAsia" w:ascii="Times New Roman" w:hAnsi="Times New Roman" w:eastAsia="方正仿宋_GBK" w:cs="方正仿宋_GBK"/>
          <w:b w:val="0"/>
          <w:bCs w:val="0"/>
          <w:color w:val="auto"/>
          <w:sz w:val="32"/>
          <w:szCs w:val="32"/>
          <w:highlight w:val="none"/>
          <w:lang w:val="en-US" w:eastAsia="zh-CN"/>
        </w:rPr>
        <w:t>3</w:t>
      </w:r>
      <w:r>
        <w:rPr>
          <w:rFonts w:hint="eastAsia" w:ascii="Times New Roman" w:hAnsi="Times New Roman" w:eastAsia="方正仿宋_GBK" w:cs="方正仿宋_GBK"/>
          <w:b w:val="0"/>
          <w:bCs w:val="0"/>
          <w:color w:val="auto"/>
          <w:sz w:val="32"/>
          <w:szCs w:val="32"/>
          <w:highlight w:val="none"/>
        </w:rPr>
        <w:t>年度</w:t>
      </w:r>
      <w:r>
        <w:rPr>
          <w:rFonts w:hint="eastAsia" w:ascii="Times New Roman" w:hAnsi="Times New Roman" w:eastAsia="方正仿宋_GBK" w:cs="方正仿宋_GBK"/>
          <w:b w:val="0"/>
          <w:bCs w:val="0"/>
          <w:color w:val="auto"/>
          <w:sz w:val="32"/>
          <w:szCs w:val="32"/>
          <w:highlight w:val="none"/>
          <w:lang w:val="en-US" w:eastAsia="zh-CN"/>
        </w:rPr>
        <w:t>公卫经费拨款收入增加</w:t>
      </w:r>
      <w:r>
        <w:rPr>
          <w:rStyle w:val="19"/>
          <w:rFonts w:hint="eastAsia" w:ascii="方正仿宋_GBK" w:hAnsi="方正仿宋_GBK" w:eastAsia="方正仿宋_GBK" w:cs="方正仿宋_GBK"/>
          <w:b w:val="0"/>
          <w:bCs/>
          <w:color w:val="auto"/>
          <w:sz w:val="32"/>
          <w:szCs w:val="32"/>
          <w:shd w:val="clear" w:color="auto" w:fill="FFFFFF"/>
        </w:rPr>
        <w:t>。其中：财政拨款收入</w:t>
      </w:r>
      <w:r>
        <w:rPr>
          <w:rStyle w:val="19"/>
          <w:rFonts w:hint="eastAsia" w:ascii="Times New Roman" w:hAnsi="Times New Roman" w:eastAsia="方正仿宋_GBK" w:cs="Times New Roman"/>
          <w:b w:val="0"/>
          <w:bCs/>
          <w:color w:val="auto"/>
          <w:sz w:val="32"/>
          <w:szCs w:val="32"/>
          <w:shd w:val="clear" w:color="auto" w:fill="FFFFFF"/>
        </w:rPr>
        <w:t>246.04万元，占63.62%；事业收入125.95万元，占32.57%；经</w:t>
      </w:r>
      <w:r>
        <w:rPr>
          <w:rStyle w:val="19"/>
          <w:rFonts w:hint="eastAsia" w:ascii="方正仿宋_GBK" w:hAnsi="方正仿宋_GBK" w:eastAsia="方正仿宋_GBK" w:cs="方正仿宋_GBK"/>
          <w:b w:val="0"/>
          <w:bCs/>
          <w:color w:val="auto"/>
          <w:sz w:val="32"/>
          <w:szCs w:val="32"/>
          <w:shd w:val="clear" w:color="auto" w:fill="FFFFFF"/>
        </w:rPr>
        <w:t>营收入</w:t>
      </w:r>
      <w:r>
        <w:rPr>
          <w:rStyle w:val="19"/>
          <w:rFonts w:hint="eastAsia" w:ascii="Times New Roman" w:hAnsi="Times New Roman" w:eastAsia="方正仿宋_GBK" w:cs="Times New Roman"/>
          <w:b w:val="0"/>
          <w:bCs/>
          <w:color w:val="auto"/>
          <w:sz w:val="32"/>
          <w:szCs w:val="32"/>
          <w:shd w:val="clear" w:color="auto" w:fill="FFFFFF"/>
        </w:rPr>
        <w:t>0.00万元，占0.00%；其他收入14.72万元，占3.81%。此外，使用非财政拨款结余和专用结余0.00万元，年初结转和结余0.00万元。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auto"/>
          <w:sz w:val="32"/>
          <w:szCs w:val="32"/>
        </w:rPr>
      </w:pPr>
      <w:r>
        <w:rPr>
          <w:rStyle w:val="19"/>
          <w:rFonts w:hint="eastAsia" w:ascii="Times New Roman" w:hAnsi="Times New Roman" w:eastAsia="方正楷体_GBK" w:cs="Times New Roman"/>
          <w:b w:val="0"/>
          <w:bCs/>
          <w:sz w:val="32"/>
          <w:szCs w:val="32"/>
          <w:shd w:val="clear" w:color="auto" w:fill="FFFFFF"/>
        </w:rPr>
        <w:t>3.</w:t>
      </w:r>
      <w:r>
        <w:rPr>
          <w:rStyle w:val="19"/>
          <w:rFonts w:hint="eastAsia" w:ascii="方正楷体_GBK" w:hAnsi="方正楷体_GBK" w:eastAsia="方正楷体_GBK" w:cs="方正楷体_GBK"/>
          <w:b w:val="0"/>
          <w:bCs/>
          <w:sz w:val="32"/>
          <w:szCs w:val="32"/>
          <w:shd w:val="clear" w:color="auto" w:fill="FFFFFF"/>
        </w:rPr>
        <w:t>支出情况</w:t>
      </w:r>
      <w:r>
        <w:rPr>
          <w:rStyle w:val="19"/>
          <w:rFonts w:hint="eastAsia" w:cs="宋体"/>
          <w:sz w:val="32"/>
          <w:szCs w:val="32"/>
          <w:shd w:val="clear" w:color="auto" w:fill="FFFFFF"/>
        </w:rPr>
        <w:t>。</w:t>
      </w:r>
      <w:r>
        <w:rPr>
          <w:rFonts w:hint="default" w:ascii="Times New Roman" w:hAnsi="Times New Roman" w:eastAsia="方正仿宋_GBK" w:cs="Times New Roman"/>
          <w:sz w:val="32"/>
          <w:szCs w:val="32"/>
          <w:shd w:val="clear" w:color="auto" w:fill="FFFFFF"/>
        </w:rPr>
        <w:t>2023</w:t>
      </w:r>
      <w:r>
        <w:rPr>
          <w:rFonts w:ascii="方正仿宋_GBK" w:hAnsi="方正仿宋_GBK" w:eastAsia="方正仿宋_GBK" w:cs="方正仿宋_GBK"/>
          <w:sz w:val="32"/>
          <w:szCs w:val="32"/>
          <w:shd w:val="clear" w:color="auto" w:fill="FFFFFF"/>
        </w:rPr>
        <w:t>年度支出合计</w:t>
      </w:r>
      <w:r>
        <w:rPr>
          <w:rFonts w:hint="default" w:ascii="Times New Roman" w:hAnsi="Times New Roman" w:eastAsia="方正仿宋_GBK" w:cs="Times New Roman"/>
          <w:sz w:val="32"/>
          <w:szCs w:val="32"/>
          <w:shd w:val="clear" w:color="auto" w:fill="FFFFFF"/>
        </w:rPr>
        <w:t>372.83</w:t>
      </w:r>
      <w:r>
        <w:rPr>
          <w:rFonts w:ascii="方正仿宋_GBK" w:hAnsi="方正仿宋_GBK" w:eastAsia="方正仿宋_GBK" w:cs="方正仿宋_GBK"/>
          <w:sz w:val="32"/>
          <w:szCs w:val="32"/>
          <w:shd w:val="clear" w:color="auto" w:fill="FFFFFF"/>
        </w:rPr>
        <w:t>万元，较上年决算数减少</w:t>
      </w:r>
      <w:r>
        <w:rPr>
          <w:rFonts w:hint="default" w:ascii="Times New Roman" w:hAnsi="Times New Roman" w:eastAsia="方正仿宋_GBK" w:cs="Times New Roman"/>
          <w:sz w:val="32"/>
          <w:szCs w:val="32"/>
          <w:shd w:val="clear" w:color="auto" w:fill="FFFFFF"/>
        </w:rPr>
        <w:t>7.21</w:t>
      </w:r>
      <w:r>
        <w:rPr>
          <w:rFonts w:ascii="方正仿宋_GBK" w:hAnsi="方正仿宋_GBK" w:eastAsia="方正仿宋_GBK" w:cs="方正仿宋_GBK"/>
          <w:sz w:val="32"/>
          <w:szCs w:val="32"/>
          <w:shd w:val="clear" w:color="auto" w:fill="FFFFFF"/>
        </w:rPr>
        <w:t>万元，下降</w:t>
      </w:r>
      <w:r>
        <w:rPr>
          <w:rFonts w:hint="default" w:ascii="Times New Roman" w:hAnsi="Times New Roman" w:eastAsia="方正仿宋_GBK" w:cs="Times New Roman"/>
          <w:sz w:val="32"/>
          <w:szCs w:val="32"/>
          <w:shd w:val="clear" w:color="auto" w:fill="FFFFFF"/>
        </w:rPr>
        <w:t>1.90%</w:t>
      </w:r>
      <w:r>
        <w:rPr>
          <w:rFonts w:ascii="方正仿宋_GBK" w:hAnsi="方正仿宋_GBK" w:eastAsia="方正仿宋_GBK" w:cs="方正仿宋_GBK"/>
          <w:sz w:val="32"/>
          <w:szCs w:val="32"/>
          <w:shd w:val="clear" w:color="auto" w:fill="FFFFFF"/>
        </w:rPr>
        <w:t>，主要原因是</w:t>
      </w:r>
      <w:r>
        <w:rPr>
          <w:rFonts w:ascii="方正仿宋_GBK" w:hAnsi="方正仿宋_GBK" w:eastAsia="方正仿宋_GBK" w:cs="方正仿宋_GBK"/>
          <w:color w:val="auto"/>
          <w:sz w:val="32"/>
          <w:szCs w:val="32"/>
        </w:rPr>
        <w:t>医疗支出</w:t>
      </w:r>
      <w:r>
        <w:rPr>
          <w:rFonts w:hint="eastAsia" w:ascii="方正仿宋_GBK" w:hAnsi="方正仿宋_GBK" w:eastAsia="方正仿宋_GBK" w:cs="方正仿宋_GBK"/>
          <w:color w:val="auto"/>
          <w:sz w:val="32"/>
          <w:szCs w:val="32"/>
          <w:lang w:eastAsia="zh-CN"/>
        </w:rPr>
        <w:t>减少</w:t>
      </w:r>
      <w:r>
        <w:rPr>
          <w:rFonts w:ascii="方正仿宋_GBK" w:hAnsi="方正仿宋_GBK" w:eastAsia="方正仿宋_GBK" w:cs="方正仿宋_GBK"/>
          <w:color w:val="auto"/>
          <w:sz w:val="32"/>
          <w:szCs w:val="32"/>
        </w:rPr>
        <w:t>、医疗支出中药品、耗材、办公等支出</w:t>
      </w:r>
      <w:r>
        <w:rPr>
          <w:rFonts w:hint="eastAsia" w:ascii="方正仿宋_GBK" w:hAnsi="方正仿宋_GBK" w:eastAsia="方正仿宋_GBK" w:cs="方正仿宋_GBK"/>
          <w:color w:val="auto"/>
          <w:sz w:val="32"/>
          <w:szCs w:val="32"/>
          <w:lang w:eastAsia="zh-CN"/>
        </w:rPr>
        <w:t>减少</w:t>
      </w:r>
      <w:r>
        <w:rPr>
          <w:rFonts w:ascii="方正仿宋_GBK" w:hAnsi="方正仿宋_GBK" w:eastAsia="方正仿宋_GBK" w:cs="方正仿宋_GBK"/>
          <w:color w:val="auto"/>
          <w:sz w:val="32"/>
          <w:szCs w:val="32"/>
          <w:shd w:val="clear" w:color="auto" w:fill="FFFFFF"/>
        </w:rPr>
        <w:t>。</w:t>
      </w:r>
      <w:r>
        <w:rPr>
          <w:rFonts w:ascii="方正仿宋_GBK" w:hAnsi="方正仿宋_GBK" w:eastAsia="方正仿宋_GBK" w:cs="方正仿宋_GBK"/>
          <w:sz w:val="32"/>
          <w:szCs w:val="32"/>
          <w:shd w:val="clear" w:color="auto" w:fill="FFFFFF"/>
        </w:rPr>
        <w:t>其中：基本支出</w:t>
      </w:r>
      <w:r>
        <w:rPr>
          <w:rFonts w:hint="default" w:ascii="Times New Roman" w:hAnsi="Times New Roman" w:eastAsia="方正仿宋_GBK" w:cs="Times New Roman"/>
          <w:sz w:val="32"/>
          <w:szCs w:val="32"/>
          <w:shd w:val="clear" w:color="auto" w:fill="FFFFFF"/>
        </w:rPr>
        <w:t>350.45</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cs="Times New Roman"/>
          <w:sz w:val="32"/>
          <w:szCs w:val="32"/>
          <w:shd w:val="clear" w:color="auto" w:fill="FFFFFF"/>
        </w:rPr>
        <w:t>94.00</w:t>
      </w:r>
      <w:r>
        <w:rPr>
          <w:rFonts w:ascii="方正仿宋_GBK" w:hAnsi="方正仿宋_GBK" w:eastAsia="方正仿宋_GBK" w:cs="方正仿宋_GBK"/>
          <w:sz w:val="32"/>
          <w:szCs w:val="32"/>
          <w:shd w:val="clear" w:color="auto" w:fill="FFFFFF"/>
        </w:rPr>
        <w:t>%；项目支出</w:t>
      </w:r>
      <w:r>
        <w:rPr>
          <w:rFonts w:hint="default" w:ascii="Times New Roman" w:hAnsi="Times New Roman" w:eastAsia="方正仿宋_GBK" w:cs="Times New Roman"/>
          <w:sz w:val="32"/>
          <w:szCs w:val="32"/>
          <w:shd w:val="clear" w:color="auto" w:fill="FFFFFF"/>
        </w:rPr>
        <w:t>22.38</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cs="Times New Roman"/>
          <w:sz w:val="32"/>
          <w:szCs w:val="32"/>
          <w:shd w:val="clear" w:color="auto" w:fill="FFFFFF"/>
        </w:rPr>
        <w:t>6.00%</w:t>
      </w:r>
      <w:r>
        <w:rPr>
          <w:rFonts w:ascii="方正仿宋_GBK" w:hAnsi="方正仿宋_GBK" w:eastAsia="方正仿宋_GBK" w:cs="方正仿宋_GBK"/>
          <w:sz w:val="32"/>
          <w:szCs w:val="32"/>
          <w:shd w:val="clear" w:color="auto" w:fill="FFFFFF"/>
        </w:rPr>
        <w:t>；经营支出</w:t>
      </w:r>
      <w:r>
        <w:rPr>
          <w:rFonts w:hint="default" w:ascii="Times New Roman" w:hAnsi="Times New Roman" w:eastAsia="方正仿宋_GBK" w:cs="Times New Roman"/>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cs="Times New Roman"/>
          <w:sz w:val="32"/>
          <w:szCs w:val="32"/>
          <w:shd w:val="clear" w:color="auto" w:fill="FFFFFF"/>
        </w:rPr>
        <w:t>0.00</w:t>
      </w:r>
      <w:r>
        <w:rPr>
          <w:rFonts w:ascii="方正仿宋_GBK" w:hAnsi="方正仿宋_GBK" w:eastAsia="方正仿宋_GBK" w:cs="方正仿宋_GBK"/>
          <w:sz w:val="32"/>
          <w:szCs w:val="32"/>
          <w:shd w:val="clear" w:color="auto" w:fill="FFFFFF"/>
        </w:rPr>
        <w:t>%。此外，结余分配</w:t>
      </w:r>
      <w:r>
        <w:rPr>
          <w:rFonts w:hint="default" w:ascii="Times New Roman" w:hAnsi="Times New Roman" w:eastAsia="方正仿宋_GBK" w:cs="Times New Roman"/>
          <w:sz w:val="32"/>
          <w:szCs w:val="32"/>
          <w:shd w:val="clear" w:color="auto" w:fill="FFFFFF"/>
        </w:rPr>
        <w:t>0.00</w:t>
      </w:r>
      <w:r>
        <w:rPr>
          <w:rFonts w:ascii="方正仿宋_GBK" w:hAnsi="方正仿宋_GBK" w:eastAsia="方正仿宋_GBK" w:cs="方正仿宋_GBK"/>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color w:val="auto"/>
          <w:sz w:val="32"/>
          <w:szCs w:val="32"/>
        </w:rPr>
      </w:pPr>
      <w:r>
        <w:rPr>
          <w:rStyle w:val="19"/>
          <w:rFonts w:hint="eastAsia" w:ascii="Times New Roman" w:hAnsi="Times New Roman" w:eastAsia="方正楷体_GBK" w:cs="Times New Roman"/>
          <w:b w:val="0"/>
          <w:bCs/>
          <w:sz w:val="32"/>
          <w:szCs w:val="32"/>
          <w:shd w:val="clear" w:color="auto" w:fill="FFFFFF"/>
        </w:rPr>
        <w:t>4.</w:t>
      </w:r>
      <w:r>
        <w:rPr>
          <w:rStyle w:val="19"/>
          <w:rFonts w:hint="eastAsia" w:ascii="方正楷体_GBK" w:hAnsi="方正楷体_GBK" w:eastAsia="方正楷体_GBK" w:cs="方正楷体_GBK"/>
          <w:b w:val="0"/>
          <w:bCs/>
          <w:sz w:val="32"/>
          <w:szCs w:val="32"/>
          <w:shd w:val="clear" w:color="auto" w:fill="FFFFFF"/>
        </w:rPr>
        <w:t>结转结余情况</w:t>
      </w:r>
      <w:r>
        <w:rPr>
          <w:rStyle w:val="19"/>
          <w:rFonts w:hint="eastAsia" w:cs="宋体"/>
          <w:sz w:val="32"/>
          <w:szCs w:val="32"/>
          <w:shd w:val="clear" w:color="auto" w:fill="FFFFFF"/>
        </w:rPr>
        <w:t>。</w:t>
      </w:r>
      <w:r>
        <w:rPr>
          <w:rFonts w:hint="default" w:ascii="Times New Roman" w:hAnsi="Times New Roman" w:eastAsia="方正仿宋_GBK" w:cs="Times New Roman"/>
          <w:sz w:val="32"/>
          <w:szCs w:val="32"/>
          <w:shd w:val="clear" w:color="auto" w:fill="FFFFFF"/>
        </w:rPr>
        <w:t>2023</w:t>
      </w:r>
      <w:r>
        <w:rPr>
          <w:rFonts w:ascii="方正仿宋_GBK" w:hAnsi="方正仿宋_GBK" w:eastAsia="方正仿宋_GBK" w:cs="方正仿宋_GBK"/>
          <w:sz w:val="32"/>
          <w:szCs w:val="32"/>
          <w:shd w:val="clear" w:color="auto" w:fill="FFFFFF"/>
        </w:rPr>
        <w:t>年度年末结转和结余</w:t>
      </w:r>
      <w:r>
        <w:rPr>
          <w:rFonts w:hint="default" w:ascii="Times New Roman" w:hAnsi="Times New Roman" w:eastAsia="方正仿宋_GBK" w:cs="Times New Roman"/>
          <w:sz w:val="32"/>
          <w:szCs w:val="32"/>
          <w:shd w:val="clear" w:color="auto" w:fill="FFFFFF"/>
        </w:rPr>
        <w:t>13.87</w:t>
      </w:r>
      <w:r>
        <w:rPr>
          <w:rFonts w:ascii="方正仿宋_GBK" w:hAnsi="方正仿宋_GBK" w:eastAsia="方正仿宋_GBK" w:cs="方正仿宋_GBK"/>
          <w:sz w:val="32"/>
          <w:szCs w:val="32"/>
          <w:shd w:val="clear" w:color="auto" w:fill="FFFFFF"/>
        </w:rPr>
        <w:t>万元，较上年决算数增加</w:t>
      </w:r>
      <w:r>
        <w:rPr>
          <w:rFonts w:hint="default" w:ascii="Times New Roman" w:hAnsi="Times New Roman" w:eastAsia="方正仿宋_GBK" w:cs="Times New Roman"/>
          <w:sz w:val="32"/>
          <w:szCs w:val="32"/>
          <w:shd w:val="clear" w:color="auto" w:fill="FFFFFF"/>
        </w:rPr>
        <w:t>13.87</w:t>
      </w:r>
      <w:r>
        <w:rPr>
          <w:rFonts w:ascii="方正仿宋_GBK" w:hAnsi="方正仿宋_GBK" w:eastAsia="方正仿宋_GBK" w:cs="方正仿宋_GBK"/>
          <w:sz w:val="32"/>
          <w:szCs w:val="32"/>
          <w:shd w:val="clear" w:color="auto" w:fill="FFFFFF"/>
        </w:rPr>
        <w:t>万元，增长</w:t>
      </w:r>
      <w:r>
        <w:rPr>
          <w:rFonts w:hint="default" w:ascii="Times New Roman" w:hAnsi="Times New Roman" w:eastAsia="方正仿宋_GBK" w:cs="Times New Roman"/>
          <w:sz w:val="32"/>
          <w:szCs w:val="32"/>
          <w:shd w:val="clear" w:color="auto" w:fill="FFFFFF"/>
        </w:rPr>
        <w:t>100.00</w:t>
      </w:r>
      <w:r>
        <w:rPr>
          <w:rFonts w:ascii="方正仿宋_GBK" w:hAnsi="方正仿宋_GBK" w:eastAsia="方正仿宋_GBK" w:cs="方正仿宋_GBK"/>
          <w:sz w:val="32"/>
          <w:szCs w:val="32"/>
          <w:shd w:val="clear" w:color="auto" w:fill="FFFFFF"/>
        </w:rPr>
        <w:t>%，主要原因是</w:t>
      </w:r>
      <w:r>
        <w:rPr>
          <w:rFonts w:ascii="Times New Roman" w:hAnsi="Times New Roman" w:eastAsia="方正仿宋_GBK" w:cs="方正仿宋_GBK"/>
          <w:b w:val="0"/>
          <w:bCs w:val="0"/>
          <w:color w:val="auto"/>
          <w:sz w:val="32"/>
          <w:szCs w:val="32"/>
          <w:shd w:val="clear" w:color="auto" w:fill="FFFFFF"/>
        </w:rPr>
        <w:t>2022年绩效清算</w:t>
      </w:r>
      <w:r>
        <w:rPr>
          <w:rFonts w:hint="eastAsia" w:ascii="Times New Roman" w:hAnsi="Times New Roman" w:eastAsia="方正仿宋_GBK" w:cs="方正仿宋_GBK"/>
          <w:b w:val="0"/>
          <w:bCs w:val="0"/>
          <w:color w:val="auto"/>
          <w:sz w:val="32"/>
          <w:szCs w:val="32"/>
          <w:shd w:val="clear" w:color="auto" w:fill="FFFFFF"/>
          <w:lang w:val="en-US" w:eastAsia="zh-CN"/>
        </w:rPr>
        <w:t>拨款</w:t>
      </w:r>
      <w:r>
        <w:rPr>
          <w:rFonts w:ascii="Times New Roman" w:hAnsi="Times New Roman" w:eastAsia="方正仿宋_GBK" w:cs="方正仿宋_GBK"/>
          <w:b w:val="0"/>
          <w:bCs w:val="0"/>
          <w:color w:val="auto"/>
          <w:sz w:val="32"/>
          <w:szCs w:val="32"/>
          <w:shd w:val="clear" w:color="auto" w:fill="FFFFFF"/>
        </w:rPr>
        <w:t>及</w:t>
      </w:r>
      <w:r>
        <w:rPr>
          <w:rFonts w:hint="eastAsia" w:ascii="Times New Roman" w:hAnsi="Times New Roman" w:eastAsia="方正仿宋_GBK" w:cs="方正仿宋_GBK"/>
          <w:b w:val="0"/>
          <w:bCs w:val="0"/>
          <w:color w:val="auto"/>
          <w:sz w:val="32"/>
          <w:szCs w:val="32"/>
          <w:shd w:val="clear" w:color="auto" w:fill="FFFFFF"/>
          <w:lang w:val="en-US" w:eastAsia="zh-CN"/>
        </w:rPr>
        <w:t>医疗收支结余</w:t>
      </w:r>
      <w:r>
        <w:rPr>
          <w:rFonts w:hint="eastAsia" w:ascii="方正仿宋_GBK" w:hAnsi="方正仿宋_GBK" w:eastAsia="方正仿宋_GBK" w:cs="方正仿宋_GBK"/>
          <w:color w:val="auto"/>
          <w:sz w:val="32"/>
          <w:szCs w:val="32"/>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bCs/>
          <w:sz w:val="32"/>
          <w:szCs w:val="32"/>
        </w:rPr>
      </w:pPr>
      <w:r>
        <w:rPr>
          <w:rStyle w:val="19"/>
          <w:rFonts w:hint="eastAsia" w:ascii="方正楷体_GBK" w:hAnsi="方正楷体_GBK" w:eastAsia="方正楷体_GBK" w:cs="方正楷体_GBK"/>
          <w:b w:val="0"/>
          <w:bCs/>
          <w:sz w:val="32"/>
          <w:szCs w:val="32"/>
          <w:shd w:val="clear" w:color="auto" w:fill="FFFFFF"/>
        </w:rPr>
        <w:t>（二）财政拨款收入支出决算总体情况说明</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2023年度财政拨款收、支总计246.04万元</w:t>
      </w:r>
      <w:r>
        <w:rPr>
          <w:rFonts w:hint="eastAsia"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sz w:val="32"/>
          <w:szCs w:val="32"/>
          <w:shd w:val="clear" w:color="auto" w:fill="FFFFFF"/>
        </w:rPr>
        <w:t>与2022年相比，财政拨款收、支总计各增加8.27万元，增长3.48%</w:t>
      </w:r>
      <w:r>
        <w:rPr>
          <w:rFonts w:ascii="方正仿宋_GBK" w:hAnsi="方正仿宋_GBK" w:eastAsia="方正仿宋_GBK" w:cs="方正仿宋_GBK"/>
          <w:sz w:val="32"/>
          <w:szCs w:val="32"/>
          <w:shd w:val="clear" w:color="auto" w:fill="FFFFFF"/>
        </w:rPr>
        <w:t>。主要原因</w:t>
      </w:r>
      <w:r>
        <w:rPr>
          <w:rFonts w:hint="eastAsia" w:ascii="方正仿宋_GBK" w:hAnsi="方正仿宋_GBK" w:eastAsia="方正仿宋_GBK" w:cs="方正仿宋_GBK"/>
          <w:sz w:val="32"/>
          <w:szCs w:val="32"/>
          <w:lang w:eastAsia="zh-CN"/>
        </w:rPr>
        <w:t>是人员工资调整</w:t>
      </w:r>
      <w:r>
        <w:rPr>
          <w:rFonts w:hint="eastAsia" w:ascii="仿宋_GB2312" w:hAnsi="仿宋" w:eastAsia="仿宋_GB2312" w:cs="仿宋"/>
          <w:color w:val="000000"/>
          <w:sz w:val="32"/>
          <w:szCs w:val="32"/>
          <w:lang w:val="en-US" w:eastAsia="zh-CN"/>
        </w:rPr>
        <w:t>财政拨款收入增加</w:t>
      </w:r>
      <w:r>
        <w:rPr>
          <w:rFonts w:hint="default" w:ascii="Times New Roman" w:hAnsi="Times New Roman" w:eastAsia="方正仿宋_GBK" w:cs="Times New Roman"/>
          <w:sz w:val="32"/>
          <w:szCs w:val="32"/>
          <w:shd w:val="clear" w:color="auto" w:fill="FFFFFF"/>
        </w:rPr>
        <w:t>，</w:t>
      </w:r>
      <w:r>
        <w:rPr>
          <w:rFonts w:hint="eastAsia" w:ascii="Times New Roman" w:hAnsi="Times New Roman" w:eastAsia="方正仿宋_GBK" w:cs="方正仿宋_GBK"/>
          <w:b w:val="0"/>
          <w:bCs w:val="0"/>
          <w:color w:val="auto"/>
          <w:sz w:val="32"/>
          <w:szCs w:val="32"/>
          <w:shd w:val="clear" w:color="auto" w:fill="FFFFFF"/>
          <w:lang w:val="en-US" w:eastAsia="zh-CN"/>
        </w:rPr>
        <w:t>相应支出也增加</w:t>
      </w:r>
      <w:r>
        <w:rPr>
          <w:rFonts w:ascii="Times New Roman" w:hAnsi="Times New Roman" w:eastAsia="方正仿宋_GBK" w:cs="方正仿宋_GBK"/>
          <w:b w:val="0"/>
          <w:bCs w:val="0"/>
          <w:color w:val="auto"/>
          <w:sz w:val="32"/>
          <w:szCs w:val="32"/>
          <w:shd w:val="clear" w:color="auto" w:fill="FFFFFF"/>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9"/>
          <w:rFonts w:hint="eastAsia" w:ascii="方正楷体_GBK" w:hAnsi="方正楷体_GBK" w:eastAsia="方正楷体_GBK" w:cs="方正楷体_GBK"/>
          <w:b w:val="0"/>
          <w:bCs/>
          <w:sz w:val="32"/>
          <w:szCs w:val="32"/>
          <w:shd w:val="clear" w:color="auto" w:fill="FFFFFF"/>
        </w:rPr>
      </w:pPr>
      <w:r>
        <w:rPr>
          <w:rStyle w:val="19"/>
          <w:rFonts w:hint="eastAsia" w:ascii="方正楷体_GBK" w:hAnsi="方正楷体_GBK" w:eastAsia="方正楷体_GBK" w:cs="方正楷体_GBK"/>
          <w:b w:val="0"/>
          <w:bCs/>
          <w:sz w:val="32"/>
          <w:szCs w:val="32"/>
          <w:shd w:val="clear" w:color="auto" w:fill="FFFFFF"/>
        </w:rPr>
        <w:t>（三）一般公共预算财政拨款支出决算情况说明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9"/>
          <w:rFonts w:hint="default" w:ascii="Times New Roman" w:hAnsi="Times New Roman" w:eastAsia="方正仿宋_GBK" w:cs="Times New Roman"/>
          <w:b w:val="0"/>
          <w:bCs/>
          <w:sz w:val="32"/>
          <w:szCs w:val="32"/>
          <w:shd w:val="clear" w:color="auto" w:fill="FFFFFF"/>
        </w:rPr>
        <w:t>1.</w:t>
      </w:r>
      <w:r>
        <w:rPr>
          <w:rStyle w:val="19"/>
          <w:rFonts w:hint="eastAsia" w:ascii="方正楷体_GBK" w:hAnsi="方正楷体_GBK" w:eastAsia="方正楷体_GBK" w:cs="方正楷体_GBK"/>
          <w:b w:val="0"/>
          <w:bCs/>
          <w:sz w:val="32"/>
          <w:szCs w:val="32"/>
          <w:shd w:val="clear" w:color="auto" w:fill="FFFFFF"/>
        </w:rPr>
        <w:t>收入情况</w:t>
      </w:r>
      <w:r>
        <w:rPr>
          <w:rStyle w:val="19"/>
          <w:rFonts w:hint="eastAsia"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lang w:val="en-US" w:eastAsia="zh-CN"/>
        </w:rPr>
        <w:t>3</w:t>
      </w:r>
      <w:r>
        <w:rPr>
          <w:rFonts w:hint="default" w:ascii="Times New Roman" w:hAnsi="Times New Roman" w:eastAsia="方正仿宋_GBK"/>
          <w:sz w:val="32"/>
          <w:szCs w:val="32"/>
          <w:shd w:val="clear" w:color="auto" w:fill="FFFFFF"/>
        </w:rPr>
        <w:t>年度一般公共预算财政拨款收入</w:t>
      </w:r>
      <w:r>
        <w:rPr>
          <w:rFonts w:hint="eastAsia" w:ascii="Times New Roman" w:hAnsi="Times New Roman" w:eastAsia="方正仿宋_GBK"/>
          <w:sz w:val="32"/>
          <w:szCs w:val="32"/>
          <w:shd w:val="clear" w:color="auto" w:fill="FFFFFF"/>
          <w:lang w:val="en-US" w:eastAsia="zh-CN"/>
        </w:rPr>
        <w:t>246.04</w:t>
      </w:r>
      <w:r>
        <w:rPr>
          <w:rFonts w:hint="default" w:ascii="Times New Roman" w:hAnsi="Times New Roman" w:eastAsia="方正仿宋_GBK"/>
          <w:sz w:val="32"/>
          <w:szCs w:val="32"/>
          <w:shd w:val="clear" w:color="auto" w:fill="FFFFFF"/>
        </w:rPr>
        <w:t>万元，较上年决算数增加</w:t>
      </w:r>
      <w:r>
        <w:rPr>
          <w:rFonts w:hint="eastAsia" w:ascii="Times New Roman" w:hAnsi="Times New Roman" w:eastAsia="方正仿宋_GBK"/>
          <w:sz w:val="32"/>
          <w:szCs w:val="32"/>
          <w:shd w:val="clear" w:color="auto" w:fill="FFFFFF"/>
          <w:lang w:val="en-US" w:eastAsia="zh-CN"/>
        </w:rPr>
        <w:t>8.27</w:t>
      </w:r>
      <w:r>
        <w:rPr>
          <w:rFonts w:hint="default" w:ascii="Times New Roman" w:hAnsi="Times New Roman" w:eastAsia="方正仿宋_GBK"/>
          <w:sz w:val="32"/>
          <w:szCs w:val="32"/>
          <w:shd w:val="clear" w:color="auto" w:fill="FFFFFF"/>
        </w:rPr>
        <w:t>万元，增长</w:t>
      </w:r>
      <w:r>
        <w:rPr>
          <w:rFonts w:hint="eastAsia" w:ascii="Times New Roman" w:hAnsi="Times New Roman" w:eastAsia="方正仿宋_GBK"/>
          <w:sz w:val="32"/>
          <w:szCs w:val="32"/>
          <w:shd w:val="clear" w:color="auto" w:fill="FFFFFF"/>
          <w:lang w:val="en-US" w:eastAsia="zh-CN"/>
        </w:rPr>
        <w:t>3.48</w:t>
      </w:r>
      <w:r>
        <w:rPr>
          <w:rFonts w:hint="default" w:ascii="Times New Roman" w:hAnsi="Times New Roman" w:eastAsia="方正仿宋_GBK"/>
          <w:sz w:val="32"/>
          <w:szCs w:val="32"/>
          <w:shd w:val="clear" w:color="auto" w:fill="FFFFFF"/>
        </w:rPr>
        <w:t>%。</w:t>
      </w:r>
      <w:r>
        <w:rPr>
          <w:rFonts w:ascii="方正仿宋_GBK" w:hAnsi="方正仿宋_GBK" w:eastAsia="方正仿宋_GBK" w:cs="方正仿宋_GBK"/>
          <w:sz w:val="32"/>
          <w:szCs w:val="32"/>
        </w:rPr>
        <w:t>主要原因是</w:t>
      </w:r>
      <w:r>
        <w:rPr>
          <w:rFonts w:hint="eastAsia" w:ascii="方正仿宋_GBK" w:hAnsi="方正仿宋_GBK" w:eastAsia="方正仿宋_GBK" w:cs="方正仿宋_GBK"/>
          <w:sz w:val="32"/>
          <w:szCs w:val="32"/>
          <w:lang w:eastAsia="zh-CN"/>
        </w:rPr>
        <w:t>人员工资调整</w:t>
      </w:r>
      <w:r>
        <w:rPr>
          <w:rFonts w:hint="eastAsia" w:ascii="仿宋_GB2312" w:hAnsi="仿宋" w:eastAsia="仿宋_GB2312" w:cs="仿宋"/>
          <w:color w:val="000000"/>
          <w:sz w:val="32"/>
          <w:szCs w:val="32"/>
          <w:lang w:val="en-US" w:eastAsia="zh-CN"/>
        </w:rPr>
        <w:t>财政拨款收入增加</w:t>
      </w:r>
      <w:r>
        <w:rPr>
          <w:rFonts w:ascii="方正仿宋_GBK" w:hAnsi="方正仿宋_GBK" w:eastAsia="方正仿宋_GBK" w:cs="方正仿宋_GBK"/>
          <w:sz w:val="32"/>
          <w:szCs w:val="32"/>
          <w:shd w:val="clear" w:color="auto" w:fill="FFFFFF"/>
        </w:rPr>
        <w:t>。较年初预算数增加</w:t>
      </w:r>
      <w:r>
        <w:rPr>
          <w:rFonts w:hint="eastAsia" w:ascii="Times New Roman" w:hAnsi="Times New Roman" w:eastAsia="方正仿宋_GBK"/>
          <w:sz w:val="32"/>
          <w:szCs w:val="32"/>
          <w:shd w:val="clear" w:color="auto" w:fill="FFFFFF"/>
          <w:lang w:val="en-US" w:eastAsia="zh-CN"/>
        </w:rPr>
        <w:t>99.78</w:t>
      </w:r>
      <w:r>
        <w:rPr>
          <w:rFonts w:ascii="方正仿宋_GBK" w:hAnsi="方正仿宋_GBK" w:eastAsia="方正仿宋_GBK" w:cs="方正仿宋_GBK"/>
          <w:sz w:val="32"/>
          <w:szCs w:val="32"/>
          <w:shd w:val="clear" w:color="auto" w:fill="FFFFFF"/>
        </w:rPr>
        <w:t>万元，增长</w:t>
      </w:r>
      <w:r>
        <w:rPr>
          <w:rFonts w:hint="eastAsia" w:ascii="Times New Roman" w:hAnsi="Times New Roman" w:eastAsia="方正仿宋_GBK"/>
          <w:sz w:val="32"/>
          <w:szCs w:val="32"/>
          <w:shd w:val="clear" w:color="auto" w:fill="FFFFFF"/>
          <w:lang w:val="en-US" w:eastAsia="zh-CN"/>
        </w:rPr>
        <w:t>68.22</w:t>
      </w:r>
      <w:r>
        <w:rPr>
          <w:rFonts w:ascii="方正仿宋_GBK" w:hAnsi="方正仿宋_GBK" w:eastAsia="方正仿宋_GBK" w:cs="方正仿宋_GBK"/>
          <w:sz w:val="32"/>
          <w:szCs w:val="32"/>
          <w:shd w:val="clear" w:color="auto" w:fill="FFFFFF"/>
        </w:rPr>
        <w:t>%。主要原因</w:t>
      </w:r>
      <w:r>
        <w:rPr>
          <w:rFonts w:ascii="方正仿宋_GBK" w:hAnsi="方正仿宋_GBK" w:eastAsia="方正仿宋_GBK" w:cs="方正仿宋_GBK"/>
          <w:sz w:val="32"/>
          <w:szCs w:val="32"/>
        </w:rPr>
        <w:t>是根据单位情况预估核算，实际财政拨款收入由财政根据资金分配情况统一安排拨款</w:t>
      </w:r>
      <w:r>
        <w:rPr>
          <w:rFonts w:ascii="方正仿宋_GBK" w:hAnsi="方正仿宋_GBK" w:eastAsia="方正仿宋_GBK" w:cs="方正仿宋_GBK"/>
          <w:sz w:val="32"/>
          <w:szCs w:val="32"/>
          <w:shd w:val="clear" w:color="auto" w:fill="FFFFFF"/>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9"/>
          <w:rFonts w:hint="eastAsia" w:ascii="方正仿宋_GBK" w:hAnsi="方正仿宋_GBK" w:eastAsia="方正仿宋_GBK" w:cs="方正仿宋_GBK"/>
          <w:b w:val="0"/>
          <w:bCs/>
          <w:sz w:val="32"/>
          <w:szCs w:val="32"/>
          <w:shd w:val="clear" w:color="auto" w:fill="FFFFFF"/>
        </w:rPr>
      </w:pPr>
      <w:r>
        <w:rPr>
          <w:rStyle w:val="19"/>
          <w:rFonts w:hint="default" w:ascii="Times New Roman" w:hAnsi="Times New Roman" w:eastAsia="方正仿宋_GBK" w:cs="Times New Roman"/>
          <w:b w:val="0"/>
          <w:bCs/>
          <w:sz w:val="32"/>
          <w:szCs w:val="32"/>
          <w:shd w:val="clear" w:color="auto" w:fill="FFFFFF"/>
        </w:rPr>
        <w:t>2.</w:t>
      </w:r>
      <w:r>
        <w:rPr>
          <w:rStyle w:val="19"/>
          <w:rFonts w:hint="eastAsia" w:ascii="方正楷体_GBK" w:hAnsi="方正楷体_GBK" w:eastAsia="方正楷体_GBK" w:cs="方正楷体_GBK"/>
          <w:b w:val="0"/>
          <w:bCs/>
          <w:sz w:val="32"/>
          <w:szCs w:val="32"/>
          <w:shd w:val="clear" w:color="auto" w:fill="FFFFFF"/>
        </w:rPr>
        <w:t>支出情况</w:t>
      </w:r>
      <w:r>
        <w:rPr>
          <w:rStyle w:val="19"/>
          <w:rFonts w:hint="eastAsia"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sz w:val="32"/>
          <w:szCs w:val="32"/>
          <w:shd w:val="clear" w:color="auto" w:fill="FFFFFF"/>
        </w:rPr>
        <w:t>2023年度一般公共预算财政拨款支出</w:t>
      </w:r>
      <w:r>
        <w:rPr>
          <w:rFonts w:hint="default" w:ascii="Times New Roman" w:hAnsi="Times New Roman" w:eastAsia="方正仿宋_GBK" w:cs="Times New Roman"/>
          <w:sz w:val="32"/>
          <w:szCs w:val="32"/>
        </w:rPr>
        <w:t>236.28</w:t>
      </w:r>
      <w:r>
        <w:rPr>
          <w:rFonts w:hint="default" w:ascii="Times New Roman" w:hAnsi="Times New Roman" w:eastAsia="方正仿宋_GBK" w:cs="Times New Roman"/>
          <w:sz w:val="32"/>
          <w:szCs w:val="32"/>
          <w:shd w:val="clear" w:color="auto" w:fill="FFFFFF"/>
        </w:rPr>
        <w:t>万元，较上年决算数减少1.49万元，下降0.63%</w:t>
      </w:r>
      <w:r>
        <w:rPr>
          <w:rFonts w:ascii="方正仿宋_GBK" w:hAnsi="方正仿宋_GBK" w:eastAsia="方正仿宋_GBK" w:cs="方正仿宋_GBK"/>
          <w:sz w:val="32"/>
          <w:szCs w:val="32"/>
          <w:shd w:val="clear" w:color="auto" w:fill="FFFFFF"/>
        </w:rPr>
        <w:t>。主要原因是</w:t>
      </w:r>
      <w:r>
        <w:rPr>
          <w:rFonts w:ascii="方正仿宋_GBK" w:hAnsi="方正仿宋_GBK" w:eastAsia="方正仿宋_GBK" w:cs="方正仿宋_GBK"/>
          <w:color w:val="auto"/>
          <w:sz w:val="32"/>
          <w:szCs w:val="32"/>
        </w:rPr>
        <w:t>人员工资、办公等支出</w:t>
      </w:r>
      <w:r>
        <w:rPr>
          <w:rFonts w:hint="eastAsia" w:ascii="方正仿宋_GBK" w:hAnsi="方正仿宋_GBK" w:eastAsia="方正仿宋_GBK" w:cs="方正仿宋_GBK"/>
          <w:color w:val="auto"/>
          <w:sz w:val="32"/>
          <w:szCs w:val="32"/>
          <w:lang w:eastAsia="zh-CN"/>
        </w:rPr>
        <w:t>减少</w:t>
      </w:r>
      <w:r>
        <w:rPr>
          <w:rStyle w:val="19"/>
          <w:rFonts w:hint="eastAsia" w:ascii="方正仿宋_GBK" w:hAnsi="方正仿宋_GBK" w:eastAsia="方正仿宋_GBK" w:cs="方正仿宋_GBK"/>
          <w:b w:val="0"/>
          <w:bCs/>
          <w:sz w:val="32"/>
          <w:szCs w:val="32"/>
          <w:shd w:val="clear" w:color="auto" w:fill="FFFFFF"/>
        </w:rPr>
        <w:t>。</w:t>
      </w:r>
      <w:r>
        <w:rPr>
          <w:rFonts w:hint="default" w:ascii="Times New Roman" w:hAnsi="Times New Roman" w:eastAsia="方正仿宋_GBK" w:cs="Times New Roman"/>
          <w:sz w:val="32"/>
          <w:szCs w:val="32"/>
          <w:shd w:val="clear" w:color="auto" w:fill="FFFFFF"/>
        </w:rPr>
        <w:t>较年初预算数增加90.02万元，增长61.55%。</w:t>
      </w:r>
      <w:r>
        <w:rPr>
          <w:rStyle w:val="19"/>
          <w:rFonts w:hint="eastAsia" w:ascii="方正仿宋_GBK" w:hAnsi="方正仿宋_GBK" w:eastAsia="方正仿宋_GBK" w:cs="方正仿宋_GBK"/>
          <w:b w:val="0"/>
          <w:bCs/>
          <w:sz w:val="32"/>
          <w:szCs w:val="32"/>
          <w:shd w:val="clear" w:color="auto" w:fill="FFFFFF"/>
        </w:rPr>
        <w:t>主要原因是</w:t>
      </w:r>
      <w:r>
        <w:rPr>
          <w:rFonts w:ascii="方正仿宋_GBK" w:hAnsi="方正仿宋_GBK" w:eastAsia="方正仿宋_GBK" w:cs="方正仿宋_GBK"/>
          <w:sz w:val="32"/>
          <w:szCs w:val="32"/>
        </w:rPr>
        <w:t>年初预算主要是根据单位情况预估核算，实际财政拨款收入由财政根据资金分配情况统一安排拨款，因此财政拨款支出与年初预算有相应差异</w:t>
      </w:r>
      <w:r>
        <w:rPr>
          <w:rStyle w:val="19"/>
          <w:rFonts w:hint="eastAsia" w:ascii="方正仿宋_GBK" w:hAnsi="方正仿宋_GBK" w:eastAsia="方正仿宋_GBK" w:cs="方正仿宋_GBK"/>
          <w:b w:val="0"/>
          <w:bCs/>
          <w:sz w:val="32"/>
          <w:szCs w:val="32"/>
          <w:shd w:val="clear" w:color="auto" w:fill="FFFFFF"/>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9"/>
          <w:rFonts w:hint="default" w:ascii="Times New Roman" w:hAnsi="Times New Roman" w:eastAsia="方正仿宋_GBK" w:cs="Times New Roman"/>
          <w:sz w:val="32"/>
          <w:szCs w:val="32"/>
          <w:shd w:val="clear" w:color="auto" w:fill="FFFFFF"/>
        </w:rPr>
      </w:pPr>
      <w:r>
        <w:rPr>
          <w:rStyle w:val="19"/>
          <w:rFonts w:hint="default" w:ascii="Times New Roman" w:hAnsi="Times New Roman" w:eastAsia="方正仿宋_GBK" w:cs="Times New Roman"/>
          <w:b w:val="0"/>
          <w:bCs/>
          <w:sz w:val="32"/>
          <w:szCs w:val="32"/>
          <w:shd w:val="clear" w:color="auto" w:fill="FFFFFF"/>
        </w:rPr>
        <w:t>3.</w:t>
      </w:r>
      <w:r>
        <w:rPr>
          <w:rStyle w:val="19"/>
          <w:rFonts w:hint="eastAsia" w:ascii="方正楷体_GBK" w:hAnsi="方正楷体_GBK" w:eastAsia="方正楷体_GBK" w:cs="方正楷体_GBK"/>
          <w:b w:val="0"/>
          <w:bCs/>
          <w:sz w:val="32"/>
          <w:szCs w:val="32"/>
          <w:shd w:val="clear" w:color="auto" w:fill="FFFFFF"/>
        </w:rPr>
        <w:t>结转结余情况</w:t>
      </w:r>
      <w:r>
        <w:rPr>
          <w:rStyle w:val="19"/>
          <w:rFonts w:hint="eastAsia"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9.76</w:t>
      </w:r>
      <w:r>
        <w:rPr>
          <w:rFonts w:hint="default" w:ascii="Times New Roman" w:hAnsi="Times New Roman" w:eastAsia="方正仿宋_GBK" w:cs="Times New Roman"/>
          <w:sz w:val="32"/>
          <w:szCs w:val="32"/>
          <w:shd w:val="clear" w:color="auto" w:fill="FFFFFF"/>
        </w:rPr>
        <w:t>万元，较上年决算数增加9.76万元，增长100.00%，</w:t>
      </w:r>
      <w:r>
        <w:rPr>
          <w:rFonts w:hint="eastAsia" w:ascii="Times New Roman" w:hAnsi="Times New Roman" w:eastAsia="方正仿宋_GBK" w:cs="Times New Roman"/>
          <w:sz w:val="32"/>
          <w:szCs w:val="32"/>
          <w:shd w:val="clear" w:color="auto" w:fill="FFFFFF"/>
          <w:lang w:eastAsia="zh-CN"/>
        </w:rPr>
        <w:t>主要原因是</w:t>
      </w:r>
      <w:r>
        <w:rPr>
          <w:rFonts w:hint="eastAsia" w:ascii="Times New Roman" w:hAnsi="Times New Roman" w:eastAsia="方正仿宋_GBK" w:cs="Times New Roman"/>
          <w:sz w:val="32"/>
          <w:szCs w:val="32"/>
          <w:shd w:val="clear" w:color="auto" w:fill="FFFFFF"/>
          <w:lang w:val="en-US" w:eastAsia="zh-CN"/>
        </w:rPr>
        <w:t>2022年</w:t>
      </w:r>
      <w:r>
        <w:rPr>
          <w:rFonts w:hint="eastAsia" w:ascii="Times New Roman" w:hAnsi="Times New Roman" w:eastAsia="方正仿宋_GBK" w:cs="Times New Roman"/>
          <w:sz w:val="32"/>
          <w:szCs w:val="32"/>
          <w:shd w:val="clear" w:color="auto" w:fill="FFFFFF"/>
          <w:lang w:eastAsia="zh-CN"/>
        </w:rPr>
        <w:t>绩效清算还未发放</w:t>
      </w:r>
      <w:r>
        <w:rPr>
          <w:rStyle w:val="19"/>
          <w:rFonts w:hint="default" w:ascii="Times New Roman" w:hAnsi="Times New Roman" w:eastAsia="方正仿宋_GBK" w:cs="Times New Roman"/>
          <w:b w:val="0"/>
          <w:bCs/>
          <w:sz w:val="32"/>
          <w:szCs w:val="32"/>
          <w:shd w:val="clear" w:color="auto" w:fill="FFFFFF"/>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9"/>
          <w:rFonts w:hint="eastAsia" w:ascii="方正仿宋_GBK" w:hAnsi="方正仿宋_GBK" w:eastAsia="方正仿宋_GBK" w:cs="方正仿宋_GBK"/>
          <w:b w:val="0"/>
          <w:bCs/>
          <w:sz w:val="32"/>
          <w:szCs w:val="32"/>
          <w:shd w:val="clear" w:color="auto" w:fill="FFFFFF"/>
        </w:rPr>
      </w:pPr>
      <w:r>
        <w:rPr>
          <w:rStyle w:val="19"/>
          <w:rFonts w:hint="eastAsia" w:ascii="Times New Roman" w:hAnsi="Times New Roman" w:eastAsia="方正仿宋_GBK" w:cs="Times New Roman"/>
          <w:b w:val="0"/>
          <w:bCs/>
          <w:sz w:val="32"/>
          <w:szCs w:val="32"/>
          <w:shd w:val="clear" w:color="auto" w:fill="FFFFFF"/>
        </w:rPr>
        <w:t>4.</w:t>
      </w:r>
      <w:r>
        <w:rPr>
          <w:rStyle w:val="19"/>
          <w:rFonts w:hint="eastAsia" w:ascii="方正楷体_GBK" w:hAnsi="方正楷体_GBK" w:eastAsia="方正楷体_GBK" w:cs="方正楷体_GBK"/>
          <w:b w:val="0"/>
          <w:bCs/>
          <w:sz w:val="32"/>
          <w:szCs w:val="32"/>
          <w:shd w:val="clear" w:color="auto" w:fill="FFFFFF"/>
        </w:rPr>
        <w:t>比较情况</w:t>
      </w:r>
      <w:r>
        <w:rPr>
          <w:rStyle w:val="19"/>
          <w:rFonts w:hint="eastAsia" w:ascii="方正仿宋_GBK" w:hAnsi="方正仿宋_GBK" w:eastAsia="方正仿宋_GBK" w:cs="方正仿宋_GBK"/>
          <w:b w:val="0"/>
          <w:bCs/>
          <w:sz w:val="32"/>
          <w:szCs w:val="32"/>
          <w:shd w:val="clear" w:color="auto" w:fill="FFFFFF"/>
        </w:rPr>
        <w:t>。本单位</w:t>
      </w:r>
      <w:r>
        <w:rPr>
          <w:rStyle w:val="19"/>
          <w:rFonts w:eastAsia="方正仿宋_GBK"/>
          <w:b w:val="0"/>
          <w:bCs/>
          <w:sz w:val="32"/>
          <w:szCs w:val="32"/>
          <w:shd w:val="clear" w:color="auto" w:fill="FFFFFF"/>
        </w:rPr>
        <w:t>202</w:t>
      </w:r>
      <w:r>
        <w:rPr>
          <w:rStyle w:val="19"/>
          <w:rFonts w:hint="eastAsia" w:eastAsia="方正仿宋_GBK"/>
          <w:b w:val="0"/>
          <w:bCs/>
          <w:sz w:val="32"/>
          <w:szCs w:val="32"/>
          <w:shd w:val="clear" w:color="auto" w:fill="FFFFFF"/>
          <w:lang w:val="en-US" w:eastAsia="zh-CN"/>
        </w:rPr>
        <w:t>3</w:t>
      </w:r>
      <w:r>
        <w:rPr>
          <w:rStyle w:val="19"/>
          <w:rFonts w:hint="eastAsia" w:ascii="方正仿宋_GBK" w:hAnsi="方正仿宋_GBK" w:eastAsia="方正仿宋_GBK" w:cs="方正仿宋_GBK"/>
          <w:b w:val="0"/>
          <w:bCs/>
          <w:sz w:val="32"/>
          <w:szCs w:val="32"/>
          <w:shd w:val="clear" w:color="auto" w:fill="FFFFFF"/>
        </w:rPr>
        <w:t>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lang w:eastAsia="zh-CN"/>
        </w:rPr>
      </w:pP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sz w:val="32"/>
          <w:szCs w:val="32"/>
          <w:shd w:val="clear" w:color="auto" w:fill="FFFFFF"/>
        </w:rPr>
        <w:t>1</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17.10</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7.24</w:t>
      </w:r>
      <w:r>
        <w:rPr>
          <w:rFonts w:hint="default" w:ascii="Times New Roman" w:hAnsi="Times New Roman" w:eastAsia="方正仿宋_GBK" w:cs="Times New Roman"/>
          <w:sz w:val="32"/>
          <w:szCs w:val="32"/>
          <w:shd w:val="clear" w:color="auto" w:fill="FFFFFF"/>
        </w:rPr>
        <w:t>%，较年初预算数减少6.11万元，下降26.32%，主要原因是</w:t>
      </w:r>
      <w:r>
        <w:rPr>
          <w:rFonts w:hint="default" w:ascii="Times New Roman" w:hAnsi="Times New Roman" w:eastAsia="方正仿宋_GBK" w:cs="Times New Roman"/>
          <w:kern w:val="0"/>
          <w:sz w:val="32"/>
          <w:szCs w:val="32"/>
          <w:lang w:val="en-US" w:eastAsia="zh-CN" w:bidi="ar"/>
        </w:rPr>
        <w:t>年初预算主要是根据基本情况预估</w:t>
      </w:r>
      <w:r>
        <w:rPr>
          <w:rFonts w:hint="eastAsia" w:ascii="Times New Roman" w:hAnsi="Times New Roman" w:eastAsia="方正仿宋_GBK" w:cs="Times New Roman"/>
          <w:kern w:val="0"/>
          <w:sz w:val="32"/>
          <w:szCs w:val="32"/>
          <w:lang w:val="en-US" w:eastAsia="zh-CN" w:bidi="ar"/>
        </w:rPr>
        <w:t>核算</w:t>
      </w:r>
      <w:r>
        <w:rPr>
          <w:rFonts w:hint="default" w:ascii="Times New Roman" w:hAnsi="Times New Roman" w:eastAsia="方正仿宋_GBK" w:cs="Times New Roman"/>
          <w:kern w:val="0"/>
          <w:sz w:val="32"/>
          <w:szCs w:val="32"/>
          <w:lang w:val="en-US" w:eastAsia="zh-CN" w:bidi="ar"/>
        </w:rPr>
        <w:t>，实际财政收入由财政根据资</w:t>
      </w:r>
      <w:r>
        <w:rPr>
          <w:rFonts w:hint="default" w:ascii="方正仿宋_GBK" w:hAnsi="方正仿宋_GBK" w:eastAsia="方正仿宋_GBK" w:cs="方正仿宋_GBK"/>
          <w:sz w:val="32"/>
          <w:szCs w:val="32"/>
          <w:shd w:val="clear" w:color="auto" w:fill="FFFFFF"/>
          <w:lang w:val="en-US" w:eastAsia="zh-CN"/>
        </w:rPr>
        <w:t>金分配情况统一安排拨款，因此财政拨款支出与年初预算有相应差异。</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shd w:val="clear" w:color="auto" w:fill="FFFFFF"/>
        </w:rPr>
      </w:pPr>
      <w:r>
        <w:rPr>
          <w:rFonts w:hint="default" w:ascii="Times New Roman" w:hAnsi="Times New Roman" w:eastAsia="方正仿宋_GBK" w:cs="Times New Roman"/>
          <w:sz w:val="32"/>
          <w:szCs w:val="32"/>
          <w:shd w:val="clear" w:color="auto" w:fill="FFFFFF"/>
        </w:rPr>
        <w:t>（2）卫生健康支出</w:t>
      </w:r>
      <w:r>
        <w:rPr>
          <w:rFonts w:hint="default" w:ascii="Times New Roman" w:hAnsi="Times New Roman" w:eastAsia="方正仿宋_GBK" w:cs="Times New Roman"/>
          <w:sz w:val="32"/>
          <w:szCs w:val="32"/>
        </w:rPr>
        <w:t>212.94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90.12</w:t>
      </w:r>
      <w:r>
        <w:rPr>
          <w:rFonts w:hint="default" w:ascii="Times New Roman" w:hAnsi="Times New Roman" w:eastAsia="方正仿宋_GBK" w:cs="Times New Roman"/>
          <w:sz w:val="32"/>
          <w:szCs w:val="32"/>
          <w:shd w:val="clear" w:color="auto" w:fill="FFFFFF"/>
        </w:rPr>
        <w:t>%，较年初预算数增加100.73万元，增长89.77%</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cs="Times New Roman"/>
          <w:kern w:val="0"/>
          <w:sz w:val="32"/>
          <w:szCs w:val="32"/>
          <w:lang w:val="en-US" w:eastAsia="zh-CN" w:bidi="ar"/>
        </w:rPr>
        <w:t>主要原因是年初预算主要是根据基本情况预估</w:t>
      </w:r>
      <w:r>
        <w:rPr>
          <w:rFonts w:hint="eastAsia" w:ascii="Times New Roman" w:hAnsi="Times New Roman" w:eastAsia="方正仿宋_GBK" w:cs="Times New Roman"/>
          <w:kern w:val="0"/>
          <w:sz w:val="32"/>
          <w:szCs w:val="32"/>
          <w:lang w:val="en-US" w:eastAsia="zh-CN" w:bidi="ar"/>
        </w:rPr>
        <w:t>核算</w:t>
      </w:r>
      <w:r>
        <w:rPr>
          <w:rFonts w:hint="default" w:ascii="Times New Roman" w:hAnsi="Times New Roman" w:eastAsia="方正仿宋_GBK" w:cs="Times New Roman"/>
          <w:kern w:val="0"/>
          <w:sz w:val="32"/>
          <w:szCs w:val="32"/>
          <w:lang w:val="en-US" w:eastAsia="zh-CN" w:bidi="ar"/>
        </w:rPr>
        <w:t>，实际财政收入由财政根据资</w:t>
      </w:r>
      <w:r>
        <w:rPr>
          <w:rFonts w:hint="default" w:ascii="方正仿宋_GBK" w:hAnsi="方正仿宋_GBK" w:eastAsia="方正仿宋_GBK" w:cs="方正仿宋_GBK"/>
          <w:sz w:val="32"/>
          <w:szCs w:val="32"/>
          <w:shd w:val="clear" w:color="auto" w:fill="FFFFFF"/>
          <w:lang w:val="en-US" w:eastAsia="zh-CN"/>
        </w:rPr>
        <w:t>金分配情况统一安排拨款，因此财政拨款支出与年初预算有相应差异。</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default" w:ascii="Times New Roman" w:hAnsi="Times New Roman" w:eastAsia="方正仿宋_GBK" w:cs="Times New Roman"/>
          <w:sz w:val="32"/>
          <w:szCs w:val="32"/>
          <w:shd w:val="clear" w:color="auto" w:fill="FFFFFF"/>
        </w:rPr>
        <w:t>（3）</w:t>
      </w:r>
      <w:r>
        <w:rPr>
          <w:rFonts w:ascii="方正仿宋_GBK" w:hAnsi="方正仿宋_GBK" w:eastAsia="方正仿宋_GBK" w:cs="方正仿宋_GBK"/>
          <w:sz w:val="32"/>
          <w:szCs w:val="32"/>
        </w:rPr>
        <w:t>住房保障支</w:t>
      </w:r>
      <w:r>
        <w:rPr>
          <w:rFonts w:hint="default" w:ascii="Times New Roman" w:hAnsi="Times New Roman" w:eastAsia="方正仿宋_GBK" w:cs="Times New Roman"/>
          <w:sz w:val="32"/>
          <w:szCs w:val="32"/>
        </w:rPr>
        <w:t>出6.24</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2.64</w:t>
      </w:r>
      <w:r>
        <w:rPr>
          <w:rFonts w:hint="default" w:ascii="Times New Roman" w:hAnsi="Times New Roman" w:eastAsia="方正仿宋_GBK" w:cs="Times New Roman"/>
          <w:sz w:val="32"/>
          <w:szCs w:val="32"/>
          <w:shd w:val="clear" w:color="auto" w:fill="FFFFFF"/>
        </w:rPr>
        <w:t>%，较年初预算数减少4.60万元，下降42.44%，</w:t>
      </w:r>
      <w:r>
        <w:rPr>
          <w:rFonts w:hint="default" w:ascii="Times New Roman" w:hAnsi="Times New Roman" w:eastAsia="方正仿宋_GBK" w:cs="Times New Roman"/>
          <w:sz w:val="32"/>
          <w:szCs w:val="32"/>
          <w:shd w:val="clear" w:color="auto" w:fill="FFFFFF"/>
          <w:lang w:eastAsia="zh-CN"/>
        </w:rPr>
        <w:t>主要原因</w:t>
      </w:r>
      <w:r>
        <w:rPr>
          <w:rFonts w:hint="default" w:ascii="Times New Roman" w:hAnsi="Times New Roman" w:eastAsia="方正仿宋_GBK" w:cs="Times New Roman"/>
          <w:kern w:val="0"/>
          <w:sz w:val="32"/>
          <w:szCs w:val="32"/>
          <w:lang w:val="en-US" w:eastAsia="zh-CN" w:bidi="ar"/>
        </w:rPr>
        <w:t>是年初预算主要是根据基本情况预估核算，实际财政收入由财政根据资</w:t>
      </w:r>
      <w:r>
        <w:rPr>
          <w:rFonts w:hint="default" w:ascii="方正仿宋_GBK" w:hAnsi="方正仿宋_GBK" w:eastAsia="方正仿宋_GBK" w:cs="方正仿宋_GBK"/>
          <w:sz w:val="32"/>
          <w:szCs w:val="32"/>
          <w:shd w:val="clear" w:color="auto" w:fill="FFFFFF"/>
          <w:lang w:val="en-US" w:eastAsia="zh-CN"/>
        </w:rPr>
        <w:t>金分配情况统一安排拨款，因此财政拨款支出与年初预算有相应差异。</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bCs/>
          <w:sz w:val="32"/>
          <w:szCs w:val="32"/>
        </w:rPr>
      </w:pPr>
      <w:r>
        <w:rPr>
          <w:rStyle w:val="19"/>
          <w:rFonts w:hint="eastAsia" w:ascii="方正楷体_GBK" w:hAnsi="方正楷体_GBK" w:eastAsia="方正楷体_GBK" w:cs="方正楷体_GBK"/>
          <w:b w:val="0"/>
          <w:bCs/>
          <w:sz w:val="32"/>
          <w:szCs w:val="32"/>
          <w:shd w:val="clear" w:color="auto" w:fill="FFFFFF"/>
        </w:rPr>
        <w:t>（四）一般公共预算财政拨款基本支出决算情况说明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cs="方正仿宋_GBK"/>
          <w:sz w:val="32"/>
          <w:szCs w:val="32"/>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213.90</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211.64</w:t>
      </w:r>
      <w:r>
        <w:rPr>
          <w:rFonts w:hint="default" w:ascii="Times New Roman" w:hAnsi="Times New Roman" w:eastAsia="方正仿宋_GBK" w:cs="Times New Roman"/>
          <w:sz w:val="32"/>
          <w:szCs w:val="32"/>
          <w:shd w:val="clear" w:color="auto" w:fill="FFFFFF"/>
        </w:rPr>
        <w:t>万元，较上年决算数增加33.70万元，增长18.94%，</w:t>
      </w:r>
      <w:r>
        <w:rPr>
          <w:rFonts w:hint="default" w:ascii="Times New Roman" w:hAnsi="Times New Roman" w:eastAsia="方正仿宋_GBK" w:cs="Times New Roman"/>
          <w:sz w:val="32"/>
          <w:szCs w:val="32"/>
        </w:rPr>
        <w:t>主要原因是人员工资标准调整及人员绩效增加。人员经费用途主要包括人员社会保障、工资、绩效、津补贴支出等</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2.26</w:t>
      </w:r>
      <w:r>
        <w:rPr>
          <w:rFonts w:hint="default" w:ascii="Times New Roman" w:hAnsi="Times New Roman" w:eastAsia="方正仿宋_GBK" w:cs="Times New Roman"/>
          <w:sz w:val="32"/>
          <w:szCs w:val="32"/>
          <w:shd w:val="clear" w:color="auto" w:fill="FFFFFF"/>
        </w:rPr>
        <w:t>万元，较上年决算数减少57.57万元，下降96.22%</w:t>
      </w:r>
      <w:r>
        <w:rPr>
          <w:rFonts w:ascii="方正仿宋_GBK" w:hAnsi="方正仿宋_GBK" w:eastAsia="方正仿宋_GBK" w:cs="方正仿宋_GBK"/>
          <w:sz w:val="32"/>
          <w:szCs w:val="32"/>
          <w:shd w:val="clear" w:color="auto" w:fill="FFFFFF"/>
        </w:rPr>
        <w:t>，主要原因是</w:t>
      </w:r>
      <w:r>
        <w:rPr>
          <w:rFonts w:ascii="方正仿宋_GBK" w:hAnsi="方正仿宋_GBK" w:eastAsia="方正仿宋_GBK" w:cs="方正仿宋_GBK"/>
          <w:sz w:val="32"/>
          <w:szCs w:val="32"/>
        </w:rPr>
        <w:t>培训次数及出差次数</w:t>
      </w:r>
      <w:r>
        <w:rPr>
          <w:rFonts w:hint="eastAsia" w:ascii="方正仿宋_GBK" w:hAnsi="方正仿宋_GBK" w:eastAsia="方正仿宋_GBK" w:cs="方正仿宋_GBK"/>
          <w:sz w:val="32"/>
          <w:szCs w:val="32"/>
          <w:lang w:eastAsia="zh-CN"/>
        </w:rPr>
        <w:t>减少</w:t>
      </w:r>
      <w:r>
        <w:rPr>
          <w:rFonts w:ascii="方正仿宋_GBK" w:hAnsi="方正仿宋_GBK" w:eastAsia="方正仿宋_GBK" w:cs="方正仿宋_GBK"/>
          <w:sz w:val="32"/>
          <w:szCs w:val="32"/>
        </w:rPr>
        <w:t>，相应支出</w:t>
      </w:r>
      <w:r>
        <w:rPr>
          <w:rFonts w:hint="eastAsia" w:ascii="方正仿宋_GBK" w:hAnsi="方正仿宋_GBK" w:eastAsia="方正仿宋_GBK" w:cs="方正仿宋_GBK"/>
          <w:sz w:val="32"/>
          <w:szCs w:val="32"/>
          <w:lang w:eastAsia="zh-CN"/>
        </w:rPr>
        <w:t>减少</w:t>
      </w:r>
      <w:r>
        <w:rPr>
          <w:rFonts w:ascii="方正仿宋_GBK" w:hAnsi="方正仿宋_GBK" w:eastAsia="方正仿宋_GBK" w:cs="方正仿宋_GBK"/>
          <w:sz w:val="32"/>
          <w:szCs w:val="32"/>
        </w:rPr>
        <w:t>，水电费</w:t>
      </w:r>
      <w:r>
        <w:rPr>
          <w:rFonts w:hint="eastAsia" w:ascii="方正仿宋_GBK" w:hAnsi="方正仿宋_GBK" w:eastAsia="方正仿宋_GBK" w:cs="方正仿宋_GBK"/>
          <w:sz w:val="32"/>
          <w:szCs w:val="32"/>
          <w:lang w:eastAsia="zh-CN"/>
        </w:rPr>
        <w:t>减少</w:t>
      </w:r>
      <w:r>
        <w:rPr>
          <w:rFonts w:ascii="方正仿宋_GBK" w:hAnsi="方正仿宋_GBK" w:eastAsia="方正仿宋_GBK" w:cs="方正仿宋_GBK"/>
          <w:sz w:val="32"/>
          <w:szCs w:val="32"/>
        </w:rPr>
        <w:t>，办公费</w:t>
      </w:r>
      <w:r>
        <w:rPr>
          <w:rFonts w:hint="eastAsia" w:ascii="方正仿宋_GBK" w:hAnsi="方正仿宋_GBK" w:eastAsia="方正仿宋_GBK" w:cs="方正仿宋_GBK"/>
          <w:sz w:val="32"/>
          <w:szCs w:val="32"/>
          <w:lang w:eastAsia="zh-CN"/>
        </w:rPr>
        <w:t>减少</w:t>
      </w:r>
      <w:r>
        <w:rPr>
          <w:rFonts w:ascii="方正仿宋_GBK" w:hAnsi="方正仿宋_GBK" w:eastAsia="方正仿宋_GBK" w:cs="方正仿宋_GBK"/>
          <w:sz w:val="32"/>
          <w:szCs w:val="32"/>
        </w:rPr>
        <w:t>。</w:t>
      </w:r>
      <w:r>
        <w:rPr>
          <w:rFonts w:ascii="方正仿宋_GBK" w:hAnsi="方正仿宋_GBK" w:eastAsia="方正仿宋_GBK" w:cs="方正仿宋_GBK"/>
          <w:color w:val="auto"/>
          <w:sz w:val="32"/>
          <w:szCs w:val="32"/>
        </w:rPr>
        <w:t>公用经费</w:t>
      </w:r>
      <w:r>
        <w:rPr>
          <w:rFonts w:ascii="Times New Roman" w:hAnsi="Times New Roman" w:eastAsia="方正仿宋_GBK"/>
          <w:sz w:val="32"/>
          <w:szCs w:val="32"/>
        </w:rPr>
        <w:t>用途主要包括差旅支出、水电支出、办公开支</w:t>
      </w:r>
      <w:r>
        <w:rPr>
          <w:rFonts w:ascii="方正仿宋_GBK" w:hAnsi="方正仿宋_GBK" w:eastAsia="方正仿宋_GBK" w:cs="方正仿宋_GBK"/>
          <w:sz w:val="32"/>
          <w:szCs w:val="32"/>
        </w:rPr>
        <w:t>等</w:t>
      </w:r>
      <w:r>
        <w:rPr>
          <w:sz w:val="27"/>
          <w:szCs w:val="27"/>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bCs/>
          <w:sz w:val="32"/>
          <w:szCs w:val="32"/>
        </w:rPr>
      </w:pPr>
      <w:r>
        <w:rPr>
          <w:rStyle w:val="19"/>
          <w:rFonts w:hint="eastAsia" w:ascii="方正楷体_GBK" w:hAnsi="方正楷体_GBK" w:eastAsia="方正楷体_GBK" w:cs="方正楷体_GBK"/>
          <w:b w:val="0"/>
          <w:bCs/>
          <w:sz w:val="32"/>
          <w:szCs w:val="32"/>
          <w:shd w:val="clear" w:color="auto" w:fill="FFFFFF"/>
        </w:rPr>
        <w:t>（五）政府性基金预算收支决算情况说明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eastAsia" w:ascii="Times New Roman" w:hAnsi="Times New Roman" w:eastAsia="方正仿宋_GBK"/>
          <w:sz w:val="32"/>
          <w:szCs w:val="32"/>
          <w:shd w:val="clear" w:color="auto" w:fill="FFFFFF"/>
          <w:lang w:eastAsia="zh-CN"/>
        </w:rPr>
        <w:t>本单位</w:t>
      </w:r>
      <w:r>
        <w:rPr>
          <w:rFonts w:hint="default"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lang w:val="en-US" w:eastAsia="zh-CN"/>
        </w:rPr>
        <w:t>3</w:t>
      </w:r>
      <w:r>
        <w:rPr>
          <w:rFonts w:ascii="方正仿宋_GBK" w:hAnsi="方正仿宋_GBK" w:eastAsia="方正仿宋_GBK" w:cs="方正仿宋_GBK"/>
          <w:sz w:val="32"/>
          <w:szCs w:val="32"/>
          <w:shd w:val="clear" w:color="auto" w:fill="FFFFFF"/>
        </w:rPr>
        <w:t>年度</w:t>
      </w:r>
      <w:r>
        <w:rPr>
          <w:rFonts w:hint="eastAsia" w:ascii="方正仿宋_GBK" w:hAnsi="方正仿宋_GBK" w:eastAsia="方正仿宋_GBK" w:cs="方正仿宋_GBK"/>
          <w:sz w:val="32"/>
          <w:szCs w:val="32"/>
          <w:shd w:val="clear" w:color="auto" w:fill="FFFFFF"/>
          <w:lang w:eastAsia="zh-CN"/>
        </w:rPr>
        <w:t>无</w:t>
      </w:r>
      <w:r>
        <w:rPr>
          <w:rFonts w:ascii="方正仿宋_GBK" w:hAnsi="方正仿宋_GBK" w:eastAsia="方正仿宋_GBK" w:cs="方正仿宋_GBK"/>
          <w:sz w:val="32"/>
          <w:szCs w:val="32"/>
          <w:shd w:val="clear" w:color="auto" w:fill="FFFFFF"/>
        </w:rPr>
        <w:t>政府性基金预算财政拨款</w:t>
      </w:r>
      <w:r>
        <w:rPr>
          <w:rFonts w:hint="eastAsia" w:ascii="方正仿宋_GBK" w:hAnsi="方正仿宋_GBK" w:eastAsia="方正仿宋_GBK" w:cs="方正仿宋_GBK"/>
          <w:sz w:val="32"/>
          <w:szCs w:val="32"/>
          <w:shd w:val="clear" w:color="auto" w:fill="FFFFFF"/>
          <w:lang w:eastAsia="zh-CN"/>
        </w:rPr>
        <w:t>收支。</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Style w:val="19"/>
          <w:rFonts w:hint="eastAsia" w:ascii="方正楷体_GBK" w:hAnsi="方正楷体_GBK" w:eastAsia="方正楷体_GBK" w:cs="方正楷体_GBK"/>
          <w:b w:val="0"/>
          <w:bCs/>
          <w:sz w:val="32"/>
          <w:szCs w:val="32"/>
          <w:shd w:val="clear" w:color="auto" w:fill="FFFFFF"/>
        </w:rPr>
      </w:pPr>
      <w:r>
        <w:rPr>
          <w:rStyle w:val="19"/>
          <w:rFonts w:hint="eastAsia" w:ascii="方正楷体_GBK" w:hAnsi="方正楷体_GBK" w:eastAsia="方正楷体_GBK" w:cs="方正楷体_GBK"/>
          <w:b w:val="0"/>
          <w:bCs/>
          <w:sz w:val="32"/>
          <w:szCs w:val="32"/>
          <w:shd w:val="clear" w:color="auto" w:fill="FFFFFF"/>
        </w:rPr>
        <w:t>（六）国有资本经营预算财政拨款支出决算情况说明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ascii="方正仿宋_GBK" w:hAnsi="方正仿宋_GBK" w:eastAsia="方正仿宋_GBK" w:cs="方正仿宋_GBK"/>
          <w:sz w:val="32"/>
          <w:szCs w:val="32"/>
        </w:rPr>
        <w:t>本单位</w:t>
      </w:r>
      <w:r>
        <w:rPr>
          <w:rFonts w:hint="default"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方正仿宋_GBK" w:hAnsi="方正仿宋_GBK" w:eastAsia="方正仿宋_GBK" w:cs="方正仿宋_GBK"/>
          <w:sz w:val="32"/>
          <w:szCs w:val="32"/>
        </w:rPr>
        <w:t>年度无国有资本经营预算财政拨款支出</w:t>
      </w:r>
      <w:r>
        <w:rPr>
          <w:rFonts w:hint="eastAsia" w:ascii="方正仿宋_GBK" w:hAnsi="方正仿宋_GBK" w:eastAsia="方正仿宋_GBK" w:cs="方正仿宋_GBK"/>
          <w:sz w:val="32"/>
          <w:szCs w:val="32"/>
          <w:lang w:val="en-US" w:eastAsia="zh-CN"/>
        </w:rPr>
        <w:t>。</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黑体_GBK" w:hAnsi="方正黑体_GBK" w:eastAsia="方正黑体_GBK" w:cs="方正黑体_GBK"/>
          <w:bCs/>
          <w:sz w:val="32"/>
          <w:szCs w:val="32"/>
        </w:rPr>
      </w:pPr>
      <w:r>
        <w:rPr>
          <w:rStyle w:val="19"/>
          <w:rFonts w:hint="eastAsia" w:ascii="方正黑体_GBK" w:hAnsi="方正黑体_GBK" w:eastAsia="方正黑体_GBK" w:cs="方正黑体_GBK"/>
          <w:b w:val="0"/>
          <w:bCs/>
          <w:sz w:val="32"/>
          <w:szCs w:val="32"/>
          <w:shd w:val="clear" w:color="auto" w:fill="FFFFFF"/>
        </w:rPr>
        <w:t>三、“三公”经费情况说明</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sz w:val="32"/>
          <w:szCs w:val="32"/>
        </w:rPr>
      </w:pPr>
      <w:r>
        <w:rPr>
          <w:rStyle w:val="11"/>
          <w:rFonts w:ascii="方正楷体_GBK" w:hAnsi="方正楷体_GBK" w:eastAsia="方正楷体_GBK" w:cs="方正楷体_GBK"/>
          <w:b w:val="0"/>
          <w:bCs w:val="0"/>
          <w:sz w:val="32"/>
          <w:szCs w:val="32"/>
        </w:rPr>
        <w:t>（一）“三公”经费支出总体情况说明</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方正仿宋_GBK" w:hAnsi="方正仿宋_GBK" w:eastAsia="方正仿宋_GBK" w:cs="方正仿宋_GBK"/>
          <w:sz w:val="32"/>
          <w:szCs w:val="32"/>
        </w:rPr>
        <w:t>本单位为差额拨款事业单位，财政未保障本单位“三公”经费。</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sz w:val="32"/>
          <w:szCs w:val="32"/>
        </w:rPr>
      </w:pPr>
      <w:r>
        <w:rPr>
          <w:rStyle w:val="11"/>
          <w:rFonts w:ascii="方正楷体_GBK" w:hAnsi="方正楷体_GBK" w:eastAsia="方正楷体_GBK" w:cs="方正楷体_GBK"/>
          <w:b w:val="0"/>
          <w:bCs w:val="0"/>
          <w:sz w:val="32"/>
          <w:szCs w:val="32"/>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sz w:val="32"/>
          <w:szCs w:val="32"/>
        </w:rPr>
      </w:pPr>
      <w:r>
        <w:rPr>
          <w:rStyle w:val="11"/>
          <w:rFonts w:ascii="方正楷体_GBK" w:hAnsi="方正楷体_GBK" w:eastAsia="方正楷体_GBK" w:cs="方正楷体_GBK"/>
          <w:b w:val="0"/>
          <w:bCs w:val="0"/>
          <w:sz w:val="32"/>
          <w:szCs w:val="32"/>
        </w:rPr>
        <w:t>（三）“三公”经费实物量情况</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方正仿宋_GBK" w:hAnsi="方正仿宋_GBK" w:eastAsia="方正仿宋_GBK" w:cs="方正仿宋_GBK"/>
          <w:sz w:val="32"/>
          <w:szCs w:val="32"/>
        </w:rPr>
        <w:t>年度本单位因公出国（境）共计</w:t>
      </w:r>
      <w:r>
        <w:rPr>
          <w:rFonts w:ascii="Times New Roman" w:hAnsi="Times New Roman" w:eastAsia="方正仿宋_GBK"/>
          <w:sz w:val="32"/>
          <w:szCs w:val="32"/>
        </w:rPr>
        <w:t>0</w:t>
      </w:r>
      <w:r>
        <w:rPr>
          <w:rFonts w:ascii="方正仿宋_GBK" w:hAnsi="方正仿宋_GBK" w:eastAsia="方正仿宋_GBK" w:cs="方正仿宋_GBK"/>
          <w:sz w:val="32"/>
          <w:szCs w:val="32"/>
        </w:rPr>
        <w:t>个团组，</w:t>
      </w:r>
      <w:r>
        <w:rPr>
          <w:rFonts w:ascii="Times New Roman" w:hAnsi="Times New Roman" w:eastAsia="方正仿宋_GBK"/>
          <w:sz w:val="32"/>
          <w:szCs w:val="32"/>
        </w:rPr>
        <w:t>0</w:t>
      </w:r>
      <w:r>
        <w:rPr>
          <w:rFonts w:ascii="方正仿宋_GBK" w:hAnsi="方正仿宋_GBK" w:eastAsia="方正仿宋_GBK" w:cs="方正仿宋_GBK"/>
          <w:sz w:val="32"/>
          <w:szCs w:val="32"/>
        </w:rPr>
        <w:t>人；公务用车购置</w:t>
      </w:r>
      <w:r>
        <w:rPr>
          <w:rFonts w:ascii="Times New Roman" w:hAnsi="Times New Roman" w:eastAsia="方正仿宋_GBK"/>
          <w:sz w:val="32"/>
          <w:szCs w:val="32"/>
        </w:rPr>
        <w:t>0</w:t>
      </w:r>
      <w:r>
        <w:rPr>
          <w:rFonts w:ascii="方正仿宋_GBK" w:hAnsi="方正仿宋_GBK" w:eastAsia="方正仿宋_GBK" w:cs="方正仿宋_GBK"/>
          <w:sz w:val="32"/>
          <w:szCs w:val="32"/>
        </w:rPr>
        <w:t>辆，公务车保有量为</w:t>
      </w:r>
      <w:r>
        <w:rPr>
          <w:rFonts w:ascii="Times New Roman" w:hAnsi="Times New Roman" w:eastAsia="方正仿宋_GBK"/>
          <w:sz w:val="32"/>
          <w:szCs w:val="32"/>
        </w:rPr>
        <w:t>0</w:t>
      </w:r>
      <w:r>
        <w:rPr>
          <w:rFonts w:ascii="方正仿宋_GBK" w:hAnsi="方正仿宋_GBK" w:eastAsia="方正仿宋_GBK" w:cs="方正仿宋_GBK"/>
          <w:sz w:val="32"/>
          <w:szCs w:val="32"/>
        </w:rPr>
        <w:t>辆；国内公务接待</w:t>
      </w:r>
      <w:r>
        <w:rPr>
          <w:rFonts w:ascii="Times New Roman" w:hAnsi="Times New Roman" w:eastAsia="方正仿宋_GBK"/>
          <w:sz w:val="32"/>
          <w:szCs w:val="32"/>
        </w:rPr>
        <w:t>0</w:t>
      </w:r>
      <w:r>
        <w:rPr>
          <w:rFonts w:ascii="方正仿宋_GBK" w:hAnsi="方正仿宋_GBK" w:eastAsia="方正仿宋_GBK" w:cs="方正仿宋_GBK"/>
          <w:sz w:val="32"/>
          <w:szCs w:val="32"/>
        </w:rPr>
        <w:t>批次</w:t>
      </w:r>
      <w:r>
        <w:rPr>
          <w:rFonts w:ascii="Times New Roman" w:hAnsi="Times New Roman" w:eastAsia="方正仿宋_GBK"/>
          <w:sz w:val="32"/>
          <w:szCs w:val="32"/>
        </w:rPr>
        <w:t>0</w:t>
      </w:r>
      <w:r>
        <w:rPr>
          <w:rFonts w:ascii="方正仿宋_GBK" w:hAnsi="方正仿宋_GBK" w:eastAsia="方正仿宋_GBK" w:cs="方正仿宋_GBK"/>
          <w:sz w:val="32"/>
          <w:szCs w:val="32"/>
        </w:rPr>
        <w:t>人，其中：国内外事接待</w:t>
      </w:r>
      <w:r>
        <w:rPr>
          <w:rFonts w:ascii="Times New Roman" w:hAnsi="Times New Roman" w:eastAsia="方正仿宋_GBK"/>
          <w:sz w:val="32"/>
          <w:szCs w:val="32"/>
        </w:rPr>
        <w:t>0</w:t>
      </w:r>
      <w:r>
        <w:rPr>
          <w:rFonts w:ascii="方正仿宋_GBK" w:hAnsi="方正仿宋_GBK" w:eastAsia="方正仿宋_GBK" w:cs="方正仿宋_GBK"/>
          <w:sz w:val="32"/>
          <w:szCs w:val="32"/>
        </w:rPr>
        <w:t>批次，</w:t>
      </w:r>
      <w:r>
        <w:rPr>
          <w:rFonts w:ascii="Times New Roman" w:hAnsi="Times New Roman" w:eastAsia="方正仿宋_GBK"/>
          <w:sz w:val="32"/>
          <w:szCs w:val="32"/>
        </w:rPr>
        <w:t>0</w:t>
      </w:r>
      <w:r>
        <w:rPr>
          <w:rFonts w:ascii="方正仿宋_GBK" w:hAnsi="方正仿宋_GBK" w:eastAsia="方正仿宋_GBK" w:cs="方正仿宋_GBK"/>
          <w:sz w:val="32"/>
          <w:szCs w:val="32"/>
        </w:rPr>
        <w:t>人；国（境）外公务接待</w:t>
      </w:r>
      <w:r>
        <w:rPr>
          <w:rFonts w:ascii="Times New Roman" w:hAnsi="Times New Roman" w:eastAsia="方正仿宋_GBK"/>
          <w:sz w:val="32"/>
          <w:szCs w:val="32"/>
        </w:rPr>
        <w:t>0</w:t>
      </w:r>
      <w:r>
        <w:rPr>
          <w:rFonts w:ascii="方正仿宋_GBK" w:hAnsi="方正仿宋_GBK" w:eastAsia="方正仿宋_GBK" w:cs="方正仿宋_GBK"/>
          <w:sz w:val="32"/>
          <w:szCs w:val="32"/>
        </w:rPr>
        <w:t>批次，</w:t>
      </w:r>
      <w:r>
        <w:rPr>
          <w:rFonts w:ascii="Times New Roman" w:hAnsi="Times New Roman" w:eastAsia="方正仿宋_GBK"/>
          <w:sz w:val="32"/>
          <w:szCs w:val="32"/>
        </w:rPr>
        <w:t>0</w:t>
      </w:r>
      <w:r>
        <w:rPr>
          <w:rFonts w:ascii="方正仿宋_GBK" w:hAnsi="方正仿宋_GBK" w:eastAsia="方正仿宋_GBK" w:cs="方正仿宋_GBK"/>
          <w:sz w:val="32"/>
          <w:szCs w:val="32"/>
        </w:rPr>
        <w:t>人。</w:t>
      </w: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方正仿宋_GBK" w:hAnsi="方正仿宋_GBK" w:eastAsia="方正仿宋_GBK" w:cs="方正仿宋_GBK"/>
          <w:sz w:val="32"/>
          <w:szCs w:val="32"/>
        </w:rPr>
        <w:t>年本单位人均接待费</w:t>
      </w:r>
      <w:r>
        <w:rPr>
          <w:rFonts w:ascii="Times New Roman" w:hAnsi="Times New Roman" w:eastAsia="方正仿宋_GBK"/>
          <w:sz w:val="32"/>
          <w:szCs w:val="32"/>
        </w:rPr>
        <w:t>0.00</w:t>
      </w:r>
      <w:r>
        <w:rPr>
          <w:rFonts w:ascii="方正仿宋_GBK" w:hAnsi="方正仿宋_GBK" w:eastAsia="方正仿宋_GBK" w:cs="方正仿宋_GBK"/>
          <w:sz w:val="32"/>
          <w:szCs w:val="32"/>
        </w:rPr>
        <w:t>元，车均购置费</w:t>
      </w:r>
      <w:r>
        <w:rPr>
          <w:rFonts w:ascii="Times New Roman" w:hAnsi="Times New Roman" w:eastAsia="方正仿宋_GBK"/>
          <w:sz w:val="32"/>
          <w:szCs w:val="32"/>
        </w:rPr>
        <w:t>0.00</w:t>
      </w:r>
      <w:r>
        <w:rPr>
          <w:rFonts w:ascii="方正仿宋_GBK" w:hAnsi="方正仿宋_GBK" w:eastAsia="方正仿宋_GBK" w:cs="方正仿宋_GBK"/>
          <w:sz w:val="32"/>
          <w:szCs w:val="32"/>
        </w:rPr>
        <w:t>万元，车均维护费</w:t>
      </w:r>
      <w:r>
        <w:rPr>
          <w:rFonts w:ascii="Times New Roman" w:hAnsi="Times New Roman" w:eastAsia="方正仿宋_GBK"/>
          <w:sz w:val="32"/>
          <w:szCs w:val="32"/>
        </w:rPr>
        <w:t>0.00</w:t>
      </w:r>
      <w:r>
        <w:rPr>
          <w:rFonts w:ascii="方正仿宋_GBK" w:hAnsi="方正仿宋_GBK" w:eastAsia="方正仿宋_GBK" w:cs="方正仿宋_GBK"/>
          <w:sz w:val="32"/>
          <w:szCs w:val="32"/>
        </w:rPr>
        <w:t>万元。</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方正黑体_GBK" w:hAnsi="方正黑体_GBK" w:eastAsia="方正黑体_GBK" w:cs="方正黑体_GBK"/>
          <w:kern w:val="2"/>
          <w:sz w:val="32"/>
          <w:szCs w:val="32"/>
          <w:highlight w:val="none"/>
          <w:lang w:eastAsia="zh-CN"/>
        </w:rPr>
      </w:pPr>
      <w:r>
        <w:rPr>
          <w:rFonts w:hint="eastAsia" w:ascii="方正黑体_GBK" w:hAnsi="方正黑体_GBK" w:eastAsia="方正黑体_GBK" w:cs="方正黑体_GBK"/>
          <w:kern w:val="2"/>
          <w:sz w:val="32"/>
          <w:szCs w:val="32"/>
          <w:highlight w:val="none"/>
          <w:lang w:eastAsia="zh-CN"/>
        </w:rPr>
        <w:t>四、其他需要说明的事项</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楷体_GBK" w:hAnsi="方正楷体_GBK" w:eastAsia="方正楷体_GBK" w:cs="方正楷体_GBK"/>
          <w:kern w:val="2"/>
          <w:sz w:val="32"/>
          <w:szCs w:val="32"/>
          <w:highlight w:val="none"/>
          <w:lang w:eastAsia="zh-CN"/>
        </w:rPr>
      </w:pPr>
      <w:r>
        <w:rPr>
          <w:rFonts w:hint="eastAsia" w:ascii="方正楷体_GBK" w:hAnsi="方正楷体_GBK" w:eastAsia="方正楷体_GBK" w:cs="方正楷体_GBK"/>
          <w:kern w:val="2"/>
          <w:sz w:val="32"/>
          <w:szCs w:val="32"/>
          <w:highlight w:val="none"/>
          <w:lang w:eastAsia="zh-CN"/>
        </w:rPr>
        <w:t>（一）财政拨款会议费和培训费情况说明</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仿宋_GBK" w:hAnsi="方正仿宋_GBK" w:eastAsia="方正仿宋_GBK" w:cs="方正仿宋_GBK"/>
          <w:kern w:val="2"/>
          <w:sz w:val="32"/>
          <w:szCs w:val="32"/>
          <w:highlight w:val="none"/>
          <w:lang w:eastAsia="zh-CN"/>
        </w:rPr>
      </w:pPr>
      <w:r>
        <w:rPr>
          <w:rFonts w:hint="eastAsia" w:ascii="方正仿宋_GBK" w:hAnsi="方正仿宋_GBK" w:eastAsia="方正仿宋_GBK" w:cs="方正仿宋_GBK"/>
          <w:kern w:val="2"/>
          <w:sz w:val="32"/>
          <w:szCs w:val="32"/>
          <w:highlight w:val="none"/>
          <w:lang w:eastAsia="zh-CN"/>
        </w:rPr>
        <w:t>因本单位为差额拨款事业单位，财政未保障本单位会议费和培训费。</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楷体_GBK" w:hAnsi="方正楷体_GBK" w:eastAsia="方正楷体_GBK" w:cs="方正楷体_GBK"/>
          <w:kern w:val="2"/>
          <w:sz w:val="32"/>
          <w:szCs w:val="32"/>
          <w:highlight w:val="none"/>
          <w:lang w:eastAsia="zh-CN"/>
        </w:rPr>
      </w:pPr>
      <w:r>
        <w:rPr>
          <w:rFonts w:hint="eastAsia" w:ascii="方正楷体_GBK" w:hAnsi="方正楷体_GBK" w:eastAsia="方正楷体_GBK" w:cs="方正楷体_GBK"/>
          <w:kern w:val="2"/>
          <w:sz w:val="32"/>
          <w:szCs w:val="32"/>
          <w:highlight w:val="none"/>
          <w:lang w:eastAsia="zh-CN"/>
        </w:rPr>
        <w:t>（二）机关运行经费情况说明</w:t>
      </w:r>
    </w:p>
    <w:p>
      <w:pPr>
        <w:keepNext w:val="0"/>
        <w:keepLines w:val="0"/>
        <w:pageBreakBefore w:val="0"/>
        <w:widowControl w:val="0"/>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eastAsia" w:ascii="方正仿宋_GBK" w:hAnsi="方正仿宋_GBK" w:eastAsia="方正仿宋_GBK" w:cs="方正仿宋_GBK"/>
          <w:kern w:val="2"/>
          <w:sz w:val="32"/>
          <w:szCs w:val="32"/>
          <w:highlight w:val="none"/>
          <w:lang w:eastAsia="zh-CN"/>
        </w:rPr>
      </w:pPr>
      <w:r>
        <w:rPr>
          <w:rFonts w:hint="eastAsia" w:ascii="方正仿宋_GBK" w:hAnsi="方正仿宋_GBK" w:eastAsia="方正仿宋_GBK" w:cs="方正仿宋_GBK"/>
          <w:kern w:val="2"/>
          <w:sz w:val="32"/>
          <w:szCs w:val="32"/>
          <w:highlight w:val="none"/>
          <w:lang w:eastAsia="zh-CN"/>
        </w:rPr>
        <w:t>按照部门决算列报口径，因本单位为差额拨款事业单位不在机关运行经费统计范围之内。</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楷体_GBK" w:hAnsi="方正楷体_GBK" w:eastAsia="方正楷体_GBK" w:cs="方正楷体_GBK"/>
          <w:bCs/>
          <w:sz w:val="32"/>
          <w:szCs w:val="32"/>
        </w:rPr>
      </w:pPr>
      <w:r>
        <w:rPr>
          <w:rStyle w:val="19"/>
          <w:rFonts w:hint="eastAsia" w:ascii="方正楷体_GBK" w:hAnsi="方正楷体_GBK" w:eastAsia="方正楷体_GBK" w:cs="方正楷体_GBK"/>
          <w:b w:val="0"/>
          <w:bCs/>
          <w:sz w:val="32"/>
          <w:szCs w:val="32"/>
          <w:shd w:val="clear" w:color="auto" w:fill="FFFFFF"/>
        </w:rPr>
        <w:t>（</w:t>
      </w:r>
      <w:r>
        <w:rPr>
          <w:rStyle w:val="19"/>
          <w:rFonts w:hint="eastAsia" w:ascii="方正楷体_GBK" w:hAnsi="方正楷体_GBK" w:eastAsia="方正楷体_GBK" w:cs="方正楷体_GBK"/>
          <w:b w:val="0"/>
          <w:bCs/>
          <w:sz w:val="32"/>
          <w:szCs w:val="32"/>
          <w:shd w:val="clear" w:color="auto" w:fill="FFFFFF"/>
          <w:lang w:eastAsia="zh-CN"/>
        </w:rPr>
        <w:t>三</w:t>
      </w:r>
      <w:r>
        <w:rPr>
          <w:rStyle w:val="19"/>
          <w:rFonts w:hint="eastAsia" w:ascii="方正楷体_GBK" w:hAnsi="方正楷体_GBK" w:eastAsia="方正楷体_GBK" w:cs="方正楷体_GBK"/>
          <w:b w:val="0"/>
          <w:bCs/>
          <w:sz w:val="32"/>
          <w:szCs w:val="32"/>
          <w:shd w:val="clear" w:color="auto" w:fill="FFFFFF"/>
        </w:rPr>
        <w:t>）国有资产占用情况说明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sz w:val="32"/>
          <w:szCs w:val="32"/>
        </w:rPr>
      </w:pPr>
      <w:r>
        <w:rPr>
          <w:rFonts w:hint="default" w:ascii="Times New Roman" w:hAnsi="Times New Roman" w:eastAsia="方正仿宋_GBK" w:cs="Times New Roman"/>
          <w:sz w:val="32"/>
          <w:szCs w:val="32"/>
          <w:shd w:val="clear" w:color="auto" w:fill="FFFFFF"/>
        </w:rPr>
        <w:t xml:space="preserve"> 截至2023年12月31日，本单位共有车辆</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r>
        <w:rPr>
          <w:rFonts w:ascii="方正仿宋_GBK" w:hAnsi="方正仿宋_GBK" w:eastAsia="方正仿宋_GBK" w:cs="方正仿宋_GBK"/>
          <w:sz w:val="32"/>
          <w:szCs w:val="32"/>
        </w:rPr>
        <w:t>。</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9"/>
          <w:rFonts w:hint="eastAsia" w:ascii="方正楷体_GBK" w:hAnsi="方正楷体_GBK" w:eastAsia="方正楷体_GBK" w:cs="方正楷体_GBK"/>
          <w:b w:val="0"/>
          <w:bCs/>
          <w:sz w:val="32"/>
          <w:szCs w:val="32"/>
          <w:shd w:val="clear" w:color="auto" w:fill="FFFFFF"/>
        </w:rPr>
      </w:pPr>
      <w:r>
        <w:rPr>
          <w:rStyle w:val="19"/>
          <w:rFonts w:hint="eastAsia" w:ascii="方正楷体_GBK" w:hAnsi="方正楷体_GBK" w:eastAsia="方正楷体_GBK" w:cs="方正楷体_GBK"/>
          <w:b w:val="0"/>
          <w:bCs/>
          <w:sz w:val="32"/>
          <w:szCs w:val="32"/>
          <w:shd w:val="clear" w:color="auto" w:fill="FFFFFF"/>
        </w:rPr>
        <w:t>（</w:t>
      </w:r>
      <w:r>
        <w:rPr>
          <w:rStyle w:val="19"/>
          <w:rFonts w:hint="eastAsia" w:ascii="方正楷体_GBK" w:hAnsi="方正楷体_GBK" w:eastAsia="方正楷体_GBK" w:cs="方正楷体_GBK"/>
          <w:b w:val="0"/>
          <w:bCs/>
          <w:sz w:val="32"/>
          <w:szCs w:val="32"/>
          <w:shd w:val="clear" w:color="auto" w:fill="FFFFFF"/>
          <w:lang w:eastAsia="zh-CN"/>
        </w:rPr>
        <w:t>四</w:t>
      </w:r>
      <w:r>
        <w:rPr>
          <w:rStyle w:val="19"/>
          <w:rFonts w:hint="eastAsia" w:ascii="方正楷体_GBK" w:hAnsi="方正楷体_GBK" w:eastAsia="方正楷体_GBK" w:cs="方正楷体_GBK"/>
          <w:b w:val="0"/>
          <w:bCs/>
          <w:sz w:val="32"/>
          <w:szCs w:val="32"/>
          <w:shd w:val="clear" w:color="auto" w:fill="FFFFFF"/>
        </w:rPr>
        <w:t>）政府采购支出情况说明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rPr>
      </w:pPr>
      <w:r>
        <w:rPr>
          <w:rFonts w:ascii="Times New Roman" w:hAnsi="Times New Roman" w:eastAsia="方正仿宋_GBK"/>
          <w:sz w:val="32"/>
          <w:szCs w:val="32"/>
        </w:rPr>
        <w:t>202</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年度</w:t>
      </w:r>
      <w:r>
        <w:rPr>
          <w:rFonts w:ascii="方正仿宋_GBK" w:hAnsi="方正仿宋_GBK" w:eastAsia="方正仿宋_GBK" w:cs="方正仿宋_GBK"/>
          <w:sz w:val="32"/>
          <w:szCs w:val="32"/>
        </w:rPr>
        <w:t>本单位未发生政府采购事项，无相关经费支出</w:t>
      </w:r>
      <w:r>
        <w:rPr>
          <w:sz w:val="27"/>
          <w:szCs w:val="27"/>
        </w:rPr>
        <w:t>。</w:t>
      </w:r>
    </w:p>
    <w:p>
      <w:pPr>
        <w:pStyle w:val="9"/>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9"/>
          <w:rFonts w:hint="eastAsia" w:ascii="方正黑体_GBK" w:hAnsi="方正黑体_GBK" w:eastAsia="方正黑体_GBK" w:cs="方正黑体_GBK"/>
          <w:b w:val="0"/>
          <w:bCs/>
          <w:sz w:val="32"/>
          <w:szCs w:val="32"/>
          <w:shd w:val="clear" w:color="auto" w:fill="FFFFFF"/>
        </w:rPr>
      </w:pPr>
      <w:r>
        <w:rPr>
          <w:rStyle w:val="19"/>
          <w:rFonts w:hint="eastAsia" w:ascii="方正黑体_GBK" w:hAnsi="方正黑体_GBK" w:eastAsia="方正黑体_GBK" w:cs="方正黑体_GBK"/>
          <w:b w:val="0"/>
          <w:bCs/>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708" w:tblpY="309"/>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bookmarkStart w:id="0" w:name="_GoBack" w:colFirst="2" w:colLast="10"/>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bookmarkEnd w:id="0"/>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p>
      <w:pPr>
        <w:pStyle w:val="14"/>
        <w:keepNext w:val="0"/>
        <w:keepLines w:val="0"/>
        <w:pageBreakBefore w:val="0"/>
        <w:widowControl/>
        <w:numPr>
          <w:ilvl w:val="0"/>
          <w:numId w:val="3"/>
        </w:numPr>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r>
        <w:rPr>
          <w:rFonts w:hint="eastAsia" w:ascii="Times New Roman" w:hAnsi="Times New Roman" w:eastAsia="方正仿宋_GBK" w:cs="Times New Roman"/>
          <w:b w:val="0"/>
          <w:bCs w:val="0"/>
          <w:kern w:val="0"/>
          <w:sz w:val="32"/>
          <w:szCs w:val="32"/>
          <w:lang w:val="en-US" w:eastAsia="zh-CN" w:bidi="ar-SA"/>
        </w:rPr>
        <w:t>。</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9"/>
          <w:rFonts w:hint="default" w:ascii="方正黑体_GBK" w:hAnsi="方正黑体_GBK" w:eastAsia="方正黑体_GBK" w:cs="方正黑体_GBK"/>
          <w:b w:val="0"/>
          <w:bCs/>
          <w:sz w:val="32"/>
          <w:szCs w:val="32"/>
          <w:shd w:val="clear" w:color="auto" w:fill="FFFFFF"/>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keepNext w:val="0"/>
        <w:keepLines w:val="0"/>
        <w:pageBreakBefore w:val="0"/>
        <w:widowControl/>
        <w:kinsoku/>
        <w:wordWrap/>
        <w:overflowPunct/>
        <w:topLinePunct w:val="0"/>
        <w:autoSpaceDE w:val="0"/>
        <w:autoSpaceDN w:val="0"/>
        <w:bidi w:val="0"/>
        <w:adjustRightInd/>
        <w:snapToGrid/>
        <w:spacing w:after="0" w:line="560" w:lineRule="exact"/>
        <w:ind w:firstLine="640" w:firstLineChars="200"/>
        <w:jc w:val="both"/>
        <w:textAlignment w:val="auto"/>
        <w:outlineLvl w:val="9"/>
        <w:rPr>
          <w:rFonts w:hint="default" w:ascii="方正黑体_GBK" w:hAnsi="方正黑体_GBK" w:eastAsia="方正黑体_GBK" w:cs="方正黑体_GBK"/>
          <w:kern w:val="2"/>
          <w:sz w:val="32"/>
          <w:szCs w:val="32"/>
          <w:highlight w:val="none"/>
        </w:rPr>
      </w:pPr>
      <w:r>
        <w:rPr>
          <w:rFonts w:hint="eastAsia" w:ascii="方正黑体_GBK" w:hAnsi="方正黑体_GBK" w:eastAsia="方正黑体_GBK" w:cs="方正黑体_GBK"/>
          <w:kern w:val="2"/>
          <w:sz w:val="32"/>
          <w:szCs w:val="32"/>
          <w:highlight w:val="none"/>
        </w:rPr>
        <w:t>六、专业名词解释</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（一）财政拨款收入：</w:t>
      </w:r>
      <w:r>
        <w:rPr>
          <w:rFonts w:ascii="Times New Roman" w:hAnsi="Times New Roman" w:eastAsia="方正仿宋_GBK" w:cs="方正仿宋_GBK"/>
          <w:b w:val="0"/>
          <w:bCs w:val="0"/>
          <w:color w:val="auto"/>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（二）事业收入：</w:t>
      </w:r>
      <w:r>
        <w:rPr>
          <w:rFonts w:ascii="Times New Roman" w:hAnsi="Times New Roman" w:eastAsia="方正仿宋_GBK" w:cs="方正仿宋_GBK"/>
          <w:b w:val="0"/>
          <w:bCs w:val="0"/>
          <w:color w:val="auto"/>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（三）经营收入：</w:t>
      </w:r>
      <w:r>
        <w:rPr>
          <w:rFonts w:ascii="Times New Roman" w:hAnsi="Times New Roman" w:eastAsia="方正仿宋_GBK" w:cs="方正仿宋_GBK"/>
          <w:b w:val="0"/>
          <w:bCs w:val="0"/>
          <w:color w:val="auto"/>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（四）其他收入：</w:t>
      </w:r>
      <w:r>
        <w:rPr>
          <w:rFonts w:ascii="Times New Roman" w:hAnsi="Times New Roman" w:eastAsia="方正仿宋_GBK" w:cs="方正仿宋_GBK"/>
          <w:b w:val="0"/>
          <w:bCs w:val="0"/>
          <w:color w:val="auto"/>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（五）使用非财政拨款结余：</w:t>
      </w:r>
      <w:r>
        <w:rPr>
          <w:rFonts w:ascii="Times New Roman" w:hAnsi="Times New Roman" w:eastAsia="方正仿宋_GBK" w:cs="方正仿宋_GBK"/>
          <w:b w:val="0"/>
          <w:bCs w:val="0"/>
          <w:color w:val="auto"/>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（六）年初结转和结余：</w:t>
      </w:r>
      <w:r>
        <w:rPr>
          <w:rFonts w:ascii="Times New Roman" w:hAnsi="Times New Roman" w:eastAsia="方正仿宋_GBK" w:cs="方正仿宋_GBK"/>
          <w:b w:val="0"/>
          <w:bCs w:val="0"/>
          <w:color w:val="auto"/>
          <w:sz w:val="32"/>
          <w:szCs w:val="32"/>
          <w:shd w:val="clear" w:color="auto" w:fill="FFFFFF"/>
        </w:rPr>
        <w:t>指单位上年结转本年使用的基本支出结转、项目支出结转和结余、经营结余。</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（七）结余分配：</w:t>
      </w:r>
      <w:r>
        <w:rPr>
          <w:rFonts w:ascii="Times New Roman" w:hAnsi="Times New Roman" w:eastAsia="方正仿宋_GBK" w:cs="方正仿宋_GBK"/>
          <w:b w:val="0"/>
          <w:bCs w:val="0"/>
          <w:color w:val="auto"/>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（八）年末结转和结余：</w:t>
      </w:r>
      <w:r>
        <w:rPr>
          <w:rFonts w:ascii="Times New Roman" w:hAnsi="Times New Roman" w:eastAsia="方正仿宋_GBK" w:cs="方正仿宋_GBK"/>
          <w:b w:val="0"/>
          <w:bCs w:val="0"/>
          <w:color w:val="auto"/>
          <w:sz w:val="32"/>
          <w:szCs w:val="32"/>
          <w:shd w:val="clear" w:color="auto" w:fill="FFFFFF"/>
        </w:rPr>
        <w:t>指单位结转下年的基本支出结转、项目支出结转和结余、经营结余。</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（九）基本支出：</w:t>
      </w:r>
      <w:r>
        <w:rPr>
          <w:rFonts w:ascii="Times New Roman" w:hAnsi="Times New Roman" w:eastAsia="方正仿宋_GBK" w:cs="方正仿宋_GBK"/>
          <w:b w:val="0"/>
          <w:bCs w:val="0"/>
          <w:color w:val="auto"/>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（十）项目支出：</w:t>
      </w:r>
      <w:r>
        <w:rPr>
          <w:rFonts w:ascii="Times New Roman" w:hAnsi="Times New Roman" w:eastAsia="方正仿宋_GBK" w:cs="方正仿宋_GBK"/>
          <w:b w:val="0"/>
          <w:bCs w:val="0"/>
          <w:color w:val="auto"/>
          <w:sz w:val="32"/>
          <w:szCs w:val="32"/>
          <w:shd w:val="clear" w:color="auto" w:fill="FFFFFF"/>
        </w:rPr>
        <w:t>指在基本支出之外为完成特定行政任务和事业发展目标所发生的支出。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（十一）经营支出：</w:t>
      </w:r>
      <w:r>
        <w:rPr>
          <w:rFonts w:ascii="Times New Roman" w:hAnsi="Times New Roman" w:eastAsia="方正仿宋_GBK" w:cs="方正仿宋_GBK"/>
          <w:b w:val="0"/>
          <w:bCs w:val="0"/>
          <w:color w:val="auto"/>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（十二）“三公”经费：</w:t>
      </w:r>
      <w:r>
        <w:rPr>
          <w:rFonts w:ascii="Times New Roman" w:hAnsi="Times New Roman" w:eastAsia="方正仿宋_GBK" w:cs="方正仿宋_GBK"/>
          <w:b w:val="0"/>
          <w:bCs w:val="0"/>
          <w:color w:val="auto"/>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（十三）机关运行经费：</w:t>
      </w:r>
      <w:r>
        <w:rPr>
          <w:rFonts w:ascii="Times New Roman" w:hAnsi="Times New Roman" w:eastAsia="方正仿宋_GBK" w:cs="方正仿宋_GBK"/>
          <w:b w:val="0"/>
          <w:bCs w:val="0"/>
          <w:color w:val="auto"/>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（十四）工资福利支出（支出经济分类科目类级）：</w:t>
      </w:r>
      <w:r>
        <w:rPr>
          <w:rFonts w:ascii="Times New Roman" w:hAnsi="Times New Roman" w:eastAsia="方正仿宋_GBK" w:cs="方正仿宋_GBK"/>
          <w:b w:val="0"/>
          <w:bCs w:val="0"/>
          <w:color w:val="auto"/>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（十五）商品和服务支出（支出经济分类科目类级）：</w:t>
      </w:r>
      <w:r>
        <w:rPr>
          <w:rFonts w:ascii="Times New Roman" w:hAnsi="Times New Roman" w:eastAsia="方正仿宋_GBK" w:cs="方正仿宋_GBK"/>
          <w:b w:val="0"/>
          <w:bCs w:val="0"/>
          <w:color w:val="auto"/>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（十六）对个人和家庭的补助（支出经济分类科目类级）：</w:t>
      </w:r>
      <w:r>
        <w:rPr>
          <w:rFonts w:ascii="Times New Roman" w:hAnsi="Times New Roman" w:eastAsia="方正仿宋_GBK" w:cs="方正仿宋_GBK"/>
          <w:b w:val="0"/>
          <w:bCs w:val="0"/>
          <w:color w:val="auto"/>
          <w:sz w:val="32"/>
          <w:szCs w:val="32"/>
          <w:shd w:val="clear" w:color="auto" w:fill="FFFFFF"/>
        </w:rPr>
        <w:t>反映用于对个人和家庭的补助支出。</w:t>
      </w:r>
    </w:p>
    <w:p>
      <w:pPr>
        <w:pStyle w:val="9"/>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方正仿宋_GBK"/>
          <w:b w:val="0"/>
          <w:bCs w:val="0"/>
          <w:color w:val="auto"/>
          <w:sz w:val="32"/>
          <w:szCs w:val="32"/>
        </w:rPr>
      </w:pPr>
      <w:r>
        <w:rPr>
          <w:rStyle w:val="11"/>
          <w:rFonts w:hint="eastAsia" w:ascii="方正楷体_GBK" w:hAnsi="方正楷体_GBK" w:eastAsia="方正楷体_GBK" w:cs="方正楷体_GBK"/>
          <w:b w:val="0"/>
          <w:bCs w:val="0"/>
          <w:color w:val="auto"/>
          <w:sz w:val="32"/>
          <w:szCs w:val="32"/>
          <w:shd w:val="clear" w:color="auto" w:fill="FFFFFF"/>
        </w:rPr>
        <w:t>（十七）其他资本性支出（支出经济分类科目类级）：</w:t>
      </w:r>
      <w:r>
        <w:rPr>
          <w:rFonts w:ascii="Times New Roman" w:hAnsi="Times New Roman" w:eastAsia="方正仿宋_GBK" w:cs="方正仿宋_GBK"/>
          <w:b w:val="0"/>
          <w:bCs w:val="0"/>
          <w:color w:val="auto"/>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color w:val="auto"/>
          <w:sz w:val="32"/>
          <w:szCs w:val="32"/>
          <w:shd w:val="clear" w:color="auto" w:fill="FFFFFF"/>
        </w:rPr>
      </w:pPr>
      <w:r>
        <w:rPr>
          <w:rStyle w:val="11"/>
          <w:rFonts w:hint="eastAsia" w:ascii="方正黑体_GBK" w:hAnsi="方正黑体_GBK" w:eastAsia="方正黑体_GBK" w:cs="方正黑体_GBK"/>
          <w:b w:val="0"/>
          <w:bCs w:val="0"/>
          <w:color w:val="auto"/>
          <w:sz w:val="32"/>
          <w:szCs w:val="32"/>
          <w:shd w:val="clear" w:color="auto" w:fill="FFFFFF"/>
        </w:rPr>
        <w:t>七、决算公开联系方式及信息反馈渠道</w:t>
      </w:r>
    </w:p>
    <w:p>
      <w:pPr>
        <w:pStyle w:val="9"/>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仿宋_GBK" w:hAnsi="方正仿宋_GBK" w:eastAsia="方正仿宋_GBK" w:cs="方正仿宋_GBK"/>
          <w:b w:val="0"/>
          <w:bCs w:val="0"/>
          <w:color w:val="auto"/>
          <w:sz w:val="32"/>
          <w:szCs w:val="32"/>
          <w:shd w:val="clear" w:color="auto" w:fill="FFFFFF"/>
        </w:rPr>
      </w:pPr>
      <w:r>
        <w:rPr>
          <w:rStyle w:val="11"/>
          <w:rFonts w:hint="eastAsia" w:ascii="方正仿宋_GBK" w:hAnsi="方正仿宋_GBK" w:eastAsia="方正仿宋_GBK" w:cs="方正仿宋_GBK"/>
          <w:b w:val="0"/>
          <w:bCs w:val="0"/>
          <w:color w:val="auto"/>
          <w:sz w:val="32"/>
          <w:szCs w:val="32"/>
          <w:shd w:val="clear" w:color="auto" w:fill="FFFFFF"/>
        </w:rPr>
        <w:t>本单位决算公开信息反馈和联系方式：</w:t>
      </w:r>
    </w:p>
    <w:p>
      <w:pPr>
        <w:pStyle w:val="9"/>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color w:val="auto"/>
          <w:sz w:val="32"/>
          <w:szCs w:val="32"/>
          <w:shd w:val="clear" w:color="auto" w:fill="FFFFFF"/>
        </w:rPr>
      </w:pPr>
      <w:r>
        <w:rPr>
          <w:rStyle w:val="11"/>
          <w:rFonts w:hint="eastAsia" w:ascii="方正仿宋_GBK" w:hAnsi="方正仿宋_GBK" w:eastAsia="方正仿宋_GBK" w:cs="方正仿宋_GBK"/>
          <w:b w:val="0"/>
          <w:bCs w:val="0"/>
          <w:color w:val="auto"/>
          <w:sz w:val="32"/>
          <w:szCs w:val="32"/>
          <w:shd w:val="clear" w:color="auto" w:fill="FFFFFF"/>
          <w:lang w:eastAsia="zh-CN"/>
        </w:rPr>
        <w:t>刘雅佳</w:t>
      </w:r>
      <w:r>
        <w:rPr>
          <w:rStyle w:val="11"/>
          <w:rFonts w:hint="eastAsia" w:ascii="方正仿宋_GBK" w:hAnsi="方正仿宋_GBK" w:eastAsia="方正仿宋_GBK" w:cs="方正仿宋_GBK"/>
          <w:b w:val="0"/>
          <w:bCs w:val="0"/>
          <w:color w:val="auto"/>
          <w:sz w:val="32"/>
          <w:szCs w:val="32"/>
          <w:shd w:val="clear" w:color="auto" w:fill="FFFFFF"/>
          <w:lang w:val="en-US" w:eastAsia="zh-CN"/>
        </w:rPr>
        <w:t xml:space="preserve">  </w:t>
      </w:r>
      <w:r>
        <w:rPr>
          <w:rStyle w:val="11"/>
          <w:rFonts w:hint="default" w:ascii="Times New Roman" w:hAnsi="Times New Roman" w:eastAsia="方正仿宋_GBK" w:cs="Times New Roman"/>
          <w:b w:val="0"/>
          <w:bCs w:val="0"/>
          <w:color w:val="auto"/>
          <w:sz w:val="32"/>
          <w:szCs w:val="32"/>
          <w:shd w:val="clear" w:color="auto" w:fill="FFFFFF"/>
          <w:lang w:val="en-US" w:eastAsia="zh-CN"/>
        </w:rPr>
        <w:t xml:space="preserve"> </w:t>
      </w:r>
      <w:r>
        <w:rPr>
          <w:rStyle w:val="11"/>
          <w:rFonts w:hint="default" w:ascii="Times New Roman" w:hAnsi="Times New Roman" w:eastAsia="方正仿宋_GBK" w:cs="Times New Roman"/>
          <w:b w:val="0"/>
          <w:bCs w:val="0"/>
          <w:color w:val="auto"/>
          <w:sz w:val="32"/>
          <w:szCs w:val="32"/>
          <w:shd w:val="clear" w:color="auto" w:fill="FFFFFF"/>
        </w:rPr>
        <w:t>023-76623966</w:t>
      </w:r>
    </w:p>
    <w:p>
      <w:pPr>
        <w:pStyle w:val="14"/>
        <w:keepNext w:val="0"/>
        <w:keepLines w:val="0"/>
        <w:pageBreakBefore w:val="0"/>
        <w:kinsoku/>
        <w:wordWrap/>
        <w:overflowPunct/>
        <w:topLinePunct w:val="0"/>
        <w:autoSpaceDE w:val="0"/>
        <w:bidi w:val="0"/>
        <w:adjustRightInd/>
        <w:spacing w:line="560" w:lineRule="exact"/>
        <w:ind w:firstLine="643" w:firstLineChars="200"/>
        <w:textAlignment w:val="auto"/>
        <w:rPr>
          <w:rStyle w:val="11"/>
          <w:rFonts w:ascii="方正仿宋_GBK" w:hAnsi="方正仿宋_GBK" w:eastAsia="方正仿宋_GBK" w:cs="方正仿宋_GBK"/>
          <w:sz w:val="32"/>
          <w:szCs w:val="32"/>
          <w:shd w:val="clear" w:color="auto" w:fill="FFFFFF"/>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重庆市秀山土家族苗族自治县宋农镇卫生院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246.04</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125.95</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14.72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17.10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349.49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6.24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386.70</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372.83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13.87</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386.70</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386.70</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重庆市秀山土家族苗族自治县宋农镇卫生院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386.70</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246.04</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125.95</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14.72</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8.31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8.31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363.37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222.70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125.95</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14.72</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267.42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126.75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125.95</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14.72</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267.42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126.75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125.95</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14.72</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79.10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79.10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10.88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10.88</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6.24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6.24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0"/>
          <w:szCs w:val="20"/>
        </w:rPr>
      </w:pPr>
      <w:r>
        <w:rPr>
          <w:rFonts w:cs="宋体"/>
          <w:sz w:val="20"/>
          <w:szCs w:val="20"/>
        </w:rPr>
        <w:br w:type="page"/>
      </w:r>
    </w:p>
    <w:tbl>
      <w:tblPr>
        <w:tblStyle w:val="12"/>
        <w:tblW w:w="15378" w:type="dxa"/>
        <w:tblInd w:w="0" w:type="dxa"/>
        <w:tblLayout w:type="fixed"/>
        <w:tblCellMar>
          <w:top w:w="0" w:type="dxa"/>
          <w:left w:w="0" w:type="dxa"/>
          <w:bottom w:w="0" w:type="dxa"/>
          <w:right w:w="0" w:type="dxa"/>
        </w:tblCellMar>
      </w:tblPr>
      <w:tblGrid>
        <w:gridCol w:w="1802"/>
        <w:gridCol w:w="3355"/>
        <w:gridCol w:w="1701"/>
        <w:gridCol w:w="1701"/>
        <w:gridCol w:w="1701"/>
        <w:gridCol w:w="1685"/>
        <w:gridCol w:w="1685"/>
        <w:gridCol w:w="1748"/>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7"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重庆市秀山土家族苗族自治县宋农镇卫生院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7"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372.83</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350.45</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22.38</w:t>
            </w: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17.10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8.31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8.31</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349.49</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327.11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22.38</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0.15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0.15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253.55</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253.55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253.55</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79.10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68.22</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10.88</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10.88</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10.88</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11.50</w:t>
            </w:r>
            <w:r>
              <w:rPr>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11.50</w:t>
            </w: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6.24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6.24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5378" w:type="dxa"/>
        <w:tblInd w:w="0" w:type="dxa"/>
        <w:tblLayout w:type="fixed"/>
        <w:tblCellMar>
          <w:top w:w="0" w:type="dxa"/>
          <w:left w:w="0" w:type="dxa"/>
          <w:bottom w:w="0" w:type="dxa"/>
          <w:right w:w="0" w:type="dxa"/>
        </w:tblCellMar>
      </w:tblPr>
      <w:tblGrid>
        <w:gridCol w:w="3403"/>
        <w:gridCol w:w="1743"/>
        <w:gridCol w:w="3242"/>
        <w:gridCol w:w="1686"/>
        <w:gridCol w:w="1686"/>
        <w:gridCol w:w="1685"/>
        <w:gridCol w:w="1"/>
        <w:gridCol w:w="1932"/>
      </w:tblGrid>
      <w:tr>
        <w:tblPrEx>
          <w:tblLayout w:type="fixed"/>
          <w:tblCellMar>
            <w:top w:w="0" w:type="dxa"/>
            <w:left w:w="0" w:type="dxa"/>
            <w:bottom w:w="0" w:type="dxa"/>
            <w:right w:w="0" w:type="dxa"/>
          </w:tblCellMar>
        </w:tblPrEx>
        <w:trPr>
          <w:trHeight w:val="90"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146"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324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2"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146"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514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32" w:type="dxa"/>
            <w:gridSpan w:val="6"/>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40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74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24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699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4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4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24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246.04</w:t>
            </w: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17.10</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17.10</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212.94</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212.94</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6.24</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6.24</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246.04</w:t>
            </w: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236.28</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236.28</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9.76</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9.76</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4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246.04</w:t>
            </w:r>
            <w:r>
              <w:rPr>
                <w:color w:val="000000"/>
                <w:sz w:val="18"/>
                <w:u w:color="auto"/>
              </w:rPr>
              <w:t xml:space="preserve"> </w:t>
            </w:r>
          </w:p>
        </w:tc>
        <w:tc>
          <w:tcPr>
            <w:tcW w:w="324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246.04</w:t>
            </w:r>
            <w:r>
              <w:rPr>
                <w:color w:val="000000"/>
                <w:sz w:val="18"/>
                <w:u w:color="auto"/>
              </w:rPr>
              <w:t xml:space="preserve"> </w:t>
            </w:r>
          </w:p>
        </w:tc>
        <w:tc>
          <w:tcPr>
            <w:tcW w:w="16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246.04</w:t>
            </w:r>
            <w:r>
              <w:rPr>
                <w:color w:val="000000"/>
                <w:sz w:val="18"/>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740"/>
        <w:gridCol w:w="3420"/>
        <w:gridCol w:w="3190"/>
        <w:gridCol w:w="3401"/>
        <w:gridCol w:w="3627"/>
      </w:tblGrid>
      <w:tr>
        <w:tblPrEx>
          <w:tblLayout w:type="fixed"/>
          <w:tblCellMar>
            <w:top w:w="0" w:type="dxa"/>
            <w:left w:w="0" w:type="dxa"/>
            <w:bottom w:w="0" w:type="dxa"/>
            <w:right w:w="0" w:type="dxa"/>
          </w:tblCellMar>
        </w:tblPrEx>
        <w:trPr>
          <w:trHeight w:val="78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450" w:hRule="atLeast"/>
        </w:trPr>
        <w:tc>
          <w:tcPr>
            <w:tcW w:w="516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31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62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450" w:hRule="atLeast"/>
        </w:trPr>
        <w:tc>
          <w:tcPr>
            <w:tcW w:w="516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1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62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543" w:hRule="atLeast"/>
        </w:trPr>
        <w:tc>
          <w:tcPr>
            <w:tcW w:w="516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0218"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435" w:hRule="atLeast"/>
        </w:trPr>
        <w:tc>
          <w:tcPr>
            <w:tcW w:w="174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42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19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6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435" w:hRule="atLeast"/>
        </w:trPr>
        <w:tc>
          <w:tcPr>
            <w:tcW w:w="174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2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9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435" w:hRule="atLeast"/>
        </w:trPr>
        <w:tc>
          <w:tcPr>
            <w:tcW w:w="174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2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9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450" w:hRule="atLeast"/>
        </w:trPr>
        <w:tc>
          <w:tcPr>
            <w:tcW w:w="516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236.28</w:t>
            </w:r>
            <w:r>
              <w:rPr>
                <w:b/>
                <w:color w:val="000000"/>
                <w:sz w:val="20"/>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213.90</w:t>
            </w:r>
            <w:r>
              <w:rPr>
                <w:b/>
                <w:color w:val="000000"/>
                <w:sz w:val="20"/>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22.38</w:t>
            </w:r>
            <w:r>
              <w:rPr>
                <w:b/>
                <w:color w:val="000000"/>
                <w:sz w:val="20"/>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208</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社会保障和就业支出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17.10</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17.10</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20805</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行政事业单位养老支出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17.10</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17.10</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2080502</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事业单位离退休</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0.50</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0.50</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2080505</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机关事业单位基本养老保险缴费支出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8.31</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8.31</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2080506</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机关事业单位职业年金缴费支出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4.15</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4.15</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2080599</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其他行政事业单位养老支出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4.14</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4.14</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卫生健康支出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212.94</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190.56</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22.38</w:t>
            </w:r>
            <w:r>
              <w:rPr>
                <w:b/>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21001</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卫生健康管理事务</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0.15</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0.15</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2100199</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其他卫生健康管理事务支出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0.15</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0.15</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21003</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基层医疗卫生机构</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116.99</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116.99</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2100302</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乡镇卫生院</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116.99</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116.99</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21004</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公共卫生</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79.10</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68.22</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10.88</w:t>
            </w:r>
            <w:r>
              <w:rPr>
                <w:b/>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2100408</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基本公共卫生服务</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68.22</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68.22</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2100410</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突发公共卫生事件应急处理</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10.88</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10.88</w:t>
            </w: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21011</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行政事业单位医疗</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5.20</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5.20</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2101102</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事业单位医疗</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5.20</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5.20</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21099</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其他卫生健康支出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11.50</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11.50</w:t>
            </w:r>
            <w:r>
              <w:rPr>
                <w:b/>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2109999</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其他卫生健康支出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11.50</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11.50</w:t>
            </w: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221</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住房保障支出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6.24</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6.24</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450"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22102</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b/>
                <w:color w:val="000000"/>
                <w:sz w:val="18"/>
                <w:szCs w:val="18"/>
              </w:rPr>
              <w:t>住房改革支出</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6.24</w:t>
            </w:r>
            <w:r>
              <w:rPr>
                <w:b/>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b/>
                <w:color w:val="000000"/>
                <w:sz w:val="18"/>
                <w:szCs w:val="18"/>
              </w:rPr>
              <w:t>6.24</w:t>
            </w:r>
            <w:r>
              <w:rPr>
                <w:b/>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r>
        <w:tblPrEx>
          <w:tblLayout w:type="fixed"/>
          <w:tblCellMar>
            <w:top w:w="0" w:type="dxa"/>
            <w:left w:w="0" w:type="dxa"/>
            <w:bottom w:w="0" w:type="dxa"/>
            <w:right w:w="0" w:type="dxa"/>
          </w:tblCellMar>
        </w:tblPrEx>
        <w:trPr>
          <w:trHeight w:val="543" w:hRule="atLeast"/>
        </w:trPr>
        <w:tc>
          <w:tcPr>
            <w:tcW w:w="17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2210201</w:t>
            </w:r>
          </w:p>
        </w:tc>
        <w:tc>
          <w:tcPr>
            <w:tcW w:w="3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18"/>
                <w:szCs w:val="18"/>
              </w:rPr>
            </w:pPr>
            <w:r>
              <w:rPr>
                <w:rFonts w:cs="宋体"/>
                <w:color w:val="000000"/>
                <w:sz w:val="18"/>
                <w:szCs w:val="18"/>
              </w:rPr>
              <w:t>住房公积金</w:t>
            </w:r>
          </w:p>
        </w:tc>
        <w:tc>
          <w:tcPr>
            <w:tcW w:w="31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6.24</w:t>
            </w:r>
            <w:r>
              <w:rPr>
                <w:color w:val="000000"/>
                <w:sz w:val="18"/>
                <w:szCs w:val="18"/>
                <w:u w:color="auto"/>
              </w:rPr>
              <w:t xml:space="preserve"> </w:t>
            </w:r>
          </w:p>
        </w:tc>
        <w:tc>
          <w:tcPr>
            <w:tcW w:w="34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rFonts w:cs="宋体"/>
                <w:color w:val="000000"/>
                <w:sz w:val="18"/>
                <w:szCs w:val="18"/>
              </w:rPr>
              <w:t>6.24</w:t>
            </w:r>
            <w:r>
              <w:rPr>
                <w:color w:val="000000"/>
                <w:sz w:val="18"/>
                <w:szCs w:val="18"/>
                <w:u w:color="auto"/>
              </w:rPr>
              <w:t xml:space="preserve"> </w:t>
            </w:r>
          </w:p>
        </w:tc>
        <w:tc>
          <w:tcPr>
            <w:tcW w:w="3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18"/>
                <w:szCs w:val="18"/>
              </w:rPr>
            </w:pPr>
            <w:r>
              <w:rPr>
                <w:color w:val="000000"/>
                <w:sz w:val="18"/>
                <w:szCs w:val="18"/>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206.99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2.26</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32.65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38.43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71.16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36.26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11.19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10.97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0.09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4.64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211.64</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2.26</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重庆市秀山土家族苗族自治县宋农镇卫生院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2</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hint="eastAsia" w:cs="宋体"/>
          <w:sz w:val="20"/>
          <w:szCs w:val="20"/>
          <w:lang w:val="en-US" w:eastAsia="zh-CN"/>
        </w:rPr>
        <w:t xml:space="preserve">      </w:t>
      </w:r>
      <w:r>
        <w:rPr>
          <w:rFonts w:cs="宋体"/>
          <w:sz w:val="20"/>
          <w:szCs w:val="20"/>
        </w:rPr>
        <w:t>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452F8E"/>
    <w:multiLevelType w:val="singleLevel"/>
    <w:tmpl w:val="84452F8E"/>
    <w:lvl w:ilvl="0" w:tentative="0">
      <w:start w:val="5"/>
      <w:numFmt w:val="chineseCounting"/>
      <w:suff w:val="nothing"/>
      <w:lvlText w:val="%1、"/>
      <w:lvlJc w:val="left"/>
      <w:rPr>
        <w:rFonts w:hint="eastAsia"/>
      </w:rPr>
    </w:lvl>
  </w:abstractNum>
  <w:abstractNum w:abstractNumId="1">
    <w:nsid w:val="016A8C09"/>
    <w:multiLevelType w:val="singleLevel"/>
    <w:tmpl w:val="016A8C09"/>
    <w:lvl w:ilvl="0" w:tentative="0">
      <w:start w:val="2"/>
      <w:numFmt w:val="chineseCounting"/>
      <w:suff w:val="nothing"/>
      <w:lvlText w:val="%1、"/>
      <w:lvlJc w:val="left"/>
      <w:rPr>
        <w:rFonts w:hint="eastAsia"/>
      </w:rPr>
    </w:lvl>
  </w:abstractNum>
  <w:abstractNum w:abstractNumId="2">
    <w:nsid w:val="72EA055C"/>
    <w:multiLevelType w:val="singleLevel"/>
    <w:tmpl w:val="72EA055C"/>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3b191ca9-3aa1-4be1-ba87-4df516e12f34"/>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9C3CB9"/>
    <w:rsid w:val="03B87EA0"/>
    <w:rsid w:val="03E3214F"/>
    <w:rsid w:val="044C50BA"/>
    <w:rsid w:val="04FA6C7D"/>
    <w:rsid w:val="05BC6D49"/>
    <w:rsid w:val="06194FF1"/>
    <w:rsid w:val="06A2550B"/>
    <w:rsid w:val="06F80EE2"/>
    <w:rsid w:val="07001CCA"/>
    <w:rsid w:val="075678DB"/>
    <w:rsid w:val="079D7CC7"/>
    <w:rsid w:val="08051BCA"/>
    <w:rsid w:val="086C12F4"/>
    <w:rsid w:val="08705944"/>
    <w:rsid w:val="08BA052C"/>
    <w:rsid w:val="08DB07BA"/>
    <w:rsid w:val="0969353F"/>
    <w:rsid w:val="098305D0"/>
    <w:rsid w:val="0A003C66"/>
    <w:rsid w:val="0A3317EA"/>
    <w:rsid w:val="0A5C4B69"/>
    <w:rsid w:val="0A86124A"/>
    <w:rsid w:val="0AB54CC0"/>
    <w:rsid w:val="0B9335CE"/>
    <w:rsid w:val="0BF2311A"/>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E303CA"/>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4E475F"/>
    <w:rsid w:val="21556F04"/>
    <w:rsid w:val="22403BD3"/>
    <w:rsid w:val="2340661D"/>
    <w:rsid w:val="24B92327"/>
    <w:rsid w:val="24C14514"/>
    <w:rsid w:val="2533755C"/>
    <w:rsid w:val="25791755"/>
    <w:rsid w:val="26396DF4"/>
    <w:rsid w:val="27167136"/>
    <w:rsid w:val="271B442C"/>
    <w:rsid w:val="27B23302"/>
    <w:rsid w:val="29310A5F"/>
    <w:rsid w:val="29C37A35"/>
    <w:rsid w:val="2A076083"/>
    <w:rsid w:val="2A2D3128"/>
    <w:rsid w:val="2A73162E"/>
    <w:rsid w:val="2B167953"/>
    <w:rsid w:val="2B200583"/>
    <w:rsid w:val="2B8209DE"/>
    <w:rsid w:val="2C636760"/>
    <w:rsid w:val="2C6762A3"/>
    <w:rsid w:val="2FCA4B37"/>
    <w:rsid w:val="2FE029D7"/>
    <w:rsid w:val="2FF06E00"/>
    <w:rsid w:val="30586FEC"/>
    <w:rsid w:val="315F0B22"/>
    <w:rsid w:val="31D84415"/>
    <w:rsid w:val="32285F6F"/>
    <w:rsid w:val="32770556"/>
    <w:rsid w:val="329C0913"/>
    <w:rsid w:val="32AA0460"/>
    <w:rsid w:val="332C2DC3"/>
    <w:rsid w:val="3337290D"/>
    <w:rsid w:val="33E31118"/>
    <w:rsid w:val="33EF7674"/>
    <w:rsid w:val="342D7BC6"/>
    <w:rsid w:val="352930DB"/>
    <w:rsid w:val="35573069"/>
    <w:rsid w:val="355F6038"/>
    <w:rsid w:val="358C217E"/>
    <w:rsid w:val="36600E20"/>
    <w:rsid w:val="36C9128A"/>
    <w:rsid w:val="37841E99"/>
    <w:rsid w:val="37BF1123"/>
    <w:rsid w:val="383C3F15"/>
    <w:rsid w:val="38513219"/>
    <w:rsid w:val="38BE4696"/>
    <w:rsid w:val="3939115E"/>
    <w:rsid w:val="39B82A39"/>
    <w:rsid w:val="39C42CA8"/>
    <w:rsid w:val="39DC4FD6"/>
    <w:rsid w:val="39F03D7A"/>
    <w:rsid w:val="39F33306"/>
    <w:rsid w:val="3A2C1C67"/>
    <w:rsid w:val="3A7466B0"/>
    <w:rsid w:val="3ADD7F09"/>
    <w:rsid w:val="3B1705E5"/>
    <w:rsid w:val="3B18334B"/>
    <w:rsid w:val="3B2A0F34"/>
    <w:rsid w:val="3B36794F"/>
    <w:rsid w:val="3B6F6EE0"/>
    <w:rsid w:val="3BE21FFF"/>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0E597A"/>
    <w:rsid w:val="495C4A24"/>
    <w:rsid w:val="497135DF"/>
    <w:rsid w:val="4A20667E"/>
    <w:rsid w:val="4A263DF2"/>
    <w:rsid w:val="4A6F6675"/>
    <w:rsid w:val="4B06188E"/>
    <w:rsid w:val="4B135857"/>
    <w:rsid w:val="4B7951CB"/>
    <w:rsid w:val="4B7C315C"/>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0068A5"/>
    <w:rsid w:val="5842572D"/>
    <w:rsid w:val="59DA3E5E"/>
    <w:rsid w:val="5A3B59D6"/>
    <w:rsid w:val="5AD134D8"/>
    <w:rsid w:val="5C263CE4"/>
    <w:rsid w:val="5C5D2777"/>
    <w:rsid w:val="5CF66BF3"/>
    <w:rsid w:val="5D290C69"/>
    <w:rsid w:val="5F2D4A41"/>
    <w:rsid w:val="60C74F6C"/>
    <w:rsid w:val="61025A59"/>
    <w:rsid w:val="613D5BBC"/>
    <w:rsid w:val="61536C39"/>
    <w:rsid w:val="61F601A5"/>
    <w:rsid w:val="62944DD7"/>
    <w:rsid w:val="6319381F"/>
    <w:rsid w:val="63C25DC5"/>
    <w:rsid w:val="63C62057"/>
    <w:rsid w:val="64571EF5"/>
    <w:rsid w:val="64B27107"/>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43B75"/>
    <w:rsid w:val="70D94BD3"/>
    <w:rsid w:val="71C34D91"/>
    <w:rsid w:val="72740D0B"/>
    <w:rsid w:val="72DB435C"/>
    <w:rsid w:val="72E2613A"/>
    <w:rsid w:val="72F771F4"/>
    <w:rsid w:val="73934AD2"/>
    <w:rsid w:val="750837F0"/>
    <w:rsid w:val="754758CF"/>
    <w:rsid w:val="764F62AB"/>
    <w:rsid w:val="765C45EC"/>
    <w:rsid w:val="768A7619"/>
    <w:rsid w:val="772E1EBA"/>
    <w:rsid w:val="781926BC"/>
    <w:rsid w:val="78792681"/>
    <w:rsid w:val="796D60A4"/>
    <w:rsid w:val="79A031D5"/>
    <w:rsid w:val="7A1525F7"/>
    <w:rsid w:val="7B420052"/>
    <w:rsid w:val="7BB425FA"/>
    <w:rsid w:val="7BD06A28"/>
    <w:rsid w:val="7C3A7C0B"/>
    <w:rsid w:val="7C5248E4"/>
    <w:rsid w:val="7C566698"/>
    <w:rsid w:val="7C5866A3"/>
    <w:rsid w:val="7D7406BB"/>
    <w:rsid w:val="7DE94331"/>
    <w:rsid w:val="7EAD2D90"/>
    <w:rsid w:val="7F446A19"/>
    <w:rsid w:val="7F61599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semiHidden/>
    <w:unhideWhenUsed/>
    <w:qFormat/>
    <w:uiPriority w:val="99"/>
    <w:pPr>
      <w:widowControl w:val="0"/>
      <w:spacing w:after="0"/>
      <w:ind w:left="101" w:firstLine="679"/>
    </w:pPr>
    <w:rPr>
      <w:rFonts w:ascii="Arial" w:hAnsi="Arial" w:eastAsia="宋体"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basedOn w:val="10"/>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character" w:customStyle="1" w:styleId="19">
    <w:name w:val="15"/>
    <w:basedOn w:val="10"/>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8124</Words>
  <Characters>9912</Characters>
  <Lines>190</Lines>
  <Paragraphs>53</Paragraphs>
  <TotalTime>1</TotalTime>
  <ScaleCrop>false</ScaleCrop>
  <LinksUpToDate>false</LinksUpToDate>
  <CharactersWithSpaces>11019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cp:lastPrinted>2024-09-10T02:04:00Z</cp:lastPrinted>
  <dcterms:modified xsi:type="dcterms:W3CDTF">2024-09-30T02:36:08Z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A9D232A11C874E8696BBDB659D4467D2</vt:lpwstr>
  </property>
</Properties>
</file>