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kinsoku/>
        <w:wordWrap/>
        <w:overflowPunct/>
        <w:topLinePunct w:val="0"/>
        <w:autoSpaceDE/>
        <w:autoSpaceDN/>
        <w:bidi w:val="0"/>
        <w:adjustRightInd/>
        <w:snapToGrid/>
        <w:spacing w:before="0" w:beforeAutospacing="0" w:line="560" w:lineRule="exact"/>
        <w:jc w:val="center"/>
        <w:textAlignment w:val="auto"/>
        <w:rPr>
          <w:rStyle w:val="11"/>
          <w:rFonts w:hint="eastAsia" w:ascii="方正黑体_GBK" w:hAnsi="方正黑体_GBK" w:eastAsia="方正黑体_GBK" w:cs="方正黑体_GBK"/>
          <w:b w:val="0"/>
          <w:bCs/>
          <w:sz w:val="32"/>
          <w:szCs w:val="32"/>
          <w:shd w:val="clear" w:color="auto" w:fill="FFFFFF"/>
        </w:rPr>
      </w:pPr>
      <w:r>
        <w:rPr>
          <w:rFonts w:hint="eastAsia" w:ascii="方正小标宋_GBK" w:hAnsi="方正小标宋_GBK" w:eastAsia="方正小标宋_GBK" w:cs="方正小标宋_GBK"/>
          <w:sz w:val="44"/>
          <w:szCs w:val="44"/>
        </w:rPr>
        <w:t>秀山土家族苗族自治县龙池镇中心卫生院</w:t>
      </w:r>
      <w:r>
        <w:rPr>
          <w:rFonts w:hint="eastAsia" w:ascii="方正小标宋_GBK" w:hAnsi="方正小标宋_GBK" w:eastAsia="方正小标宋_GBK" w:cs="方正小标宋_GBK"/>
          <w:sz w:val="44"/>
          <w:szCs w:val="44"/>
          <w:shd w:val="clear" w:color="auto" w:fill="FFFFFF"/>
        </w:rPr>
        <w:t>2023年度决算公开说明</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sz w:val="32"/>
          <w:szCs w:val="32"/>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黑体_GBK" w:hAnsi="方正黑体_GBK" w:eastAsia="方正黑体_GBK" w:cs="方正黑体_GBK"/>
          <w:b w:val="0"/>
          <w:bCs/>
          <w:sz w:val="32"/>
          <w:szCs w:val="32"/>
        </w:rPr>
      </w:pPr>
      <w:r>
        <w:rPr>
          <w:rStyle w:val="11"/>
          <w:rFonts w:hint="eastAsia" w:ascii="方正黑体_GBK" w:hAnsi="方正黑体_GBK" w:eastAsia="方正黑体_GBK" w:cs="方正黑体_GBK"/>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楷体_GBK" w:hAnsi="方正楷体_GBK" w:eastAsia="方正楷体_GBK" w:cs="方正楷体_GBK"/>
          <w:b w:val="0"/>
          <w:bCs/>
          <w:sz w:val="32"/>
          <w:szCs w:val="32"/>
          <w:shd w:val="clear" w:color="auto" w:fill="FFFFFF"/>
        </w:rPr>
      </w:pPr>
      <w:r>
        <w:rPr>
          <w:rStyle w:val="11"/>
          <w:rFonts w:hint="eastAsia" w:ascii="方正楷体_GBK" w:hAnsi="方正楷体_GBK" w:eastAsia="方正楷体_GBK" w:cs="方正楷体_GBK"/>
          <w:b w:val="0"/>
          <w:bCs/>
          <w:sz w:val="32"/>
          <w:szCs w:val="32"/>
          <w:shd w:val="clear" w:color="auto" w:fill="FFFFFF"/>
        </w:rPr>
        <w:t>（一）职能职责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本单位属基层医疗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1.根据国家和本市规定收集、报送辖区内卫生健康信息，建立和管理居民健康档案，提出改进辖区公共卫生状况的建议；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2.开展健康教育，普及健康知识；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3.协助开展传染病以及地方病、寄生虫病的预防控制， 配合开展爱国卫生工作；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4.做好高危人群、重点慢性病患者的筛查和病例管理；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5.提供心理健康指导服务，实施精神病社区管理；</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6.为妇女、儿童、老年人、残疾人等重点人群提供保健和康复服务；</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7.提供计划生育技术服务，协助处置辖区内突发公共卫生事件等；</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Style w:val="11"/>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kern w:val="0"/>
          <w:sz w:val="32"/>
          <w:szCs w:val="24"/>
          <w:lang w:val="en-US" w:eastAsia="zh-CN"/>
        </w:rPr>
        <w:t>8.按要求提供其他公共卫生服务。</w:t>
      </w:r>
    </w:p>
    <w:p>
      <w:pPr>
        <w:pStyle w:val="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（二）机构设置</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Style w:val="11"/>
          <w:rFonts w:hint="default" w:ascii="楷体" w:hAnsi="楷体" w:eastAsia="楷体" w:cs="楷体"/>
          <w:sz w:val="32"/>
          <w:szCs w:val="32"/>
          <w:shd w:val="clear" w:color="auto" w:fill="FFFFFF"/>
        </w:rPr>
      </w:pPr>
      <w:r>
        <w:rPr>
          <w:rFonts w:hint="eastAsia" w:eastAsia="方正仿宋_GBK"/>
          <w:kern w:val="0"/>
          <w:sz w:val="32"/>
          <w:szCs w:val="24"/>
          <w:lang w:val="en-US" w:eastAsia="zh-CN"/>
        </w:rPr>
        <w:t>本单位下设综合办公室、党办、医务科、护理部、内（儿）科、外科、妇科、门诊部、中医科、医技科、总务科、药房、收费室、公卫科。</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Times New Roman" w:hAnsi="Times New Roman" w:eastAsia="方正楷体_GBK" w:cs="Times New Roman"/>
          <w:b w:val="0"/>
          <w:bCs/>
          <w:sz w:val="32"/>
          <w:szCs w:val="32"/>
          <w:shd w:val="clear" w:color="auto" w:fill="FFFFFF"/>
          <w:lang w:val="en-US" w:eastAsia="zh-CN"/>
        </w:rPr>
      </w:pPr>
      <w:r>
        <w:rPr>
          <w:rStyle w:val="11"/>
          <w:rFonts w:hint="eastAsia" w:ascii="Times New Roman" w:hAnsi="Times New Roman" w:eastAsia="方正楷体_GBK" w:cs="Times New Roman"/>
          <w:b w:val="0"/>
          <w:bCs/>
          <w:sz w:val="32"/>
          <w:szCs w:val="32"/>
          <w:shd w:val="clear" w:color="auto" w:fill="FFFFFF"/>
          <w:lang w:val="en-US" w:eastAsia="zh-CN"/>
        </w:rPr>
        <w:t>（三）单位构成</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eastAsia="方正仿宋_GBK"/>
          <w:kern w:val="0"/>
          <w:sz w:val="32"/>
          <w:szCs w:val="24"/>
          <w:lang w:val="en-US" w:eastAsia="zh-CN"/>
        </w:rPr>
      </w:pPr>
      <w:r>
        <w:rPr>
          <w:rFonts w:hint="eastAsia" w:eastAsia="方正仿宋_GBK"/>
          <w:kern w:val="0"/>
          <w:sz w:val="32"/>
          <w:szCs w:val="24"/>
          <w:lang w:val="en-US" w:eastAsia="zh-CN"/>
        </w:rPr>
        <w:t>本单位为秀山县卫生健康委员会二级预算单位，无下级预算单位。</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Style w:val="11"/>
          <w:rFonts w:hint="default" w:ascii="Times New Roman" w:hAnsi="Times New Roman" w:eastAsia="方正仿宋_GBK" w:cs="Times New Roman"/>
          <w:b w:val="0"/>
          <w:bCs/>
          <w:sz w:val="32"/>
          <w:szCs w:val="32"/>
          <w:shd w:val="clear" w:color="auto" w:fill="FFFFFF"/>
        </w:rPr>
        <w:t>1.总体情况。</w:t>
      </w:r>
      <w:r>
        <w:rPr>
          <w:rFonts w:hint="default" w:ascii="Times New Roman" w:hAnsi="Times New Roman" w:eastAsia="方正仿宋_GBK" w:cs="Times New Roman"/>
          <w:b w:val="0"/>
          <w:bCs/>
          <w:sz w:val="32"/>
          <w:szCs w:val="32"/>
          <w:shd w:val="clear" w:color="auto" w:fill="FFFFFF"/>
        </w:rPr>
        <w:t>2023年度收入总计1640.83万元，支出总计</w:t>
      </w:r>
      <w:r>
        <w:rPr>
          <w:rFonts w:hint="default" w:ascii="Times New Roman" w:hAnsi="Times New Roman" w:eastAsia="方正仿宋_GBK" w:cs="Times New Roman"/>
          <w:b w:val="0"/>
          <w:bCs/>
          <w:sz w:val="32"/>
          <w:szCs w:val="32"/>
        </w:rPr>
        <w:t>1640.83</w:t>
      </w:r>
      <w:r>
        <w:rPr>
          <w:rFonts w:hint="default" w:ascii="Times New Roman" w:hAnsi="Times New Roman" w:eastAsia="方正仿宋_GBK" w:cs="Times New Roman"/>
          <w:b w:val="0"/>
          <w:bCs/>
          <w:sz w:val="32"/>
          <w:szCs w:val="32"/>
          <w:shd w:val="clear" w:color="auto" w:fill="FFFFFF"/>
        </w:rPr>
        <w:t>万元。收支较上年决算数减少125.41万元，下降7.10%，主要原因是</w:t>
      </w:r>
      <w:r>
        <w:rPr>
          <w:rFonts w:hint="default" w:ascii="Times New Roman" w:hAnsi="Times New Roman" w:eastAsia="方正仿宋_GBK" w:cs="Times New Roman"/>
          <w:b w:val="0"/>
          <w:bCs/>
          <w:sz w:val="32"/>
          <w:szCs w:val="32"/>
          <w:shd w:val="clear" w:color="auto" w:fill="FFFFFF"/>
          <w:lang w:val="en-US" w:eastAsia="zh-CN"/>
        </w:rPr>
        <w:t>2023年度</w:t>
      </w:r>
      <w:r>
        <w:rPr>
          <w:rFonts w:hint="default" w:ascii="Times New Roman" w:hAnsi="Times New Roman" w:eastAsia="方正仿宋_GBK" w:cs="Times New Roman"/>
          <w:b w:val="0"/>
          <w:bCs/>
          <w:sz w:val="32"/>
          <w:szCs w:val="32"/>
          <w:shd w:val="clear" w:color="auto" w:fill="FFFFFF"/>
          <w:lang w:eastAsia="zh-CN"/>
        </w:rPr>
        <w:t>事业收入减少。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Style w:val="11"/>
          <w:rFonts w:hint="default" w:ascii="Times New Roman" w:hAnsi="Times New Roman" w:eastAsia="方正仿宋_GBK" w:cs="Times New Roman"/>
          <w:b w:val="0"/>
          <w:bCs/>
          <w:sz w:val="32"/>
          <w:szCs w:val="32"/>
          <w:shd w:val="clear" w:color="auto" w:fill="FFFFFF"/>
        </w:rPr>
        <w:t>2.收入情况。</w:t>
      </w:r>
      <w:r>
        <w:rPr>
          <w:rFonts w:hint="default" w:ascii="Times New Roman" w:hAnsi="Times New Roman" w:eastAsia="方正仿宋_GBK" w:cs="Times New Roman"/>
          <w:b w:val="0"/>
          <w:bCs/>
          <w:sz w:val="32"/>
          <w:szCs w:val="32"/>
          <w:shd w:val="clear" w:color="auto" w:fill="FFFFFF"/>
        </w:rPr>
        <w:t>2023年度收入合计1624.66万元，较上年决算数减少141.58万元，下降8.02%，主要原因是</w:t>
      </w:r>
      <w:r>
        <w:rPr>
          <w:rFonts w:hint="default" w:ascii="Times New Roman" w:hAnsi="Times New Roman" w:eastAsia="方正仿宋_GBK" w:cs="Times New Roman"/>
          <w:b w:val="0"/>
          <w:bCs/>
          <w:sz w:val="32"/>
          <w:szCs w:val="32"/>
          <w:shd w:val="clear" w:color="auto" w:fill="FFFFFF"/>
          <w:lang w:val="en-US" w:eastAsia="zh-CN"/>
        </w:rPr>
        <w:t>2023年度</w:t>
      </w:r>
      <w:r>
        <w:rPr>
          <w:rFonts w:hint="default" w:ascii="Times New Roman" w:hAnsi="Times New Roman" w:eastAsia="方正仿宋_GBK" w:cs="Times New Roman"/>
          <w:b w:val="0"/>
          <w:bCs/>
          <w:sz w:val="32"/>
          <w:szCs w:val="32"/>
          <w:shd w:val="clear" w:color="auto" w:fill="FFFFFF"/>
          <w:lang w:eastAsia="zh-CN"/>
        </w:rPr>
        <w:t>事业收入减少</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sz w:val="32"/>
          <w:szCs w:val="32"/>
          <w:shd w:val="clear" w:color="auto" w:fill="FFFFFF"/>
        </w:rPr>
        <w:t>其中：财政拨款收入</w:t>
      </w:r>
      <w:r>
        <w:rPr>
          <w:rFonts w:hint="default" w:ascii="Times New Roman" w:hAnsi="Times New Roman" w:eastAsia="方正仿宋_GBK" w:cs="Times New Roman"/>
          <w:b w:val="0"/>
          <w:bCs/>
          <w:sz w:val="32"/>
          <w:szCs w:val="32"/>
        </w:rPr>
        <w:t>780.91</w:t>
      </w:r>
      <w:r>
        <w:rPr>
          <w:rFonts w:hint="default" w:ascii="Times New Roman" w:hAnsi="Times New Roman" w:eastAsia="方正仿宋_GBK" w:cs="Times New Roman"/>
          <w:b w:val="0"/>
          <w:bCs/>
          <w:sz w:val="32"/>
          <w:szCs w:val="32"/>
          <w:shd w:val="clear" w:color="auto" w:fill="FFFFFF"/>
        </w:rPr>
        <w:t>万元，占</w:t>
      </w:r>
      <w:r>
        <w:rPr>
          <w:rFonts w:hint="default" w:ascii="Times New Roman" w:hAnsi="Times New Roman" w:eastAsia="方正仿宋_GBK" w:cs="Times New Roman"/>
          <w:b w:val="0"/>
          <w:bCs/>
          <w:sz w:val="32"/>
          <w:szCs w:val="32"/>
        </w:rPr>
        <w:t>48.07</w:t>
      </w:r>
      <w:r>
        <w:rPr>
          <w:rFonts w:hint="default" w:ascii="Times New Roman" w:hAnsi="Times New Roman" w:eastAsia="方正仿宋_GBK" w:cs="Times New Roman"/>
          <w:b w:val="0"/>
          <w:bCs/>
          <w:sz w:val="32"/>
          <w:szCs w:val="32"/>
          <w:shd w:val="clear" w:color="auto" w:fill="FFFFFF"/>
        </w:rPr>
        <w:t>%；事业收入</w:t>
      </w:r>
      <w:r>
        <w:rPr>
          <w:rFonts w:hint="default" w:ascii="Times New Roman" w:hAnsi="Times New Roman" w:eastAsia="方正仿宋_GBK" w:cs="Times New Roman"/>
          <w:b w:val="0"/>
          <w:bCs/>
          <w:sz w:val="32"/>
          <w:szCs w:val="32"/>
        </w:rPr>
        <w:t>776.16</w:t>
      </w:r>
      <w:r>
        <w:rPr>
          <w:rFonts w:hint="default" w:ascii="Times New Roman" w:hAnsi="Times New Roman" w:eastAsia="方正仿宋_GBK" w:cs="Times New Roman"/>
          <w:b w:val="0"/>
          <w:bCs/>
          <w:sz w:val="32"/>
          <w:szCs w:val="32"/>
          <w:shd w:val="clear" w:color="auto" w:fill="FFFFFF"/>
        </w:rPr>
        <w:t>万元，占47.77%；经营收入</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万元，占0.00%；其他收入</w:t>
      </w:r>
      <w:r>
        <w:rPr>
          <w:rFonts w:hint="default" w:ascii="Times New Roman" w:hAnsi="Times New Roman" w:eastAsia="方正仿宋_GBK" w:cs="Times New Roman"/>
          <w:b w:val="0"/>
          <w:bCs/>
          <w:sz w:val="32"/>
          <w:szCs w:val="32"/>
        </w:rPr>
        <w:t>67.59</w:t>
      </w:r>
      <w:r>
        <w:rPr>
          <w:rFonts w:hint="default" w:ascii="Times New Roman" w:hAnsi="Times New Roman" w:eastAsia="方正仿宋_GBK" w:cs="Times New Roman"/>
          <w:b w:val="0"/>
          <w:bCs/>
          <w:sz w:val="32"/>
          <w:szCs w:val="32"/>
          <w:shd w:val="clear" w:color="auto" w:fill="FFFFFF"/>
        </w:rPr>
        <w:t>万元，占4.16%。此外，使用非财政拨款结余和专用结余</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万元，年初结转和结余</w:t>
      </w:r>
      <w:r>
        <w:rPr>
          <w:rFonts w:hint="default" w:ascii="Times New Roman" w:hAnsi="Times New Roman" w:eastAsia="方正仿宋_GBK" w:cs="Times New Roman"/>
          <w:b w:val="0"/>
          <w:bCs/>
          <w:sz w:val="32"/>
          <w:szCs w:val="32"/>
        </w:rPr>
        <w:t>16.17</w:t>
      </w:r>
      <w:r>
        <w:rPr>
          <w:rFonts w:hint="default" w:ascii="Times New Roman" w:hAnsi="Times New Roman" w:eastAsia="方正仿宋_GBK" w:cs="Times New Roman"/>
          <w:b w:val="0"/>
          <w:bCs/>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Style w:val="11"/>
          <w:rFonts w:hint="default" w:ascii="Times New Roman" w:hAnsi="Times New Roman" w:eastAsia="方正仿宋_GBK" w:cs="Times New Roman"/>
          <w:b w:val="0"/>
          <w:bCs/>
          <w:sz w:val="32"/>
          <w:szCs w:val="32"/>
          <w:shd w:val="clear" w:color="auto" w:fill="FFFFFF"/>
        </w:rPr>
        <w:t>3.支出情况。</w:t>
      </w:r>
      <w:r>
        <w:rPr>
          <w:rFonts w:hint="default" w:ascii="Times New Roman" w:hAnsi="Times New Roman" w:eastAsia="方正仿宋_GBK" w:cs="Times New Roman"/>
          <w:b w:val="0"/>
          <w:bCs/>
          <w:sz w:val="32"/>
          <w:szCs w:val="32"/>
          <w:shd w:val="clear" w:color="auto" w:fill="FFFFFF"/>
        </w:rPr>
        <w:t>2023年度支出合计</w:t>
      </w:r>
      <w:r>
        <w:rPr>
          <w:rFonts w:hint="default" w:ascii="Times New Roman" w:hAnsi="Times New Roman" w:eastAsia="方正仿宋_GBK" w:cs="Times New Roman"/>
          <w:b w:val="0"/>
          <w:bCs/>
          <w:sz w:val="32"/>
          <w:szCs w:val="32"/>
        </w:rPr>
        <w:t>1592.20</w:t>
      </w:r>
      <w:r>
        <w:rPr>
          <w:rFonts w:hint="default" w:ascii="Times New Roman" w:hAnsi="Times New Roman" w:eastAsia="方正仿宋_GBK" w:cs="Times New Roman"/>
          <w:b w:val="0"/>
          <w:bCs/>
          <w:sz w:val="32"/>
          <w:szCs w:val="32"/>
          <w:shd w:val="clear" w:color="auto" w:fill="FFFFFF"/>
        </w:rPr>
        <w:t>万元，较上年决算数减少157.87万元，下降9.02%，主要原因是</w:t>
      </w:r>
      <w:r>
        <w:rPr>
          <w:rFonts w:hint="default" w:ascii="Times New Roman" w:hAnsi="Times New Roman" w:eastAsia="方正仿宋_GBK" w:cs="Times New Roman"/>
          <w:b w:val="0"/>
          <w:bCs/>
          <w:sz w:val="32"/>
          <w:szCs w:val="32"/>
          <w:shd w:val="clear" w:color="auto" w:fill="FFFFFF"/>
          <w:lang w:eastAsia="zh-CN"/>
        </w:rPr>
        <w:t>本年度减少了人员工资、办公、药品耗材等支出</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sz w:val="32"/>
          <w:szCs w:val="32"/>
          <w:shd w:val="clear" w:color="auto" w:fill="FFFFFF"/>
        </w:rPr>
        <w:t>其中基本支出</w:t>
      </w:r>
      <w:r>
        <w:rPr>
          <w:rFonts w:hint="default" w:ascii="Times New Roman" w:hAnsi="Times New Roman" w:eastAsia="方正仿宋_GBK" w:cs="Times New Roman"/>
          <w:b w:val="0"/>
          <w:bCs/>
          <w:sz w:val="32"/>
          <w:szCs w:val="32"/>
        </w:rPr>
        <w:t>1571.52</w:t>
      </w:r>
      <w:r>
        <w:rPr>
          <w:rFonts w:hint="default" w:ascii="Times New Roman" w:hAnsi="Times New Roman" w:eastAsia="方正仿宋_GBK" w:cs="Times New Roman"/>
          <w:b w:val="0"/>
          <w:bCs/>
          <w:sz w:val="32"/>
          <w:szCs w:val="32"/>
          <w:shd w:val="clear" w:color="auto" w:fill="FFFFFF"/>
        </w:rPr>
        <w:t>万元，占98.70%；项目支出</w:t>
      </w:r>
      <w:r>
        <w:rPr>
          <w:rFonts w:hint="default" w:ascii="Times New Roman" w:hAnsi="Times New Roman" w:eastAsia="方正仿宋_GBK" w:cs="Times New Roman"/>
          <w:b w:val="0"/>
          <w:bCs/>
          <w:sz w:val="32"/>
          <w:szCs w:val="32"/>
        </w:rPr>
        <w:t>20.68</w:t>
      </w:r>
      <w:r>
        <w:rPr>
          <w:rFonts w:hint="default" w:ascii="Times New Roman" w:hAnsi="Times New Roman" w:eastAsia="方正仿宋_GBK" w:cs="Times New Roman"/>
          <w:b w:val="0"/>
          <w:bCs/>
          <w:sz w:val="32"/>
          <w:szCs w:val="32"/>
          <w:shd w:val="clear" w:color="auto" w:fill="FFFFFF"/>
        </w:rPr>
        <w:t>万元，占1.30%；经营支出</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万元，占0.00%。此外，结余分配</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Style w:val="11"/>
          <w:rFonts w:hint="default" w:ascii="Times New Roman" w:hAnsi="Times New Roman" w:eastAsia="方正仿宋_GBK" w:cs="Times New Roman"/>
          <w:b w:val="0"/>
          <w:bCs/>
          <w:sz w:val="32"/>
          <w:szCs w:val="32"/>
          <w:shd w:val="clear" w:color="auto" w:fill="FFFFFF"/>
        </w:rPr>
        <w:t>4.结转结余情况。</w:t>
      </w:r>
      <w:r>
        <w:rPr>
          <w:rFonts w:hint="default" w:ascii="Times New Roman" w:hAnsi="Times New Roman" w:eastAsia="方正仿宋_GBK" w:cs="Times New Roman"/>
          <w:b w:val="0"/>
          <w:bCs/>
          <w:sz w:val="32"/>
          <w:szCs w:val="32"/>
          <w:shd w:val="clear" w:color="auto" w:fill="FFFFFF"/>
        </w:rPr>
        <w:t>2023年度年末结转和结余</w:t>
      </w:r>
      <w:r>
        <w:rPr>
          <w:rFonts w:hint="default" w:ascii="Times New Roman" w:hAnsi="Times New Roman" w:eastAsia="方正仿宋_GBK" w:cs="Times New Roman"/>
          <w:b w:val="0"/>
          <w:bCs/>
          <w:sz w:val="32"/>
          <w:szCs w:val="32"/>
        </w:rPr>
        <w:t>48.63</w:t>
      </w:r>
      <w:r>
        <w:rPr>
          <w:rFonts w:hint="default" w:ascii="Times New Roman" w:hAnsi="Times New Roman" w:eastAsia="方正仿宋_GBK" w:cs="Times New Roman"/>
          <w:b w:val="0"/>
          <w:bCs/>
          <w:sz w:val="32"/>
          <w:szCs w:val="32"/>
          <w:shd w:val="clear" w:color="auto" w:fill="FFFFFF"/>
        </w:rPr>
        <w:t>万元，较上年决算数增加32.46万元，增长200.74%，主要原因是年末结转2022年度绩效清算资金。</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2023年度财政拨款收、支总计780.91万元。与2022年相比，财政拨款收、支总计各增加25.81万元，增长3.42%。主要原因是</w:t>
      </w:r>
      <w:r>
        <w:rPr>
          <w:rFonts w:hint="default" w:ascii="Times New Roman" w:hAnsi="Times New Roman" w:eastAsia="方正仿宋_GBK" w:cs="Times New Roman"/>
          <w:sz w:val="32"/>
          <w:szCs w:val="32"/>
          <w:shd w:val="clear" w:color="auto" w:fill="FFFFFF"/>
          <w:lang w:eastAsia="zh-CN"/>
        </w:rPr>
        <w:t>本年比上年在编人数有所增加及</w:t>
      </w:r>
      <w:r>
        <w:rPr>
          <w:rFonts w:hint="default" w:ascii="Times New Roman" w:hAnsi="Times New Roman" w:eastAsia="方正仿宋_GBK" w:cs="Times New Roman"/>
          <w:sz w:val="32"/>
          <w:szCs w:val="32"/>
          <w:shd w:val="clear" w:color="auto" w:fill="FFFFFF"/>
        </w:rPr>
        <w:t>新增医务人员临时工作补助项</w:t>
      </w:r>
      <w:r>
        <w:rPr>
          <w:rFonts w:hint="default" w:ascii="Times New Roman" w:hAnsi="Times New Roman" w:eastAsia="方正仿宋_GBK" w:cs="Times New Roman"/>
          <w:color w:val="auto"/>
          <w:sz w:val="32"/>
          <w:szCs w:val="32"/>
          <w:shd w:val="clear" w:color="auto" w:fill="FFFFFF"/>
        </w:rPr>
        <w:t>目</w:t>
      </w:r>
      <w:r>
        <w:rPr>
          <w:rFonts w:hint="default" w:ascii="Times New Roman" w:hAnsi="Times New Roman" w:eastAsia="方正仿宋_GBK" w:cs="Times New Roman"/>
          <w:sz w:val="32"/>
          <w:szCs w:val="32"/>
          <w:shd w:val="clear" w:color="auto" w:fill="FFFFFF"/>
        </w:rPr>
        <w:t>。</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sz w:val="32"/>
          <w:szCs w:val="32"/>
        </w:rPr>
      </w:pPr>
      <w:r>
        <w:rPr>
          <w:rStyle w:val="11"/>
          <w:rFonts w:hint="default" w:ascii="Times New Roman" w:hAnsi="Times New Roman" w:eastAsia="方正仿宋_GBK" w:cs="Times New Roman"/>
          <w:b w:val="0"/>
          <w:bCs/>
          <w:sz w:val="32"/>
          <w:szCs w:val="32"/>
          <w:shd w:val="clear" w:color="auto" w:fill="FFFFFF"/>
        </w:rPr>
        <w:t>1.收入情况。</w:t>
      </w:r>
      <w:r>
        <w:rPr>
          <w:rFonts w:hint="default" w:ascii="Times New Roman" w:hAnsi="Times New Roman" w:eastAsia="方正仿宋_GBK" w:cs="Times New Roman"/>
          <w:b w:val="0"/>
          <w:bCs/>
          <w:sz w:val="32"/>
          <w:szCs w:val="32"/>
          <w:shd w:val="clear" w:color="auto" w:fill="FFFFFF"/>
        </w:rPr>
        <w:t>2023年度一般公共预算财政拨款收入</w:t>
      </w:r>
      <w:r>
        <w:rPr>
          <w:rFonts w:hint="default" w:ascii="Times New Roman" w:hAnsi="Times New Roman" w:eastAsia="方正仿宋_GBK" w:cs="Times New Roman"/>
          <w:b w:val="0"/>
          <w:bCs/>
          <w:sz w:val="32"/>
          <w:szCs w:val="32"/>
        </w:rPr>
        <w:t>780.91</w:t>
      </w:r>
      <w:r>
        <w:rPr>
          <w:rFonts w:hint="default" w:ascii="Times New Roman" w:hAnsi="Times New Roman" w:eastAsia="方正仿宋_GBK" w:cs="Times New Roman"/>
          <w:b w:val="0"/>
          <w:bCs/>
          <w:sz w:val="32"/>
          <w:szCs w:val="32"/>
          <w:shd w:val="clear" w:color="auto" w:fill="FFFFFF"/>
        </w:rPr>
        <w:t>万元，较上年决算数增加25.81万元，增长3.42%。主要原因是</w:t>
      </w:r>
      <w:r>
        <w:rPr>
          <w:rFonts w:hint="default" w:ascii="Times New Roman" w:hAnsi="Times New Roman" w:eastAsia="方正仿宋_GBK" w:cs="Times New Roman"/>
          <w:b w:val="0"/>
          <w:bCs/>
          <w:sz w:val="32"/>
          <w:szCs w:val="32"/>
          <w:shd w:val="clear" w:color="auto" w:fill="FFFFFF"/>
          <w:lang w:eastAsia="zh-CN"/>
        </w:rPr>
        <w:t>本年比上年在编人数有所增加及</w:t>
      </w:r>
      <w:r>
        <w:rPr>
          <w:rFonts w:hint="default" w:ascii="Times New Roman" w:hAnsi="Times New Roman" w:eastAsia="方正仿宋_GBK" w:cs="Times New Roman"/>
          <w:b w:val="0"/>
          <w:bCs/>
          <w:sz w:val="32"/>
          <w:szCs w:val="32"/>
          <w:shd w:val="clear" w:color="auto" w:fill="FFFFFF"/>
        </w:rPr>
        <w:t>新增医务人员临时工作补助项</w:t>
      </w:r>
      <w:r>
        <w:rPr>
          <w:rFonts w:hint="default" w:ascii="Times New Roman" w:hAnsi="Times New Roman" w:eastAsia="方正仿宋_GBK" w:cs="Times New Roman"/>
          <w:b w:val="0"/>
          <w:bCs/>
          <w:color w:val="auto"/>
          <w:sz w:val="32"/>
          <w:szCs w:val="32"/>
          <w:shd w:val="clear" w:color="auto" w:fill="FFFFFF"/>
        </w:rPr>
        <w:t>目。</w:t>
      </w:r>
      <w:r>
        <w:rPr>
          <w:rFonts w:hint="default" w:ascii="Times New Roman" w:hAnsi="Times New Roman" w:eastAsia="方正仿宋_GBK" w:cs="Times New Roman"/>
          <w:b w:val="0"/>
          <w:bCs/>
          <w:sz w:val="32"/>
          <w:szCs w:val="32"/>
          <w:shd w:val="clear" w:color="auto" w:fill="FFFFFF"/>
        </w:rPr>
        <w:t>较年初预算数增加189.76万元，增长32.10%。</w:t>
      </w:r>
      <w:r>
        <w:rPr>
          <w:rFonts w:hint="default" w:ascii="Times New Roman" w:hAnsi="Times New Roman" w:eastAsia="方正仿宋_GBK" w:cs="Times New Roman"/>
          <w:b w:val="0"/>
          <w:bCs/>
          <w:kern w:val="0"/>
          <w:sz w:val="32"/>
          <w:szCs w:val="24"/>
          <w:lang w:val="en-US" w:eastAsia="zh-CN"/>
        </w:rPr>
        <w:t>主要原因是年初预算根据单位情况预估核算，实际财政拨款收入由财政根据资金分配情况统一安排拨款，因此财政拨款收入与年初预算有相应差异。</w:t>
      </w:r>
      <w:r>
        <w:rPr>
          <w:rFonts w:hint="default" w:ascii="Times New Roman" w:hAnsi="Times New Roman" w:eastAsia="方正仿宋_GBK" w:cs="Times New Roman"/>
          <w:b w:val="0"/>
          <w:bCs/>
          <w:sz w:val="32"/>
          <w:szCs w:val="32"/>
          <w:shd w:val="clear" w:color="auto" w:fill="FFFFFF"/>
        </w:rPr>
        <w:t>此外，年初财政拨款结转和结余</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sz w:val="32"/>
          <w:szCs w:val="32"/>
        </w:rPr>
      </w:pPr>
      <w:r>
        <w:rPr>
          <w:rStyle w:val="11"/>
          <w:rFonts w:hint="default" w:ascii="Times New Roman" w:hAnsi="Times New Roman" w:eastAsia="方正仿宋_GBK" w:cs="Times New Roman"/>
          <w:b w:val="0"/>
          <w:bCs/>
          <w:sz w:val="32"/>
          <w:szCs w:val="32"/>
          <w:shd w:val="clear" w:color="auto" w:fill="FFFFFF"/>
        </w:rPr>
        <w:t>2.支出情况。</w:t>
      </w:r>
      <w:r>
        <w:rPr>
          <w:rFonts w:hint="default" w:ascii="Times New Roman" w:hAnsi="Times New Roman" w:eastAsia="方正仿宋_GBK" w:cs="Times New Roman"/>
          <w:b w:val="0"/>
          <w:bCs/>
          <w:sz w:val="32"/>
          <w:szCs w:val="32"/>
          <w:shd w:val="clear" w:color="auto" w:fill="FFFFFF"/>
        </w:rPr>
        <w:t>2023年度一般公共预算财政拨款支出</w:t>
      </w:r>
      <w:r>
        <w:rPr>
          <w:rFonts w:hint="default" w:ascii="Times New Roman" w:hAnsi="Times New Roman" w:eastAsia="方正仿宋_GBK" w:cs="Times New Roman"/>
          <w:b w:val="0"/>
          <w:bCs/>
          <w:sz w:val="32"/>
          <w:szCs w:val="32"/>
        </w:rPr>
        <w:t>737.05</w:t>
      </w:r>
      <w:r>
        <w:rPr>
          <w:rFonts w:hint="default" w:ascii="Times New Roman" w:hAnsi="Times New Roman" w:eastAsia="方正仿宋_GBK" w:cs="Times New Roman"/>
          <w:b w:val="0"/>
          <w:bCs/>
          <w:sz w:val="32"/>
          <w:szCs w:val="32"/>
          <w:shd w:val="clear" w:color="auto" w:fill="FFFFFF"/>
        </w:rPr>
        <w:t>万元，较上年决算数减少18.05万元，下降2.39%。主要原因是2022年度绩效清算资金</w:t>
      </w:r>
      <w:r>
        <w:rPr>
          <w:rFonts w:hint="default" w:ascii="Times New Roman" w:hAnsi="Times New Roman" w:eastAsia="方正仿宋_GBK" w:cs="Times New Roman"/>
          <w:b w:val="0"/>
          <w:bCs/>
          <w:sz w:val="32"/>
          <w:szCs w:val="32"/>
          <w:shd w:val="clear" w:color="auto" w:fill="FFFFFF"/>
          <w:lang w:eastAsia="zh-CN"/>
        </w:rPr>
        <w:t>作为</w:t>
      </w:r>
      <w:r>
        <w:rPr>
          <w:rFonts w:hint="default" w:ascii="Times New Roman" w:hAnsi="Times New Roman" w:eastAsia="方正仿宋_GBK" w:cs="Times New Roman"/>
          <w:b w:val="0"/>
          <w:bCs/>
          <w:sz w:val="32"/>
          <w:szCs w:val="32"/>
          <w:shd w:val="clear" w:color="auto" w:fill="FFFFFF"/>
        </w:rPr>
        <w:t>年末结转</w:t>
      </w:r>
      <w:r>
        <w:rPr>
          <w:rFonts w:hint="default" w:ascii="Times New Roman" w:hAnsi="Times New Roman" w:eastAsia="方正仿宋_GBK" w:cs="Times New Roman"/>
          <w:b w:val="0"/>
          <w:bCs/>
          <w:sz w:val="32"/>
          <w:szCs w:val="32"/>
          <w:shd w:val="clear" w:color="auto" w:fill="FFFFFF"/>
          <w:lang w:eastAsia="zh-CN"/>
        </w:rPr>
        <w:t>资</w:t>
      </w:r>
      <w:r>
        <w:rPr>
          <w:rFonts w:hint="default" w:ascii="Times New Roman" w:hAnsi="Times New Roman" w:eastAsia="方正仿宋_GBK" w:cs="Times New Roman"/>
          <w:b w:val="0"/>
          <w:bCs/>
          <w:color w:val="auto"/>
          <w:sz w:val="32"/>
          <w:szCs w:val="32"/>
          <w:shd w:val="clear" w:color="auto" w:fill="FFFFFF"/>
          <w:lang w:eastAsia="zh-CN"/>
        </w:rPr>
        <w:t>金</w:t>
      </w:r>
      <w:r>
        <w:rPr>
          <w:rFonts w:hint="default" w:ascii="Times New Roman" w:hAnsi="Times New Roman" w:eastAsia="方正仿宋_GBK" w:cs="Times New Roman"/>
          <w:b w:val="0"/>
          <w:bCs/>
          <w:color w:val="auto"/>
          <w:sz w:val="32"/>
          <w:szCs w:val="32"/>
          <w:shd w:val="clear" w:color="auto" w:fill="FFFFFF"/>
        </w:rPr>
        <w:t>。</w:t>
      </w:r>
      <w:r>
        <w:rPr>
          <w:rFonts w:hint="default" w:ascii="Times New Roman" w:hAnsi="Times New Roman" w:eastAsia="方正仿宋_GBK" w:cs="Times New Roman"/>
          <w:b w:val="0"/>
          <w:bCs/>
          <w:sz w:val="32"/>
          <w:szCs w:val="32"/>
          <w:shd w:val="clear" w:color="auto" w:fill="FFFFFF"/>
        </w:rPr>
        <w:t>较年初预算数增加145.90万元，增长24.68%。</w:t>
      </w:r>
      <w:r>
        <w:rPr>
          <w:rFonts w:hint="default" w:ascii="Times New Roman" w:hAnsi="Times New Roman" w:eastAsia="方正仿宋_GBK" w:cs="Times New Roman"/>
          <w:b w:val="0"/>
          <w:bCs/>
          <w:kern w:val="0"/>
          <w:sz w:val="32"/>
          <w:szCs w:val="24"/>
          <w:lang w:val="en-US" w:eastAsia="zh-CN"/>
        </w:rPr>
        <w:t>主要原因是年初预算根据单位情况预估核算，实际财政拨款收入由财政根据资金分配情况统一安排拨款，因此财政拨款收入与年初预算有相应差异。</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auto"/>
          <w:sz w:val="32"/>
          <w:szCs w:val="32"/>
          <w:shd w:val="clear" w:color="auto" w:fill="FFFFFF"/>
          <w:lang w:eastAsia="zh-CN"/>
        </w:rPr>
      </w:pPr>
      <w:r>
        <w:rPr>
          <w:rStyle w:val="11"/>
          <w:rFonts w:hint="default" w:ascii="Times New Roman" w:hAnsi="Times New Roman" w:eastAsia="方正仿宋_GBK" w:cs="Times New Roman"/>
          <w:b w:val="0"/>
          <w:bCs/>
          <w:sz w:val="32"/>
          <w:szCs w:val="32"/>
          <w:shd w:val="clear" w:color="auto" w:fill="FFFFFF"/>
        </w:rPr>
        <w:t>3.结转结余情况。</w:t>
      </w:r>
      <w:r>
        <w:rPr>
          <w:rFonts w:hint="default" w:ascii="Times New Roman" w:hAnsi="Times New Roman" w:eastAsia="方正仿宋_GBK" w:cs="Times New Roman"/>
          <w:b w:val="0"/>
          <w:bCs/>
          <w:sz w:val="32"/>
          <w:szCs w:val="32"/>
          <w:shd w:val="clear" w:color="auto" w:fill="FFFFFF"/>
        </w:rPr>
        <w:t>2023年度年末一般公共预算财政拨款结转和结余</w:t>
      </w:r>
      <w:r>
        <w:rPr>
          <w:rFonts w:hint="default" w:ascii="Times New Roman" w:hAnsi="Times New Roman" w:eastAsia="方正仿宋_GBK" w:cs="Times New Roman"/>
          <w:b w:val="0"/>
          <w:bCs/>
          <w:sz w:val="32"/>
          <w:szCs w:val="32"/>
        </w:rPr>
        <w:t>43.86</w:t>
      </w:r>
      <w:r>
        <w:rPr>
          <w:rFonts w:hint="default" w:ascii="Times New Roman" w:hAnsi="Times New Roman" w:eastAsia="方正仿宋_GBK" w:cs="Times New Roman"/>
          <w:b w:val="0"/>
          <w:bCs/>
          <w:sz w:val="32"/>
          <w:szCs w:val="32"/>
          <w:shd w:val="clear" w:color="auto" w:fill="FFFFFF"/>
        </w:rPr>
        <w:t>万元，较上年决算数增加43.86万元，增长100.00%，主要原因是</w:t>
      </w:r>
      <w:r>
        <w:rPr>
          <w:rFonts w:hint="default" w:ascii="Times New Roman" w:hAnsi="Times New Roman" w:eastAsia="方正仿宋_GBK" w:cs="Times New Roman"/>
          <w:b w:val="0"/>
          <w:bCs/>
          <w:sz w:val="32"/>
          <w:szCs w:val="32"/>
          <w:shd w:val="clear" w:color="auto" w:fill="FFFFFF"/>
          <w:lang w:eastAsia="zh-CN"/>
        </w:rPr>
        <w:t>本年将</w:t>
      </w:r>
      <w:r>
        <w:rPr>
          <w:rFonts w:hint="default" w:ascii="Times New Roman" w:hAnsi="Times New Roman" w:eastAsia="方正仿宋_GBK" w:cs="Times New Roman"/>
          <w:b w:val="0"/>
          <w:bCs/>
          <w:sz w:val="32"/>
          <w:szCs w:val="32"/>
          <w:shd w:val="clear" w:color="auto" w:fill="FFFFFF"/>
        </w:rPr>
        <w:t>2022年度绩效清算资金</w:t>
      </w:r>
      <w:r>
        <w:rPr>
          <w:rFonts w:hint="default" w:ascii="Times New Roman" w:hAnsi="Times New Roman" w:eastAsia="方正仿宋_GBK" w:cs="Times New Roman"/>
          <w:b w:val="0"/>
          <w:bCs/>
          <w:sz w:val="32"/>
          <w:szCs w:val="32"/>
          <w:shd w:val="clear" w:color="auto" w:fill="FFFFFF"/>
          <w:lang w:eastAsia="zh-CN"/>
        </w:rPr>
        <w:t>作为</w:t>
      </w:r>
      <w:r>
        <w:rPr>
          <w:rFonts w:hint="default" w:ascii="Times New Roman" w:hAnsi="Times New Roman" w:eastAsia="方正仿宋_GBK" w:cs="Times New Roman"/>
          <w:b w:val="0"/>
          <w:bCs/>
          <w:sz w:val="32"/>
          <w:szCs w:val="32"/>
          <w:shd w:val="clear" w:color="auto" w:fill="FFFFFF"/>
        </w:rPr>
        <w:t>年末结转</w:t>
      </w:r>
      <w:r>
        <w:rPr>
          <w:rFonts w:hint="default" w:ascii="Times New Roman" w:hAnsi="Times New Roman" w:eastAsia="方正仿宋_GBK" w:cs="Times New Roman"/>
          <w:b w:val="0"/>
          <w:bCs/>
          <w:sz w:val="32"/>
          <w:szCs w:val="32"/>
          <w:shd w:val="clear" w:color="auto" w:fill="FFFFFF"/>
          <w:lang w:eastAsia="zh-CN"/>
        </w:rPr>
        <w:t>资</w:t>
      </w:r>
      <w:r>
        <w:rPr>
          <w:rFonts w:hint="default" w:ascii="Times New Roman" w:hAnsi="Times New Roman" w:eastAsia="方正仿宋_GBK" w:cs="Times New Roman"/>
          <w:b w:val="0"/>
          <w:bCs/>
          <w:color w:val="auto"/>
          <w:sz w:val="32"/>
          <w:szCs w:val="32"/>
          <w:shd w:val="clear" w:color="auto" w:fill="FFFFFF"/>
          <w:lang w:eastAsia="zh-CN"/>
        </w:rPr>
        <w:t>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FF0000"/>
          <w:sz w:val="32"/>
          <w:szCs w:val="32"/>
          <w:highlight w:val="cyan"/>
          <w:shd w:val="clear" w:color="auto" w:fill="FFFFFF"/>
        </w:rPr>
      </w:pPr>
      <w:r>
        <w:rPr>
          <w:rStyle w:val="11"/>
          <w:rFonts w:hint="default" w:ascii="Times New Roman" w:hAnsi="Times New Roman" w:eastAsia="方正仿宋_GBK" w:cs="Times New Roman"/>
          <w:b w:val="0"/>
          <w:bCs/>
          <w:sz w:val="32"/>
          <w:szCs w:val="32"/>
          <w:shd w:val="clear" w:color="auto" w:fill="FFFFFF"/>
        </w:rPr>
        <w:t xml:space="preserve"> 4.比较情况。</w:t>
      </w:r>
      <w:r>
        <w:rPr>
          <w:rFonts w:hint="default" w:ascii="Times New Roman" w:hAnsi="Times New Roman" w:eastAsia="方正仿宋_GBK" w:cs="Times New Roman"/>
          <w:b w:val="0"/>
          <w:bCs/>
          <w:sz w:val="32"/>
          <w:szCs w:val="32"/>
          <w:shd w:val="clear" w:color="auto" w:fill="FFFFFF"/>
        </w:rPr>
        <w:t>本单位2023年度一般公共预算财政拨款支出主要用于以下几个方面：</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1</w:t>
      </w:r>
      <w:r>
        <w:rPr>
          <w:rFonts w:hint="default" w:ascii="Times New Roman" w:hAnsi="Times New Roman" w:eastAsia="方正仿宋_GBK" w:cs="Times New Roman"/>
          <w:b w:val="0"/>
          <w:bCs/>
          <w:sz w:val="32"/>
          <w:szCs w:val="32"/>
          <w:shd w:val="clear" w:color="auto" w:fill="FFFFFF"/>
        </w:rPr>
        <w:t>）社会保障与就业支出</w:t>
      </w:r>
      <w:r>
        <w:rPr>
          <w:rFonts w:hint="default" w:ascii="Times New Roman" w:hAnsi="Times New Roman" w:eastAsia="方正仿宋_GBK" w:cs="Times New Roman"/>
          <w:b w:val="0"/>
          <w:bCs/>
          <w:sz w:val="32"/>
          <w:szCs w:val="32"/>
        </w:rPr>
        <w:t>81.18</w:t>
      </w:r>
      <w:r>
        <w:rPr>
          <w:rFonts w:hint="default" w:ascii="Times New Roman" w:hAnsi="Times New Roman" w:eastAsia="方正仿宋_GBK" w:cs="Times New Roman"/>
          <w:b w:val="0"/>
          <w:bCs/>
          <w:sz w:val="32"/>
          <w:szCs w:val="32"/>
          <w:shd w:val="clear" w:color="auto" w:fill="FFFFFF"/>
        </w:rPr>
        <w:t>万元，占</w:t>
      </w:r>
      <w:r>
        <w:rPr>
          <w:rFonts w:hint="default" w:ascii="Times New Roman" w:hAnsi="Times New Roman" w:eastAsia="方正仿宋_GBK" w:cs="Times New Roman"/>
          <w:b w:val="0"/>
          <w:bCs/>
          <w:sz w:val="32"/>
          <w:szCs w:val="32"/>
        </w:rPr>
        <w:t>11.01</w:t>
      </w:r>
      <w:r>
        <w:rPr>
          <w:rFonts w:hint="default" w:ascii="Times New Roman" w:hAnsi="Times New Roman" w:eastAsia="方正仿宋_GBK" w:cs="Times New Roman"/>
          <w:b w:val="0"/>
          <w:bCs/>
          <w:sz w:val="32"/>
          <w:szCs w:val="32"/>
          <w:shd w:val="clear" w:color="auto" w:fill="FFFFFF"/>
        </w:rPr>
        <w:t>%，较年初预算数减少20.51万元，下降20.17%，</w:t>
      </w:r>
      <w:r>
        <w:rPr>
          <w:rFonts w:hint="default" w:ascii="Times New Roman" w:hAnsi="Times New Roman" w:eastAsia="方正仿宋_GBK" w:cs="Times New Roman"/>
          <w:b w:val="0"/>
          <w:bCs/>
          <w:kern w:val="0"/>
          <w:sz w:val="32"/>
          <w:szCs w:val="24"/>
          <w:lang w:val="en-US" w:eastAsia="zh-CN"/>
        </w:rPr>
        <w:t>主要原因是年初预算根据本单位情况预估核算，实际财政拨款收入由财政根据资金分配情况统一安排拨款，因此财政拨款收入与年初预算有相应差异。</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）卫生健康支出</w:t>
      </w:r>
      <w:r>
        <w:rPr>
          <w:rFonts w:hint="default" w:ascii="Times New Roman" w:hAnsi="Times New Roman" w:eastAsia="方正仿宋_GBK" w:cs="Times New Roman"/>
          <w:b w:val="0"/>
          <w:bCs/>
          <w:sz w:val="32"/>
          <w:szCs w:val="32"/>
        </w:rPr>
        <w:t>630.75</w:t>
      </w:r>
      <w:r>
        <w:rPr>
          <w:rFonts w:hint="default" w:ascii="Times New Roman" w:hAnsi="Times New Roman" w:eastAsia="方正仿宋_GBK" w:cs="Times New Roman"/>
          <w:b w:val="0"/>
          <w:bCs/>
          <w:sz w:val="32"/>
          <w:szCs w:val="32"/>
          <w:shd w:val="clear" w:color="auto" w:fill="FFFFFF"/>
        </w:rPr>
        <w:t>万元，占</w:t>
      </w:r>
      <w:r>
        <w:rPr>
          <w:rFonts w:hint="default" w:ascii="Times New Roman" w:hAnsi="Times New Roman" w:eastAsia="方正仿宋_GBK" w:cs="Times New Roman"/>
          <w:b w:val="0"/>
          <w:bCs/>
          <w:sz w:val="32"/>
          <w:szCs w:val="32"/>
        </w:rPr>
        <w:t>85.58</w:t>
      </w:r>
      <w:r>
        <w:rPr>
          <w:rFonts w:hint="default" w:ascii="Times New Roman" w:hAnsi="Times New Roman" w:eastAsia="方正仿宋_GBK" w:cs="Times New Roman"/>
          <w:b w:val="0"/>
          <w:bCs/>
          <w:sz w:val="32"/>
          <w:szCs w:val="32"/>
          <w:shd w:val="clear" w:color="auto" w:fill="FFFFFF"/>
        </w:rPr>
        <w:t>%，较年初预算数增加183.92万元，增长41.16%，</w:t>
      </w:r>
      <w:r>
        <w:rPr>
          <w:rFonts w:hint="default" w:ascii="Times New Roman" w:hAnsi="Times New Roman" w:eastAsia="方正仿宋_GBK" w:cs="Times New Roman"/>
          <w:b w:val="0"/>
          <w:bCs/>
          <w:kern w:val="0"/>
          <w:sz w:val="32"/>
          <w:szCs w:val="24"/>
          <w:lang w:val="en-US" w:eastAsia="zh-CN"/>
        </w:rPr>
        <w:t>主要原因是2023年</w:t>
      </w:r>
      <w:r>
        <w:rPr>
          <w:rFonts w:hint="default" w:ascii="Times New Roman" w:hAnsi="Times New Roman" w:eastAsia="方正仿宋_GBK" w:cs="Times New Roman"/>
          <w:b w:val="0"/>
          <w:bCs/>
          <w:sz w:val="32"/>
          <w:szCs w:val="32"/>
          <w:shd w:val="clear" w:color="auto" w:fill="FFFFFF"/>
        </w:rPr>
        <w:t>新增医务人员临时工作补助项</w:t>
      </w:r>
      <w:r>
        <w:rPr>
          <w:rFonts w:hint="default" w:ascii="Times New Roman" w:hAnsi="Times New Roman" w:eastAsia="方正仿宋_GBK" w:cs="Times New Roman"/>
          <w:b w:val="0"/>
          <w:bCs/>
          <w:color w:val="auto"/>
          <w:sz w:val="32"/>
          <w:szCs w:val="32"/>
          <w:shd w:val="clear" w:color="auto" w:fill="FFFFFF"/>
        </w:rPr>
        <w:t>目</w:t>
      </w:r>
      <w:r>
        <w:rPr>
          <w:rFonts w:hint="default" w:ascii="Times New Roman" w:hAnsi="Times New Roman" w:eastAsia="方正仿宋_GBK" w:cs="Times New Roman"/>
          <w:b w:val="0"/>
          <w:bCs/>
          <w:kern w:val="0"/>
          <w:sz w:val="32"/>
          <w:szCs w:val="24"/>
          <w:lang w:val="en-US" w:eastAsia="zh-CN"/>
        </w:rPr>
        <w:t>。</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color w:val="FF0000"/>
          <w:sz w:val="32"/>
          <w:szCs w:val="32"/>
          <w:shd w:val="clear" w:color="auto" w:fill="FFFFFF"/>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rPr>
        <w:t>住房保障支出25.12</w:t>
      </w:r>
      <w:r>
        <w:rPr>
          <w:rFonts w:hint="default" w:ascii="Times New Roman" w:hAnsi="Times New Roman" w:eastAsia="方正仿宋_GBK" w:cs="Times New Roman"/>
          <w:b w:val="0"/>
          <w:bCs/>
          <w:sz w:val="32"/>
          <w:szCs w:val="32"/>
          <w:shd w:val="clear" w:color="auto" w:fill="FFFFFF"/>
        </w:rPr>
        <w:t>万元，占</w:t>
      </w:r>
      <w:r>
        <w:rPr>
          <w:rFonts w:hint="default" w:ascii="Times New Roman" w:hAnsi="Times New Roman" w:eastAsia="方正仿宋_GBK" w:cs="Times New Roman"/>
          <w:b w:val="0"/>
          <w:bCs/>
          <w:sz w:val="32"/>
          <w:szCs w:val="32"/>
        </w:rPr>
        <w:t>3.41</w:t>
      </w:r>
      <w:r>
        <w:rPr>
          <w:rFonts w:hint="default" w:ascii="Times New Roman" w:hAnsi="Times New Roman" w:eastAsia="方正仿宋_GBK" w:cs="Times New Roman"/>
          <w:b w:val="0"/>
          <w:bCs/>
          <w:sz w:val="32"/>
          <w:szCs w:val="32"/>
          <w:shd w:val="clear" w:color="auto" w:fill="FFFFFF"/>
        </w:rPr>
        <w:t>%，较年初预算数减少17.50万元，下降41.06%，</w:t>
      </w:r>
      <w:r>
        <w:rPr>
          <w:rFonts w:hint="default" w:ascii="Times New Roman" w:hAnsi="Times New Roman" w:eastAsia="方正仿宋_GBK" w:cs="Times New Roman"/>
          <w:b w:val="0"/>
          <w:bCs/>
          <w:kern w:val="0"/>
          <w:sz w:val="32"/>
          <w:szCs w:val="24"/>
          <w:lang w:val="en-US" w:eastAsia="zh-CN"/>
        </w:rPr>
        <w:t>主要原因是年初预算根据本单位情况预估核算，实际财政拨款收入由财政根据资金分配情况统一安排拨款，因此财政拨款收入与年初预算有相应差异。</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716.37</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667.95</w:t>
      </w:r>
      <w:r>
        <w:rPr>
          <w:rFonts w:hint="default" w:ascii="Times New Roman" w:hAnsi="Times New Roman" w:eastAsia="方正仿宋_GBK" w:cs="Times New Roman"/>
          <w:sz w:val="32"/>
          <w:szCs w:val="32"/>
          <w:shd w:val="clear" w:color="auto" w:fill="FFFFFF"/>
        </w:rPr>
        <w:t>万元，较上年决算数减少28.40万元，下降4.08%，主要原因是2022年度绩效清算资金</w:t>
      </w:r>
      <w:r>
        <w:rPr>
          <w:rFonts w:hint="default" w:ascii="Times New Roman" w:hAnsi="Times New Roman" w:eastAsia="方正仿宋_GBK" w:cs="Times New Roman"/>
          <w:sz w:val="32"/>
          <w:szCs w:val="32"/>
          <w:shd w:val="clear" w:color="auto" w:fill="FFFFFF"/>
          <w:lang w:eastAsia="zh-CN"/>
        </w:rPr>
        <w:t>作为</w:t>
      </w:r>
      <w:r>
        <w:rPr>
          <w:rFonts w:hint="default" w:ascii="Times New Roman" w:hAnsi="Times New Roman" w:eastAsia="方正仿宋_GBK" w:cs="Times New Roman"/>
          <w:sz w:val="32"/>
          <w:szCs w:val="32"/>
          <w:shd w:val="clear" w:color="auto" w:fill="FFFFFF"/>
        </w:rPr>
        <w:t>年末结转</w:t>
      </w:r>
      <w:r>
        <w:rPr>
          <w:rFonts w:hint="default" w:ascii="Times New Roman" w:hAnsi="Times New Roman" w:eastAsia="方正仿宋_GBK" w:cs="Times New Roman"/>
          <w:sz w:val="32"/>
          <w:szCs w:val="32"/>
          <w:shd w:val="clear" w:color="auto" w:fill="FFFFFF"/>
          <w:lang w:eastAsia="zh-CN"/>
        </w:rPr>
        <w:t>资</w:t>
      </w:r>
      <w:r>
        <w:rPr>
          <w:rFonts w:hint="default" w:ascii="Times New Roman" w:hAnsi="Times New Roman" w:eastAsia="方正仿宋_GBK" w:cs="Times New Roman"/>
          <w:color w:val="auto"/>
          <w:sz w:val="32"/>
          <w:szCs w:val="32"/>
          <w:shd w:val="clear" w:color="auto" w:fill="FFFFFF"/>
          <w:lang w:eastAsia="zh-CN"/>
        </w:rPr>
        <w:t>金</w:t>
      </w:r>
      <w:r>
        <w:rPr>
          <w:rFonts w:hint="default" w:ascii="Times New Roman" w:hAnsi="Times New Roman" w:eastAsia="方正仿宋_GBK" w:cs="Times New Roman"/>
          <w:color w:val="auto"/>
          <w:sz w:val="32"/>
          <w:szCs w:val="32"/>
          <w:shd w:val="clear" w:color="auto" w:fill="FFFFFF"/>
        </w:rPr>
        <w:t>。</w:t>
      </w:r>
      <w:r>
        <w:rPr>
          <w:rFonts w:hint="default" w:ascii="Times New Roman" w:hAnsi="Times New Roman" w:eastAsia="方正仿宋_GBK" w:cs="Times New Roman"/>
          <w:sz w:val="32"/>
          <w:szCs w:val="32"/>
          <w:shd w:val="clear" w:color="auto" w:fill="FFFFFF"/>
        </w:rPr>
        <w:t>人员经费用途主要包</w:t>
      </w:r>
      <w:r>
        <w:rPr>
          <w:rFonts w:hint="default" w:ascii="Times New Roman" w:hAnsi="Times New Roman" w:eastAsia="方正仿宋_GBK" w:cs="Times New Roman"/>
          <w:color w:val="auto"/>
          <w:sz w:val="32"/>
          <w:szCs w:val="32"/>
          <w:shd w:val="clear" w:color="auto" w:fill="FFFFFF"/>
        </w:rPr>
        <w:t>括</w:t>
      </w:r>
      <w:r>
        <w:rPr>
          <w:rFonts w:hint="default" w:ascii="Times New Roman" w:hAnsi="Times New Roman" w:eastAsia="方正仿宋_GBK" w:cs="Times New Roman"/>
          <w:color w:val="auto"/>
          <w:sz w:val="32"/>
          <w:szCs w:val="32"/>
          <w:shd w:val="clear" w:color="auto" w:fill="FFFFFF"/>
          <w:lang w:eastAsia="zh-CN"/>
        </w:rPr>
        <w:t>社会保障、工资、绩效、津补贴支出等</w:t>
      </w:r>
      <w:r>
        <w:rPr>
          <w:rFonts w:hint="default" w:ascii="Times New Roman" w:hAnsi="Times New Roman" w:eastAsia="方正仿宋_GBK" w:cs="Times New Roman"/>
          <w:color w:val="auto"/>
          <w:sz w:val="32"/>
          <w:szCs w:val="32"/>
          <w:shd w:val="clear" w:color="auto" w:fill="FFFFFF"/>
        </w:rPr>
        <w:t>。公</w:t>
      </w:r>
      <w:r>
        <w:rPr>
          <w:rFonts w:hint="default" w:ascii="Times New Roman" w:hAnsi="Times New Roman" w:eastAsia="方正仿宋_GBK" w:cs="Times New Roman"/>
          <w:sz w:val="32"/>
          <w:szCs w:val="32"/>
          <w:shd w:val="clear" w:color="auto" w:fill="FFFFFF"/>
        </w:rPr>
        <w:t>用经费</w:t>
      </w:r>
      <w:r>
        <w:rPr>
          <w:rFonts w:hint="default" w:ascii="Times New Roman" w:hAnsi="Times New Roman" w:eastAsia="方正仿宋_GBK" w:cs="Times New Roman"/>
          <w:sz w:val="32"/>
          <w:szCs w:val="32"/>
        </w:rPr>
        <w:t>48.42</w:t>
      </w:r>
      <w:r>
        <w:rPr>
          <w:rFonts w:hint="default" w:ascii="Times New Roman" w:hAnsi="Times New Roman" w:eastAsia="方正仿宋_GBK" w:cs="Times New Roman"/>
          <w:sz w:val="32"/>
          <w:szCs w:val="32"/>
          <w:shd w:val="clear" w:color="auto" w:fill="FFFFFF"/>
        </w:rPr>
        <w:t>万元，较上年决算数减少10.32万元，下降17.57%，主要原因是</w:t>
      </w:r>
      <w:r>
        <w:rPr>
          <w:rFonts w:hint="default" w:ascii="Times New Roman" w:hAnsi="Times New Roman" w:eastAsia="方正仿宋_GBK" w:cs="Times New Roman"/>
          <w:sz w:val="32"/>
          <w:szCs w:val="32"/>
          <w:shd w:val="clear" w:color="auto" w:fill="FFFFFF"/>
          <w:lang w:eastAsia="zh-CN"/>
        </w:rPr>
        <w:t>本年度减少了人员工资、办公、药品耗材等支</w:t>
      </w:r>
      <w:r>
        <w:rPr>
          <w:rFonts w:hint="default" w:ascii="Times New Roman" w:hAnsi="Times New Roman" w:eastAsia="方正仿宋_GBK" w:cs="Times New Roman"/>
          <w:color w:val="auto"/>
          <w:sz w:val="32"/>
          <w:szCs w:val="32"/>
          <w:shd w:val="clear" w:color="auto" w:fill="FFFFFF"/>
          <w:lang w:eastAsia="zh-CN"/>
        </w:rPr>
        <w:t>出</w:t>
      </w:r>
      <w:r>
        <w:rPr>
          <w:rFonts w:hint="default" w:ascii="Times New Roman" w:hAnsi="Times New Roman" w:eastAsia="方正仿宋_GBK" w:cs="Times New Roman"/>
          <w:color w:val="auto"/>
          <w:sz w:val="32"/>
          <w:szCs w:val="32"/>
          <w:shd w:val="clear" w:color="auto" w:fill="FFFFFF"/>
        </w:rPr>
        <w:t>。</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color w:val="auto"/>
          <w:sz w:val="32"/>
          <w:szCs w:val="32"/>
          <w:shd w:val="clear" w:color="auto" w:fill="FFFFFF"/>
          <w:lang w:eastAsia="zh-CN"/>
        </w:rPr>
        <w:t>办公支出、培训支出、水电支出、物业管理及维修（护）支出</w:t>
      </w:r>
      <w:r>
        <w:rPr>
          <w:rFonts w:hint="default" w:ascii="Times New Roman" w:hAnsi="Times New Roman" w:eastAsia="方正仿宋_GBK" w:cs="Times New Roman"/>
          <w:color w:val="auto"/>
          <w:sz w:val="32"/>
          <w:szCs w:val="32"/>
          <w:shd w:val="clear" w:color="auto" w:fill="FFFFFF"/>
        </w:rPr>
        <w:t>。</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本单位2023年度无政府性基金预算财政拨款收支。</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本单位2023年度无国有资本经营预算财政拨款支出。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黑体_GBK" w:hAnsi="方正黑体_GBK" w:eastAsia="方正黑体_GBK" w:cs="方正黑体_GBK"/>
          <w:b w:val="0"/>
          <w:bCs/>
          <w:sz w:val="32"/>
          <w:szCs w:val="32"/>
          <w:shd w:val="clear" w:color="auto" w:fill="FFFF00"/>
        </w:rPr>
      </w:pPr>
      <w:r>
        <w:rPr>
          <w:rStyle w:val="11"/>
          <w:rFonts w:hint="eastAsia" w:ascii="方正黑体_GBK" w:hAnsi="方正黑体_GBK" w:eastAsia="方正黑体_GBK" w:cs="方正黑体_GBK"/>
          <w:b w:val="0"/>
          <w:bCs/>
          <w:sz w:val="32"/>
          <w:szCs w:val="32"/>
          <w:shd w:val="clear" w:color="auto" w:fill="FFFFFF"/>
        </w:rPr>
        <w:t>三、“三公”经费情况说明</w:t>
      </w:r>
    </w:p>
    <w:p>
      <w:pPr>
        <w:pStyle w:val="14"/>
        <w:keepNext w:val="0"/>
        <w:keepLines w:val="0"/>
        <w:pageBreakBefore w:val="0"/>
        <w:kinsoku/>
        <w:wordWrap/>
        <w:overflowPunct/>
        <w:topLinePunct w:val="0"/>
        <w:autoSpaceDE w:val="0"/>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 xml:space="preserve"> （一）“三公”经费支出总体情况说明</w:t>
      </w:r>
    </w:p>
    <w:p>
      <w:pPr>
        <w:pStyle w:val="14"/>
        <w:keepNext w:val="0"/>
        <w:keepLines w:val="0"/>
        <w:pageBreakBefore w:val="0"/>
        <w:kinsoku/>
        <w:wordWrap/>
        <w:overflowPunct/>
        <w:topLinePunct w:val="0"/>
        <w:autoSpaceDE w:val="0"/>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kern w:val="0"/>
          <w:sz w:val="32"/>
          <w:szCs w:val="24"/>
          <w:lang w:val="en-US" w:eastAsia="zh-CN"/>
        </w:rPr>
      </w:pPr>
      <w:r>
        <w:rPr>
          <w:rFonts w:hint="default" w:ascii="Times New Roman" w:hAnsi="Times New Roman" w:eastAsia="方正仿宋_GBK" w:cs="Times New Roman"/>
          <w:kern w:val="0"/>
          <w:sz w:val="32"/>
          <w:szCs w:val="24"/>
          <w:lang w:val="en-US" w:eastAsia="zh-CN"/>
        </w:rPr>
        <w:t>本单位属于差额事业拨款单位，财政未保障我单位“三公”经费。</w:t>
      </w:r>
    </w:p>
    <w:p>
      <w:pPr>
        <w:pStyle w:val="14"/>
        <w:keepNext w:val="0"/>
        <w:keepLines w:val="0"/>
        <w:pageBreakBefore w:val="0"/>
        <w:kinsoku/>
        <w:wordWrap/>
        <w:overflowPunct/>
        <w:topLinePunct w:val="0"/>
        <w:autoSpaceDE w:val="0"/>
        <w:autoSpaceDN/>
        <w:bidi w:val="0"/>
        <w:adjustRightInd/>
        <w:snapToGrid/>
        <w:spacing w:beforeAutospacing="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（三）“三公”经费实物量情况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2023年度本单位因公出国（境）共计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个团组，</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人；公务用车购置</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辆，公务车保有量为</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辆；国内公务接待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人，其中：国内外事接待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人；国（境）外公务接待</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批次，</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人。2023年本单位人均接待费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元，车均购置费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万元，车均维护费</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四、其他需要说明的事项</w:t>
      </w:r>
    </w:p>
    <w:p>
      <w:pPr>
        <w:pStyle w:val="14"/>
        <w:keepNext w:val="0"/>
        <w:keepLines w:val="0"/>
        <w:pageBreakBefore w:val="0"/>
        <w:kinsoku/>
        <w:wordWrap/>
        <w:overflowPunct/>
        <w:topLinePunct w:val="0"/>
        <w:autoSpaceDE w:val="0"/>
        <w:autoSpaceDN/>
        <w:bidi w:val="0"/>
        <w:adjustRightInd/>
        <w:spacing w:beforeAutospacing="0" w:afterAutospacing="0" w:line="560" w:lineRule="exact"/>
        <w:jc w:val="both"/>
        <w:rPr>
          <w:rFonts w:ascii="楷体" w:hAnsi="楷体" w:eastAsia="楷体" w:cs="楷体"/>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（一）财政拨款会议费和培训费情况说明</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因</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为差额拨款单位，财政未保障</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会议费和培训费。</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（二）机关运行经费情况说明</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hint="default" w:ascii="Times New Roman" w:hAnsi="Times New Roman" w:eastAsia="方正楷体_GBK" w:cs="Times New Roman"/>
          <w:b w:val="0"/>
          <w:bCs w:val="0"/>
          <w:sz w:val="32"/>
          <w:szCs w:val="32"/>
          <w:shd w:val="clear" w:color="auto" w:fill="FFFFFF"/>
        </w:rPr>
      </w:pPr>
      <w:r>
        <w:rPr>
          <w:rFonts w:hint="eastAsia" w:ascii="Times New Roman" w:hAnsi="Times New Roman" w:eastAsia="方正楷体_GBK" w:cs="Times New Roman"/>
          <w:b w:val="0"/>
          <w:bCs w:val="0"/>
          <w:sz w:val="32"/>
          <w:szCs w:val="32"/>
          <w:shd w:val="clear" w:color="auto" w:fill="FFFFFF"/>
        </w:rPr>
        <w:t>（三）国有资产占用情况说明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截至2023年12月31日，本单位共有车辆</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楷体_GBK" w:cs="Times New Roman"/>
          <w:b w:val="0"/>
          <w:bCs w:val="0"/>
          <w:sz w:val="32"/>
          <w:szCs w:val="32"/>
          <w:shd w:val="clear" w:color="auto" w:fill="FFFFFF"/>
        </w:rPr>
      </w:pPr>
      <w:r>
        <w:rPr>
          <w:rFonts w:hint="eastAsia" w:ascii="Times New Roman" w:hAnsi="Times New Roman" w:eastAsia="方正楷体_GBK" w:cs="Times New Roman"/>
          <w:b w:val="0"/>
          <w:bCs w:val="0"/>
          <w:sz w:val="32"/>
          <w:szCs w:val="32"/>
          <w:shd w:val="clear" w:color="auto" w:fill="FFFFFF"/>
        </w:rPr>
        <w:t>（四）政府采购支出情况说明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Times New Roman" w:hAnsi="Times New Roman" w:eastAsia="方正仿宋_GBK" w:cs="Times New Roman"/>
          <w:sz w:val="32"/>
          <w:szCs w:val="32"/>
          <w:shd w:val="clear" w:color="auto" w:fill="FFFFFF"/>
        </w:rPr>
      </w:pPr>
      <w:r>
        <w:rPr>
          <w:rFonts w:ascii="方正仿宋_GBK" w:hAnsi="方正仿宋_GBK" w:eastAsia="方正仿宋_GBK" w:cs="方正仿宋_GBK"/>
          <w:sz w:val="32"/>
          <w:szCs w:val="32"/>
          <w:shd w:val="clear" w:color="auto" w:fill="FFFFFF"/>
        </w:rPr>
        <w:t xml:space="preserve"> </w:t>
      </w:r>
      <w:r>
        <w:rPr>
          <w:rFonts w:hint="default" w:ascii="Times New Roman" w:hAnsi="Times New Roman" w:eastAsia="方正仿宋_GBK" w:cs="Times New Roman"/>
          <w:sz w:val="32"/>
          <w:szCs w:val="32"/>
          <w:shd w:val="clear" w:color="auto" w:fill="FFFFFF"/>
        </w:rPr>
        <w:t>2023年度本单位政府采购支出总额</w:t>
      </w:r>
      <w:r>
        <w:rPr>
          <w:rFonts w:hint="default" w:ascii="Times New Roman" w:hAnsi="Times New Roman" w:eastAsia="方正仿宋_GBK" w:cs="Times New Roman"/>
          <w:sz w:val="32"/>
          <w:szCs w:val="32"/>
        </w:rPr>
        <w:t>134.45</w:t>
      </w:r>
      <w:r>
        <w:rPr>
          <w:rFonts w:hint="default" w:ascii="Times New Roman" w:hAnsi="Times New Roman" w:eastAsia="方正仿宋_GBK" w:cs="Times New Roman"/>
          <w:sz w:val="32"/>
          <w:szCs w:val="32"/>
          <w:shd w:val="clear" w:color="auto" w:fill="FFFFFF"/>
        </w:rPr>
        <w:t>万元，其中：政府采购货物支出</w:t>
      </w:r>
      <w:r>
        <w:rPr>
          <w:rFonts w:hint="default" w:ascii="Times New Roman" w:hAnsi="Times New Roman" w:eastAsia="方正仿宋_GBK" w:cs="Times New Roman"/>
          <w:sz w:val="32"/>
          <w:szCs w:val="32"/>
        </w:rPr>
        <w:t>134.45</w:t>
      </w:r>
      <w:r>
        <w:rPr>
          <w:rFonts w:hint="default" w:ascii="Times New Roman" w:hAnsi="Times New Roman" w:eastAsia="方正仿宋_GBK" w:cs="Times New Roman"/>
          <w:sz w:val="32"/>
          <w:szCs w:val="32"/>
          <w:shd w:val="clear" w:color="auto" w:fill="FFFFFF"/>
        </w:rPr>
        <w:t>万元、政府采购工程支出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万元、政府采购服务支出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万元。授予中小企业合同金额</w:t>
      </w:r>
      <w:r>
        <w:rPr>
          <w:rFonts w:hint="default" w:ascii="Times New Roman" w:hAnsi="Times New Roman" w:eastAsia="方正仿宋_GBK" w:cs="Times New Roman"/>
          <w:sz w:val="32"/>
          <w:szCs w:val="32"/>
        </w:rPr>
        <w:t>134.45万</w:t>
      </w:r>
      <w:r>
        <w:rPr>
          <w:rFonts w:hint="default" w:ascii="Times New Roman" w:hAnsi="Times New Roman" w:eastAsia="方正仿宋_GBK" w:cs="Times New Roman"/>
          <w:sz w:val="32"/>
          <w:szCs w:val="32"/>
          <w:shd w:val="clear" w:color="auto" w:fill="FFFFFF"/>
        </w:rPr>
        <w:t>元，占政府采购支出总额的</w:t>
      </w:r>
      <w:r>
        <w:rPr>
          <w:rFonts w:hint="default" w:ascii="Times New Roman" w:hAnsi="Times New Roman" w:eastAsia="方正仿宋_GBK" w:cs="Times New Roman"/>
          <w:sz w:val="32"/>
          <w:szCs w:val="32"/>
        </w:rPr>
        <w:t>100.00</w:t>
      </w:r>
      <w:r>
        <w:rPr>
          <w:rFonts w:hint="default" w:ascii="Times New Roman" w:hAnsi="Times New Roman" w:eastAsia="方正仿宋_GBK" w:cs="Times New Roman"/>
          <w:sz w:val="32"/>
          <w:szCs w:val="32"/>
          <w:shd w:val="clear" w:color="auto" w:fill="FFFFFF"/>
        </w:rPr>
        <w:t>%，其中：授予小微企业合同金额</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万元，占政府采购支出总额的</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 xml:space="preserve"> %。主要用于采购</w:t>
      </w:r>
      <w:r>
        <w:rPr>
          <w:rFonts w:hint="default" w:ascii="Times New Roman" w:hAnsi="Times New Roman" w:eastAsia="方正仿宋_GBK" w:cs="Times New Roman"/>
          <w:sz w:val="32"/>
          <w:szCs w:val="32"/>
          <w:shd w:val="clear" w:color="auto" w:fill="FFFFFF"/>
          <w:lang w:eastAsia="zh-CN"/>
        </w:rPr>
        <w:t>血液透析设备、血液透析过滤机、水处理器</w:t>
      </w:r>
      <w:r>
        <w:rPr>
          <w:rFonts w:hint="default" w:ascii="Times New Roman" w:hAnsi="Times New Roman" w:eastAsia="方正仿宋_GBK" w:cs="Times New Roman"/>
          <w:sz w:val="32"/>
          <w:szCs w:val="32"/>
          <w:shd w:val="clear" w:color="auto" w:fill="FFFFFF"/>
        </w:rPr>
        <w:t>。</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lang w:val="en-US" w:eastAsia="zh-CN"/>
        </w:rPr>
        <w:t>五、</w:t>
      </w:r>
      <w:r>
        <w:rPr>
          <w:rStyle w:val="11"/>
          <w:rFonts w:hint="eastAsia" w:ascii="方正黑体_GBK" w:hAnsi="方正黑体_GBK" w:eastAsia="方正黑体_GBK" w:cs="方正黑体_GBK"/>
          <w:b w:val="0"/>
          <w:bCs/>
          <w:sz w:val="32"/>
          <w:szCs w:val="32"/>
          <w:shd w:val="clear" w:color="auto" w:fill="FFFFFF"/>
        </w:rPr>
        <w:t>预算绩效管理情况说明</w:t>
      </w:r>
    </w:p>
    <w:p>
      <w:pPr>
        <w:pStyle w:val="14"/>
        <w:keepNext w:val="0"/>
        <w:keepLines w:val="0"/>
        <w:pageBreakBefore w:val="0"/>
        <w:kinsoku/>
        <w:wordWrap/>
        <w:overflowPunct/>
        <w:topLinePunct w:val="0"/>
        <w:autoSpaceDE w:val="0"/>
        <w:autoSpaceDN/>
        <w:bidi w:val="0"/>
        <w:adjustRightInd/>
        <w:spacing w:beforeAutospacing="0" w:afterAutospacing="0" w:line="560" w:lineRule="exact"/>
        <w:ind w:firstLine="640" w:firstLineChars="200"/>
        <w:jc w:val="both"/>
        <w:rPr>
          <w:rFonts w:ascii="楷体" w:hAnsi="楷体" w:eastAsia="楷体" w:cs="楷体"/>
          <w:b/>
          <w:bCs/>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方正仿宋_GBK" w:hAnsi="方正仿宋_GBK" w:eastAsia="方正仿宋_GBK" w:cs="方正仿宋_GBK"/>
          <w:sz w:val="32"/>
          <w:szCs w:val="32"/>
          <w:shd w:val="clear" w:color="auto" w:fill="FFFFFF"/>
          <w:lang w:val="en-US" w:eastAsia="zh-CN"/>
        </w:rPr>
        <w:t xml:space="preserve"> </w:t>
      </w: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tbl>
      <w:tblPr>
        <w:tblStyle w:val="12"/>
        <w:tblpPr w:leftFromText="180" w:rightFromText="180" w:vertAnchor="text" w:horzAnchor="page" w:tblpX="1843" w:tblpY="299"/>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0" w:firstLineChars="400"/>
              <w:jc w:val="both"/>
              <w:textAlignment w:val="cente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b w:val="0"/>
          <w:bCs w:val="0"/>
          <w:color w:val="auto"/>
          <w:sz w:val="32"/>
          <w:szCs w:val="32"/>
          <w:shd w:val="clear" w:color="auto" w:fill="FFFFFF"/>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4"/>
        <w:keepNext w:val="0"/>
        <w:keepLines w:val="0"/>
        <w:pageBreakBefore w:val="0"/>
        <w:widowControl w:val="0"/>
        <w:kinsoku/>
        <w:wordWrap/>
        <w:overflowPunct/>
        <w:topLinePunct w:val="0"/>
        <w:autoSpaceDE w:val="0"/>
        <w:autoSpaceDN/>
        <w:bidi w:val="0"/>
        <w:adjustRightInd/>
        <w:spacing w:beforeAutospacing="0" w:afterAutospacing="0" w:line="560" w:lineRule="exact"/>
        <w:ind w:left="0" w:leftChars="0" w:firstLine="640" w:firstLineChars="200"/>
        <w:jc w:val="both"/>
        <w:textAlignment w:val="auto"/>
        <w:outlineLvl w:val="9"/>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 xml:space="preserve"> 六、专业名词解释</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Fonts w:ascii="方正仿宋_GBK" w:hAnsi="方正仿宋_GBK" w:eastAsia="方正仿宋_GBK" w:cs="方正仿宋_GBK"/>
          <w:b/>
          <w:bCs/>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（一）财政拨款收入：</w:t>
      </w:r>
      <w:r>
        <w:rPr>
          <w:rFonts w:ascii="方正仿宋_GBK" w:hAnsi="方正仿宋_GBK" w:eastAsia="方正仿宋_GBK" w:cs="方正仿宋_GBK"/>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（二）事业收入：</w:t>
      </w:r>
      <w:r>
        <w:rPr>
          <w:rFonts w:ascii="方正仿宋_GBK" w:hAnsi="方正仿宋_GBK" w:eastAsia="方正仿宋_GBK" w:cs="方正仿宋_GBK"/>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（三）经营收入：</w:t>
      </w:r>
      <w:r>
        <w:rPr>
          <w:rFonts w:ascii="方正仿宋_GBK" w:hAnsi="方正仿宋_GBK" w:eastAsia="方正仿宋_GBK" w:cs="方正仿宋_GBK"/>
          <w:sz w:val="32"/>
          <w:szCs w:val="32"/>
          <w:shd w:val="clear" w:color="auto" w:fill="FFFFFF"/>
        </w:rPr>
        <w:t>指事业单位在专业业务活动及其辅助活动之外开展非独立核算经营活动取得的现金流入。</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（四）其他收入：</w:t>
      </w:r>
      <w:r>
        <w:rPr>
          <w:rFonts w:ascii="方正仿宋_GBK" w:hAnsi="方正仿宋_GBK" w:eastAsia="方正仿宋_GBK" w:cs="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（五）使用非财政拨款结余：</w:t>
      </w:r>
      <w:r>
        <w:rPr>
          <w:rFonts w:ascii="方正仿宋_GBK" w:hAnsi="方正仿宋_GBK" w:eastAsia="方正仿宋_GBK" w:cs="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（六）年初结转和结余：</w:t>
      </w:r>
      <w:r>
        <w:rPr>
          <w:rFonts w:ascii="方正仿宋_GBK" w:hAnsi="方正仿宋_GBK" w:eastAsia="方正仿宋_GBK" w:cs="方正仿宋_GBK"/>
          <w:sz w:val="32"/>
          <w:szCs w:val="32"/>
          <w:shd w:val="clear" w:color="auto" w:fill="FFFFFF"/>
        </w:rPr>
        <w:t>指单位上年结转本年使用的基本支出结转、项目支出结转和结余、经营结余。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（七）结余分配：</w:t>
      </w:r>
      <w:r>
        <w:rPr>
          <w:rFonts w:ascii="方正仿宋_GBK" w:hAnsi="方正仿宋_GBK" w:eastAsia="方正仿宋_GBK" w:cs="方正仿宋_GBK"/>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（八）年末结转和结余：</w:t>
      </w:r>
      <w:r>
        <w:rPr>
          <w:rFonts w:ascii="方正仿宋_GBK" w:hAnsi="方正仿宋_GBK" w:eastAsia="方正仿宋_GBK" w:cs="方正仿宋_GBK"/>
          <w:sz w:val="32"/>
          <w:szCs w:val="32"/>
          <w:shd w:val="clear" w:color="auto" w:fill="FFFFFF"/>
        </w:rPr>
        <w:t>指单位结转下年的基本支出结转、项目支出结转和结余、经营结余。</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 （九）基本支出：</w:t>
      </w:r>
      <w:r>
        <w:rPr>
          <w:rFonts w:ascii="方正仿宋_GBK" w:hAnsi="方正仿宋_GBK" w:eastAsia="方正仿宋_GBK" w:cs="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（十）项目支出：</w:t>
      </w:r>
      <w:r>
        <w:rPr>
          <w:rFonts w:ascii="方正仿宋_GBK" w:hAnsi="方正仿宋_GBK" w:eastAsia="方正仿宋_GBK" w:cs="方正仿宋_GBK"/>
          <w:sz w:val="32"/>
          <w:szCs w:val="32"/>
          <w:shd w:val="clear" w:color="auto" w:fill="FFFFFF"/>
        </w:rPr>
        <w:t>指在基本支出之外为完成特定行政任务和事业发展目标所发生的支出。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（十一）经营支出：</w:t>
      </w:r>
      <w:r>
        <w:rPr>
          <w:rFonts w:ascii="方正仿宋_GBK" w:hAnsi="方正仿宋_GBK" w:eastAsia="方正仿宋_GBK" w:cs="方正仿宋_GBK"/>
          <w:sz w:val="32"/>
          <w:szCs w:val="32"/>
          <w:shd w:val="clear" w:color="auto" w:fill="FFFFFF"/>
        </w:rPr>
        <w:t>指事业单位在专业业务活动及其辅助活动之外开展非独立核算经营活动发生的支出。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（十二）“三公”经费：</w:t>
      </w:r>
      <w:r>
        <w:rPr>
          <w:rFonts w:ascii="方正仿宋_GBK" w:hAnsi="方正仿宋_GBK" w:eastAsia="方正仿宋_GBK" w:cs="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（十三）机关运行经费：</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Style w:val="11"/>
          <w:rFonts w:hint="default" w:ascii="Times New Roman" w:hAnsi="Times New Roman" w:eastAsia="方正楷体_GBK" w:cs="Times New Roman"/>
          <w:b w:val="0"/>
          <w:bCs/>
          <w:sz w:val="32"/>
          <w:szCs w:val="32"/>
          <w:shd w:val="clear" w:color="auto" w:fill="FFFFFF"/>
        </w:rPr>
        <w:t>（十五）商品和服务支出（支出经济分类科目类级）</w:t>
      </w:r>
      <w:r>
        <w:rPr>
          <w:rFonts w:hint="default" w:ascii="Times New Roman" w:hAnsi="Times New Roman" w:eastAsia="方正楷体_GBK" w:cs="Times New Roman"/>
          <w:b w:val="0"/>
          <w:bCs/>
          <w:sz w:val="32"/>
          <w:szCs w:val="32"/>
          <w:shd w:val="clear" w:color="auto" w:fill="FFFFFF"/>
        </w:rPr>
        <w:t>：</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rPr>
          <w:rFonts w:hint="default" w:ascii="方正仿宋_GBK" w:hAnsi="方正仿宋_GBK" w:eastAsia="方正仿宋_GBK" w:cs="方正仿宋_GBK"/>
          <w:sz w:val="32"/>
          <w:szCs w:val="32"/>
        </w:rPr>
      </w:pPr>
      <w:r>
        <w:rPr>
          <w:rStyle w:val="11"/>
          <w:rFonts w:hint="default" w:ascii="Times New Roman" w:hAnsi="Times New Roman" w:eastAsia="方正楷体_GBK" w:cs="Times New Roman"/>
          <w:b w:val="0"/>
          <w:bCs/>
          <w:sz w:val="32"/>
          <w:szCs w:val="32"/>
          <w:shd w:val="clear" w:color="auto" w:fill="FFFFFF"/>
        </w:rPr>
        <w:t> （十六）对个人和家庭的补助（支出经济分类科目类级）</w:t>
      </w:r>
      <w:r>
        <w:rPr>
          <w:rFonts w:hint="default" w:ascii="Times New Roman" w:hAnsi="Times New Roman" w:eastAsia="方正楷体_GBK" w:cs="Times New Roman"/>
          <w:b w:val="0"/>
          <w:bCs/>
          <w:sz w:val="32"/>
          <w:szCs w:val="32"/>
          <w:shd w:val="clear" w:color="auto" w:fill="FFFFFF"/>
        </w:rPr>
        <w:t>：</w:t>
      </w:r>
      <w:r>
        <w:rPr>
          <w:rFonts w:ascii="方正仿宋_GBK" w:hAnsi="方正仿宋_GBK" w:eastAsia="方正仿宋_GBK" w:cs="方正仿宋_GBK"/>
          <w:sz w:val="32"/>
          <w:szCs w:val="32"/>
          <w:shd w:val="clear" w:color="auto" w:fill="FFFFFF"/>
        </w:rPr>
        <w:t>反映用于对个人和家庭的补助支出。</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rPr>
          <w:rFonts w:hint="default" w:ascii="方正仿宋_GBK" w:hAnsi="方正仿宋_GBK" w:eastAsia="方正仿宋_GBK" w:cs="方正仿宋_GBK"/>
          <w:sz w:val="32"/>
          <w:szCs w:val="32"/>
        </w:rPr>
      </w:pPr>
      <w:r>
        <w:rPr>
          <w:rStyle w:val="11"/>
          <w:rFonts w:ascii="方正仿宋_GBK" w:hAnsi="方正仿宋_GBK" w:eastAsia="方正仿宋_GBK" w:cs="方正仿宋_GBK"/>
          <w:sz w:val="32"/>
          <w:szCs w:val="32"/>
          <w:shd w:val="clear" w:color="auto" w:fill="FFFFFF"/>
        </w:rPr>
        <w:t> </w:t>
      </w:r>
      <w:r>
        <w:rPr>
          <w:rStyle w:val="11"/>
          <w:rFonts w:hint="default" w:ascii="Times New Roman" w:hAnsi="Times New Roman" w:eastAsia="方正楷体_GBK" w:cs="Times New Roman"/>
          <w:b w:val="0"/>
          <w:bCs/>
          <w:sz w:val="32"/>
          <w:szCs w:val="32"/>
          <w:shd w:val="clear" w:color="auto" w:fill="FFFFFF"/>
        </w:rPr>
        <w:t>（十七）其他资本性支出（支出经济分类科目类级）：</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七、决算公开联系方式及信息反馈渠道</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rPr>
          <w:rStyle w:val="11"/>
          <w:rFonts w:hint="default" w:ascii="Times New Roman" w:hAnsi="Times New Roman" w:eastAsia="方正仿宋_GBK" w:cs="Times New Roman"/>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cs="Times New Roman"/>
          <w:sz w:val="32"/>
          <w:szCs w:val="32"/>
          <w:shd w:val="clear" w:color="auto" w:fill="FFFFFF"/>
          <w:lang w:eastAsia="zh-CN"/>
        </w:rPr>
        <w:t>曾丹丹</w:t>
      </w:r>
      <w:r>
        <w:rPr>
          <w:rFonts w:hint="eastAsia"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sz w:val="32"/>
          <w:szCs w:val="32"/>
          <w:shd w:val="clear" w:color="auto" w:fill="FFFFFF"/>
          <w:lang w:val="en-US" w:eastAsia="zh-CN"/>
        </w:rPr>
        <w:t>023-76623020。</w:t>
      </w: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90"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收入支出决算总表</w:t>
            </w:r>
            <w:bookmarkStart w:id="0" w:name="_GoBack"/>
            <w:bookmarkEnd w:id="0"/>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textAlignment w:val="bottom"/>
              <w:outlineLvl w:val="9"/>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sz w:val="20"/>
                <w:u w:color="auto"/>
              </w:rPr>
              <w:t>重庆市秀山土家族苗族自治县龙池镇中心卫生院</w:t>
            </w:r>
          </w:p>
        </w:tc>
        <w:tc>
          <w:tcPr>
            <w:tcW w:w="202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780.91</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166"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776.16</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67.59</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81.18</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1,485.90</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189"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outlineLvl w:val="9"/>
              <w:rPr>
                <w:rFonts w:hint="default" w:ascii="Times New Roman" w:hAnsi="Times New Roman" w:eastAsia="方正仿宋_GBK" w:cs="Times New Roman"/>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outlineLvl w:val="9"/>
              <w:rPr>
                <w:rFonts w:hint="default" w:ascii="Times New Roman" w:hAnsi="Times New Roman" w:eastAsia="方正仿宋_GBK"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outlineLvl w:val="9"/>
              <w:rPr>
                <w:rFonts w:hint="default" w:ascii="Times New Roman" w:hAnsi="Times New Roman" w:eastAsia="方正仿宋_GBK"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1,624.66</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1,592.20</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16.17</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48.63</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1,640.83</w:t>
            </w:r>
            <w:r>
              <w:rPr>
                <w:rFonts w:hint="default" w:ascii="Times New Roman" w:hAnsi="Times New Roman" w:eastAsia="方正仿宋_GBK" w:cs="Times New Roman"/>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00" w:lineRule="exact"/>
              <w:jc w:val="righ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1,640.83</w:t>
            </w:r>
            <w:r>
              <w:rPr>
                <w:rFonts w:hint="default" w:ascii="Times New Roman" w:hAnsi="Times New Roman" w:eastAsia="方正仿宋_GBK" w:cs="Times New Roman"/>
                <w:color w:val="000000"/>
                <w:sz w:val="20"/>
                <w:u w:color="auto"/>
              </w:rPr>
              <w:t xml:space="preserve"> </w:t>
            </w:r>
          </w:p>
        </w:tc>
      </w:tr>
    </w:tbl>
    <w:p>
      <w:pPr>
        <w:keepNext w:val="0"/>
        <w:keepLines w:val="0"/>
        <w:pageBreakBefore w:val="0"/>
        <w:widowControl/>
        <w:kinsoku/>
        <w:wordWrap/>
        <w:overflowPunct/>
        <w:topLinePunct w:val="0"/>
        <w:autoSpaceDE/>
        <w:autoSpaceDN/>
        <w:bidi w:val="0"/>
        <w:adjustRightInd/>
        <w:snapToGrid/>
        <w:spacing w:line="200" w:lineRule="exact"/>
        <w:outlineLvl w:val="9"/>
        <w:rPr>
          <w:rFonts w:hint="default" w:cs="宋体"/>
          <w:sz w:val="20"/>
          <w:szCs w:val="20"/>
        </w:rPr>
      </w:pPr>
      <w:r>
        <w:rPr>
          <w:rFonts w:hint="default" w:ascii="Times New Roman" w:hAnsi="Times New Roman" w:eastAsia="方正仿宋_GBK" w:cs="Times New Roman"/>
          <w:sz w:val="20"/>
          <w:szCs w:val="20"/>
        </w:rPr>
        <w:t>备注：1.本表反映单位本年度的总收支和年末结转结余情况。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p>
    <w:tbl>
      <w:tblPr>
        <w:tblStyle w:val="12"/>
        <w:tblpPr w:leftFromText="180" w:rightFromText="180" w:vertAnchor="text" w:horzAnchor="page" w:tblpX="982" w:tblpY="-237"/>
        <w:tblOverlap w:val="never"/>
        <w:tblW w:w="15378" w:type="dxa"/>
        <w:tblInd w:w="0" w:type="dxa"/>
        <w:tblLayout w:type="fixed"/>
        <w:tblCellMar>
          <w:top w:w="0" w:type="dxa"/>
          <w:left w:w="0" w:type="dxa"/>
          <w:bottom w:w="0" w:type="dxa"/>
          <w:right w:w="0" w:type="dxa"/>
        </w:tblCellMar>
      </w:tblPr>
      <w:tblGrid>
        <w:gridCol w:w="1702"/>
        <w:gridCol w:w="3317"/>
        <w:gridCol w:w="1087"/>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534"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5019"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sz w:val="20"/>
                <w:u w:color="auto"/>
              </w:rPr>
              <w:t>重庆市秀山土家族苗族自治县龙池镇中心卫生院</w:t>
            </w:r>
          </w:p>
        </w:tc>
        <w:tc>
          <w:tcPr>
            <w:tcW w:w="108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公开02表</w:t>
            </w:r>
          </w:p>
        </w:tc>
      </w:tr>
      <w:tr>
        <w:tblPrEx>
          <w:tblLayout w:type="fixed"/>
          <w:tblCellMar>
            <w:top w:w="0" w:type="dxa"/>
            <w:left w:w="0" w:type="dxa"/>
            <w:bottom w:w="0" w:type="dxa"/>
            <w:right w:w="0" w:type="dxa"/>
          </w:tblCellMar>
        </w:tblPrEx>
        <w:trPr>
          <w:trHeight w:val="289" w:hRule="atLeast"/>
        </w:trPr>
        <w:tc>
          <w:tcPr>
            <w:tcW w:w="5019"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08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rPr>
                <w:rFonts w:hint="default" w:ascii="Times New Roman" w:hAnsi="Times New Roman" w:eastAsia="方正仿宋_GBK"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56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23" w:hRule="atLeast"/>
        </w:trPr>
        <w:tc>
          <w:tcPr>
            <w:tcW w:w="5019"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jc w:val="center"/>
              <w:textAlignment w:val="bottom"/>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jc w:val="center"/>
              <w:textAlignment w:val="bottom"/>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其他收入</w:t>
            </w:r>
          </w:p>
        </w:tc>
      </w:tr>
      <w:tr>
        <w:tblPrEx>
          <w:tblLayout w:type="fixed"/>
          <w:tblCellMar>
            <w:top w:w="0" w:type="dxa"/>
            <w:left w:w="0" w:type="dxa"/>
            <w:bottom w:w="0" w:type="dxa"/>
            <w:right w:w="0" w:type="dxa"/>
          </w:tblCellMar>
        </w:tblPrEx>
        <w:trPr>
          <w:trHeight w:val="312"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功能分类科目编码</w:t>
            </w:r>
          </w:p>
        </w:tc>
        <w:tc>
          <w:tcPr>
            <w:tcW w:w="3317"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项目（按“项”级功能分类科目）</w:t>
            </w:r>
          </w:p>
        </w:tc>
        <w:tc>
          <w:tcPr>
            <w:tcW w:w="10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12"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331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12"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331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12"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3317"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23" w:hRule="atLeast"/>
        </w:trPr>
        <w:tc>
          <w:tcPr>
            <w:tcW w:w="501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10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1,624.66</w:t>
            </w:r>
            <w:r>
              <w:rPr>
                <w:rFonts w:hint="default" w:ascii="Times New Roman" w:hAnsi="Times New Roman" w:eastAsia="方正仿宋_GBK"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780.91</w:t>
            </w:r>
            <w:r>
              <w:rPr>
                <w:rFonts w:hint="default" w:ascii="Times New Roman" w:hAnsi="Times New Roman" w:eastAsia="方正仿宋_GBK"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776.16</w:t>
            </w:r>
            <w:r>
              <w:rPr>
                <w:rFonts w:hint="default" w:ascii="Times New Roman" w:hAnsi="Times New Roman" w:eastAsia="方正仿宋_GBK" w:cs="Times New Roman"/>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67.59</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社会保障和就业支出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20805</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行政事业单位养老支出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2080502</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事业单位离退休</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2080505</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机关事业单位基本养老保险缴费支出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2080506</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机关事业单位职业年金缴费支出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2080599</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其他行政事业单位养老支出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1,518.36</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674.61</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776.16</w:t>
            </w:r>
            <w:r>
              <w:rPr>
                <w:rFonts w:hint="default" w:ascii="Times New Roman" w:hAnsi="Times New Roman" w:eastAsia="方正仿宋_GBK"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67.59</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21001</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卫生健康管理事务</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2100199</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其他卫生健康管理事务支出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21003</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基层医疗卫生机构</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1,328.07</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484.32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776.16</w:t>
            </w:r>
            <w:r>
              <w:rPr>
                <w:rFonts w:hint="default" w:ascii="Times New Roman" w:hAnsi="Times New Roman" w:eastAsia="方正仿宋_GBK"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67.59</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2100302</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乡镇卫生院</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1,328.07</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484.32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776.16</w:t>
            </w: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67.59</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21004</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公共卫生</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168.08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168.08</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2100408</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基本公共卫生服务</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2100410</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突发公共卫生事件应急处理</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2100499</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其他公共卫生支出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21011</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行政事业单位医疗</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2101102</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事业单位医疗</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住房保障支出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22102</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住房改革支出</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3"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2210201</w:t>
            </w:r>
          </w:p>
        </w:tc>
        <w:tc>
          <w:tcPr>
            <w:tcW w:w="33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住房公积金</w:t>
            </w:r>
          </w:p>
        </w:tc>
        <w:tc>
          <w:tcPr>
            <w:tcW w:w="10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line="300" w:lineRule="exact"/>
        <w:ind w:left="600" w:hanging="600" w:hangingChars="300"/>
        <w:rPr>
          <w:rFonts w:cs="宋体"/>
          <w:sz w:val="20"/>
          <w:szCs w:val="20"/>
        </w:rPr>
      </w:pPr>
      <w:r>
        <w:rPr>
          <w:rFonts w:hint="default" w:ascii="Times New Roman" w:hAnsi="Times New Roman" w:eastAsia="方正仿宋_GBK" w:cs="Times New Roman"/>
          <w:sz w:val="20"/>
          <w:szCs w:val="20"/>
        </w:rPr>
        <w:t>备注：1.本表反映单位本年度取得的各项收入情况。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2.本套报表金额单位转换时可能存在尾数误差。</w:t>
      </w:r>
      <w:r>
        <w:rPr>
          <w:rFonts w:hint="default" w:ascii="Times New Roman" w:hAnsi="Times New Roman" w:eastAsia="方正仿宋_GBK" w:cs="Times New Roman"/>
          <w:sz w:val="20"/>
          <w:szCs w:val="20"/>
        </w:rPr>
        <w:br w:type="textWrapping"/>
      </w:r>
      <w:r>
        <w:rPr>
          <w:rFonts w:cs="宋体"/>
          <w:sz w:val="20"/>
          <w:szCs w:val="20"/>
        </w:rPr>
        <w:br w:type="textWrapping"/>
      </w:r>
    </w:p>
    <w:p>
      <w:pPr>
        <w:rPr>
          <w:rFonts w:cs="宋体"/>
          <w:sz w:val="20"/>
          <w:szCs w:val="20"/>
        </w:rPr>
      </w:pP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 xml:space="preserve">重庆市秀山土家族苗族自治县龙池镇中心卫生院 </w:t>
            </w: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jc w:val="center"/>
              <w:textAlignment w:val="bottom"/>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1,592.20</w:t>
            </w:r>
            <w:r>
              <w:rPr>
                <w:rFonts w:hint="default" w:ascii="Times New Roman" w:hAnsi="Times New Roman" w:eastAsia="方正仿宋_GBK"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1,571.52</w:t>
            </w:r>
            <w:r>
              <w:rPr>
                <w:rFonts w:hint="default" w:ascii="Times New Roman" w:hAnsi="Times New Roman" w:eastAsia="方正仿宋_GBK"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20.68</w:t>
            </w:r>
            <w:r>
              <w:rPr>
                <w:rFonts w:hint="default" w:ascii="Times New Roman" w:hAnsi="Times New Roman" w:eastAsia="方正仿宋_GBK"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1,485.90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1,465.22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20.68</w:t>
            </w:r>
            <w:r>
              <w:rPr>
                <w:rFonts w:hint="default" w:ascii="Times New Roman" w:hAnsi="Times New Roman" w:eastAsia="方正仿宋_GBK" w:cs="Times New Roman"/>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1,295.60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1,295.60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1,295.60</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1,295.60</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168.08</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147.40</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20.68</w:t>
            </w:r>
            <w:r>
              <w:rPr>
                <w:rFonts w:hint="default" w:ascii="Times New Roman" w:hAnsi="Times New Roman" w:eastAsia="方正仿宋_GBK" w:cs="Times New Roman"/>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400" w:lineRule="exac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400" w:lineRule="exact"/>
              <w:jc w:val="right"/>
              <w:textAlignment w:val="cente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line="400" w:lineRule="exact"/>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备注：1.本表反映单位本年度各项支出情况。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br w:type="textWrapping"/>
      </w:r>
    </w:p>
    <w:p>
      <w:pPr>
        <w:rPr>
          <w:rFonts w:hint="default" w:cs="宋体"/>
          <w:sz w:val="21"/>
          <w:szCs w:val="21"/>
        </w:rPr>
      </w:pPr>
      <w:r>
        <w:rPr>
          <w:rFonts w:hint="default" w:ascii="Times New Roman" w:hAnsi="Times New Roman" w:eastAsia="方正仿宋_GBK" w:cs="Times New Roman"/>
          <w:sz w:val="21"/>
          <w:szCs w:val="21"/>
        </w:rPr>
        <w:br w:type="page"/>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780.91</w:t>
            </w: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81.18</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81.18</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630.75</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630.75</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25.12</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25.12</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780.91</w:t>
            </w: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737.05</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737.05</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43.86</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43.86</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780.91</w:t>
            </w:r>
            <w:r>
              <w:rPr>
                <w:rFonts w:hint="default" w:ascii="Times New Roman" w:hAnsi="Times New Roman" w:eastAsia="方正仿宋_GBK"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780.91</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780.91</w:t>
            </w:r>
            <w:r>
              <w:rPr>
                <w:rFonts w:hint="default" w:ascii="Times New Roman" w:hAnsi="Times New Roman" w:eastAsia="方正仿宋_GBK"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bl>
    <w:p>
      <w:pPr>
        <w:spacing w:line="240" w:lineRule="exact"/>
        <w:rPr>
          <w:rFonts w:hint="default" w:cs="宋体"/>
          <w:sz w:val="20"/>
          <w:szCs w:val="20"/>
        </w:rPr>
      </w:pPr>
      <w:r>
        <w:rPr>
          <w:rFonts w:hint="default" w:ascii="Times New Roman" w:hAnsi="Times New Roman" w:eastAsia="方正仿宋_GBK" w:cs="Times New Roman"/>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br w:type="textWrapping"/>
      </w: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400" w:lineRule="exact"/>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outlineLvl w:val="9"/>
              <w:rPr>
                <w:rFonts w:hint="default" w:ascii="Times New Roman" w:hAnsi="Times New Roman" w:eastAsia="方正仿宋_GBK"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line="30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outlineLvl w:val="9"/>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737.05</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716.37</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bCs/>
                <w:color w:val="000000"/>
                <w:sz w:val="20"/>
                <w:szCs w:val="20"/>
              </w:rPr>
              <w:t>20.68</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81.18</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4.57</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33.63</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16.76</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26.22</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630.75</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610.07</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20.68</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1.20</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1.20</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440.46</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440.46</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440.46</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440.46</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168.08</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147.40</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20.68</w:t>
            </w:r>
            <w:r>
              <w:rPr>
                <w:rFonts w:hint="default" w:ascii="Times New Roman" w:hAnsi="Times New Roman" w:eastAsia="方正仿宋_GBK"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146.47</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20.68</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0.93</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21.02</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21.02</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25.12</w:t>
            </w:r>
            <w:r>
              <w:rPr>
                <w:rFonts w:hint="default" w:ascii="Times New Roman" w:hAnsi="Times New Roman" w:eastAsia="方正仿宋_GBK"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line="30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szCs w:val="20"/>
              </w:rPr>
              <w:t>25.12</w:t>
            </w:r>
            <w:r>
              <w:rPr>
                <w:rFonts w:hint="default" w:ascii="Times New Roman" w:hAnsi="Times New Roman" w:eastAsia="方正仿宋_GBK"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line="300" w:lineRule="exact"/>
              <w:jc w:val="right"/>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line="300" w:lineRule="exact"/>
        <w:ind w:firstLine="600" w:firstLineChars="300"/>
        <w:outlineLvl w:val="9"/>
        <w:rPr>
          <w:rFonts w:hint="default" w:cs="宋体"/>
          <w:sz w:val="21"/>
          <w:szCs w:val="21"/>
        </w:rPr>
      </w:pPr>
      <w:r>
        <w:rPr>
          <w:rFonts w:hint="default" w:ascii="Times New Roman" w:hAnsi="Times New Roman" w:eastAsia="方正仿宋_GBK" w:cs="Times New Roman"/>
          <w:sz w:val="20"/>
          <w:szCs w:val="20"/>
        </w:rPr>
        <w:t>备注：1.本表反映单位本年度一般公共预算财政拨款支出情况。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eastAsia="方正仿宋_GBK" w:cs="Times New Roman"/>
                <w:b/>
                <w:color w:val="000000"/>
                <w:sz w:val="32"/>
                <w:szCs w:val="32"/>
              </w:rPr>
            </w:pPr>
            <w:r>
              <w:rPr>
                <w:rFonts w:hint="default" w:ascii="Times New Roman" w:hAnsi="Times New Roman" w:eastAsia="方正仿宋_GBK" w:cs="Times New Roman"/>
                <w:b w:val="0"/>
                <w:bCs/>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eastAsia="方正仿宋_GBK" w:cs="Times New Roman"/>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627.73</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48.42</w:t>
            </w: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205.00</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51.64</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266.72</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33.63</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16.76</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21.02</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7.85</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25.12</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40.22</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9.43</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27.60</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48.42</w:t>
            </w: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3.19</w:t>
            </w: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eastAsia="方正仿宋_GBK"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eastAsia="方正仿宋_GBK"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eastAsia="方正仿宋_GBK"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667.95</w:t>
            </w:r>
            <w:r>
              <w:rPr>
                <w:rFonts w:hint="default" w:ascii="Times New Roman" w:hAnsi="Times New Roman" w:eastAsia="方正仿宋_GBK" w:cs="Times New Roman"/>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eastAsia="方正仿宋_GBK" w:cs="Times New Roman"/>
                <w:b/>
                <w:color w:val="000000"/>
                <w:sz w:val="18"/>
                <w:szCs w:val="18"/>
              </w:rPr>
            </w:pPr>
            <w:r>
              <w:rPr>
                <w:rFonts w:hint="default" w:ascii="Times New Roman" w:hAnsi="Times New Roman" w:eastAsia="方正仿宋_GBK" w:cs="Times New Roman"/>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eastAsia="方正仿宋_GBK" w:cs="Times New Roman"/>
                <w:color w:val="000000"/>
                <w:sz w:val="18"/>
                <w:szCs w:val="18"/>
              </w:rPr>
            </w:pPr>
            <w:r>
              <w:rPr>
                <w:rFonts w:hint="default" w:ascii="Times New Roman" w:hAnsi="Times New Roman" w:eastAsia="方正仿宋_GBK" w:cs="Times New Roman"/>
                <w:color w:val="000000"/>
                <w:sz w:val="18"/>
                <w:szCs w:val="18"/>
              </w:rPr>
              <w:t>48.42</w:t>
            </w:r>
            <w:r>
              <w:rPr>
                <w:rFonts w:hint="default" w:ascii="Times New Roman" w:hAnsi="Times New Roman" w:eastAsia="方正仿宋_GBK" w:cs="Times New Roman"/>
                <w:color w:val="000000"/>
                <w:sz w:val="18"/>
                <w:u w:color="auto"/>
              </w:rPr>
              <w:t xml:space="preserve"> </w:t>
            </w:r>
          </w:p>
        </w:tc>
      </w:tr>
    </w:tbl>
    <w:p>
      <w:pPr>
        <w:spacing w:line="280" w:lineRule="exact"/>
        <w:rPr>
          <w:rFonts w:hint="default" w:ascii="Times New Roman" w:hAnsi="Times New Roman" w:eastAsia="方正仿宋_GBK" w:cs="Times New Roman"/>
          <w:sz w:val="20"/>
          <w:szCs w:val="20"/>
        </w:rPr>
      </w:pPr>
      <w:r>
        <w:rPr>
          <w:rFonts w:hint="default" w:ascii="Times New Roman" w:hAnsi="Times New Roman" w:eastAsia="方正仿宋_GBK" w:cs="Times New Roman"/>
          <w:sz w:val="20"/>
          <w:szCs w:val="20"/>
        </w:rPr>
        <w:t>备注：1.本表反映单位本年度一般公共预算财政拨款基本支出明细情况。</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hint="default" w:ascii="Times New Roman" w:hAnsi="Times New Roman" w:eastAsia="方正仿宋_GBK" w:cs="Times New Roman"/>
                <w:b w:val="0"/>
                <w:bCs/>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r>
    </w:tbl>
    <w:p>
      <w:pPr>
        <w:rPr>
          <w:rFonts w:hint="default" w:cs="宋体"/>
          <w:sz w:val="21"/>
          <w:szCs w:val="21"/>
        </w:rPr>
      </w:pPr>
      <w:r>
        <w:rPr>
          <w:rFonts w:hint="default" w:ascii="Times New Roman" w:hAnsi="Times New Roman" w:eastAsia="方正仿宋_GBK" w:cs="Times New Roman"/>
          <w:sz w:val="20"/>
          <w:szCs w:val="20"/>
        </w:rPr>
        <w:t>备注：本表反映单位本年度政府性基金预算财政拨款收入支出及结转和结余情况。本单位无政府性基金收支，故本表无数据。</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br w:type="textWrapping"/>
      </w: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hint="eastAsia" w:ascii="方正仿宋_GBK" w:hAnsi="方正仿宋_GBK" w:eastAsia="方正仿宋_GBK" w:cs="方正仿宋_GBK"/>
                <w:b w:val="0"/>
                <w:bCs/>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eastAsia="方正仿宋_GBK"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eastAsia="方正仿宋_GBK" w:cs="Times New Roman"/>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eastAsia="方正仿宋_GBK" w:cs="Times New Roman"/>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u w:color="auto"/>
              </w:rPr>
              <w:t xml:space="preserve"> </w:t>
            </w:r>
          </w:p>
        </w:tc>
      </w:tr>
    </w:tbl>
    <w:p>
      <w:pPr>
        <w:rPr>
          <w:rFonts w:hint="default" w:cs="宋体"/>
          <w:sz w:val="21"/>
          <w:szCs w:val="21"/>
        </w:rPr>
      </w:pPr>
      <w:r>
        <w:rPr>
          <w:rFonts w:hint="default" w:ascii="Times New Roman" w:hAnsi="Times New Roman" w:eastAsia="方正仿宋_GBK" w:cs="Times New Roman"/>
          <w:sz w:val="20"/>
          <w:szCs w:val="20"/>
        </w:rPr>
        <w:t>备注：本表反映单位本年度国有资本经营预算财政拨款支出情况。本单位无国有资本经营收支，故本表无数据。</w:t>
      </w:r>
      <w:r>
        <w:rPr>
          <w:rFonts w:hint="default" w:ascii="Times New Roman" w:hAnsi="Times New Roman" w:eastAsia="方正仿宋_GBK" w:cs="Times New Roman"/>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eastAsia="方正仿宋_GBK" w:cs="Times New Roman"/>
                <w:b w:val="0"/>
                <w:bCs/>
                <w:color w:val="000000"/>
                <w:sz w:val="32"/>
                <w:szCs w:val="32"/>
              </w:rPr>
            </w:pPr>
            <w:r>
              <w:rPr>
                <w:rFonts w:hint="default" w:ascii="Times New Roman" w:hAnsi="Times New Roman" w:eastAsia="方正仿宋_GBK" w:cs="Times New Roman"/>
                <w:b w:val="0"/>
                <w:bCs/>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sz w:val="20"/>
                <w:szCs w:val="20"/>
              </w:rPr>
              <w:t>公开单位</w:t>
            </w:r>
            <w:r>
              <w:rPr>
                <w:rFonts w:hint="default" w:ascii="Times New Roman" w:hAnsi="Times New Roman" w:eastAsia="方正仿宋_GBK" w:cs="Times New Roman"/>
                <w:color w:val="000000"/>
                <w:sz w:val="20"/>
                <w:szCs w:val="20"/>
              </w:rPr>
              <w:t xml:space="preserve">： </w:t>
            </w:r>
            <w:r>
              <w:rPr>
                <w:rFonts w:hint="default" w:ascii="Times New Roman" w:hAnsi="Times New Roman" w:eastAsia="方正仿宋_GBK" w:cs="Times New Roman"/>
                <w:color w:val="000000"/>
                <w:sz w:val="20"/>
                <w:u w:color="auto"/>
              </w:rPr>
              <w:t>重庆市秀山土家族苗族自治县龙池镇中心卫生院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center"/>
              <w:outlineLvl w:val="9"/>
              <w:rPr>
                <w:rFonts w:hint="default" w:ascii="Times New Roman" w:hAnsi="Times New Roman" w:eastAsia="方正仿宋_GBK" w:cs="Times New Roman"/>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outlineLvl w:val="9"/>
              <w:rPr>
                <w:rFonts w:hint="default" w:ascii="Times New Roman" w:hAnsi="Times New Roman" w:eastAsia="方正仿宋_GBK" w:cs="Times New Roman"/>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方正仿宋_GBK" w:cs="Times New Roman"/>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单位：</w:t>
            </w:r>
            <w:r>
              <w:rPr>
                <w:rFonts w:hint="default" w:ascii="Times New Roman" w:hAnsi="Times New Roman" w:eastAsia="方正仿宋_GBK" w:cs="Times New Roman"/>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b/>
                <w:color w:val="000000"/>
                <w:sz w:val="20"/>
                <w:szCs w:val="20"/>
              </w:rPr>
            </w:pPr>
            <w:r>
              <w:rPr>
                <w:rFonts w:hint="default" w:ascii="Times New Roman" w:hAnsi="Times New Roman" w:eastAsia="方正仿宋_GBK" w:cs="Times New Roman"/>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4</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134.45</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134.45</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134.45</w:t>
            </w: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方正仿宋_GBK" w:cs="Times New Roman"/>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outlineLvl w:val="9"/>
              <w:rPr>
                <w:rFonts w:hint="default" w:ascii="Times New Roman" w:hAnsi="Times New Roman" w:eastAsia="方正仿宋_GBK" w:cs="Times New Roman"/>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textAlignment w:val="bottom"/>
              <w:outlineLvl w:val="9"/>
              <w:rPr>
                <w:rFonts w:hint="default" w:ascii="Times New Roman" w:hAnsi="Times New Roman" w:eastAsia="方正仿宋_GBK" w:cs="Times New Roman"/>
                <w:color w:val="000000"/>
                <w:sz w:val="20"/>
                <w:szCs w:val="20"/>
              </w:rPr>
            </w:pPr>
            <w:r>
              <w:rPr>
                <w:rFonts w:hint="default" w:ascii="Times New Roman" w:hAnsi="Times New Roman" w:eastAsia="方正仿宋_GBK"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outlineLvl w:val="9"/>
              <w:rPr>
                <w:rFonts w:hint="default" w:ascii="Times New Roman" w:hAnsi="Times New Roman" w:eastAsia="方正仿宋_GBK" w:cs="Times New Roman"/>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wordWrap/>
              <w:overflowPunct/>
              <w:topLinePunct w:val="0"/>
              <w:autoSpaceDE/>
              <w:autoSpaceDN/>
              <w:bidi w:val="0"/>
              <w:adjustRightInd/>
              <w:snapToGrid/>
              <w:spacing w:line="240" w:lineRule="exact"/>
              <w:jc w:val="right"/>
              <w:outlineLvl w:val="9"/>
              <w:rPr>
                <w:rFonts w:hint="default" w:ascii="Times New Roman" w:hAnsi="Times New Roman" w:eastAsia="方正仿宋_GBK" w:cs="Times New Roman"/>
                <w:color w:val="000000"/>
                <w:sz w:val="20"/>
                <w:szCs w:val="20"/>
              </w:rPr>
            </w:pPr>
          </w:p>
        </w:tc>
      </w:tr>
    </w:tbl>
    <w:p>
      <w:pPr>
        <w:keepNext w:val="0"/>
        <w:keepLines w:val="0"/>
        <w:pageBreakBefore w:val="0"/>
        <w:widowControl/>
        <w:kinsoku/>
        <w:wordWrap/>
        <w:overflowPunct/>
        <w:topLinePunct w:val="0"/>
        <w:autoSpaceDE/>
        <w:autoSpaceDN/>
        <w:bidi w:val="0"/>
        <w:adjustRightInd/>
        <w:snapToGrid/>
        <w:spacing w:line="240" w:lineRule="exact"/>
        <w:outlineLvl w:val="9"/>
        <w:rPr>
          <w:rFonts w:cs="宋体"/>
          <w:sz w:val="21"/>
          <w:szCs w:val="21"/>
        </w:rPr>
      </w:pPr>
      <w:r>
        <w:rPr>
          <w:rFonts w:hint="default" w:ascii="Times New Roman" w:hAnsi="Times New Roman" w:eastAsia="方正仿宋_GBK" w:cs="Times New Roman"/>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eastAsia="方正仿宋_GBK" w:cs="Times New Roman"/>
          <w:sz w:val="20"/>
          <w:szCs w:val="20"/>
        </w:rPr>
        <w:br w:type="textWrapping"/>
      </w:r>
      <w:r>
        <w:rPr>
          <w:rFonts w:hint="default" w:ascii="Times New Roman" w:hAnsi="Times New Roman" w:eastAsia="方正仿宋_GBK" w:cs="Times New Roman"/>
          <w:sz w:val="20"/>
          <w:szCs w:val="20"/>
        </w:rPr>
        <w:t xml:space="preserve">      2.本套报表金额单位转换时可能存在尾数误差。</w:t>
      </w:r>
      <w:r>
        <w:rPr>
          <w:rFonts w:hint="default" w:ascii="Times New Roman" w:hAnsi="Times New Roman" w:eastAsia="方正仿宋_GBK" w:cs="Times New Roman"/>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2B254B"/>
    <w:rsid w:val="00550ABE"/>
    <w:rsid w:val="00770383"/>
    <w:rsid w:val="007819D4"/>
    <w:rsid w:val="007B419D"/>
    <w:rsid w:val="009B67B8"/>
    <w:rsid w:val="009D2B67"/>
    <w:rsid w:val="00B03CCD"/>
    <w:rsid w:val="00C20C3E"/>
    <w:rsid w:val="00F73F90"/>
    <w:rsid w:val="01474EBF"/>
    <w:rsid w:val="01F3521E"/>
    <w:rsid w:val="03B87EA0"/>
    <w:rsid w:val="03E3214F"/>
    <w:rsid w:val="044C50BA"/>
    <w:rsid w:val="04AB5C78"/>
    <w:rsid w:val="05BC6D49"/>
    <w:rsid w:val="06194FF1"/>
    <w:rsid w:val="06A2550B"/>
    <w:rsid w:val="06F80EE2"/>
    <w:rsid w:val="07001CCA"/>
    <w:rsid w:val="075678DB"/>
    <w:rsid w:val="079D7CC7"/>
    <w:rsid w:val="08051BCA"/>
    <w:rsid w:val="08597D49"/>
    <w:rsid w:val="086C12F4"/>
    <w:rsid w:val="08705944"/>
    <w:rsid w:val="08BA052C"/>
    <w:rsid w:val="08DB07BA"/>
    <w:rsid w:val="0969353F"/>
    <w:rsid w:val="098305D0"/>
    <w:rsid w:val="0A3317EA"/>
    <w:rsid w:val="0A5C4B69"/>
    <w:rsid w:val="0A86124A"/>
    <w:rsid w:val="0AB54CC0"/>
    <w:rsid w:val="0B471F28"/>
    <w:rsid w:val="0B9335CE"/>
    <w:rsid w:val="0BF220C7"/>
    <w:rsid w:val="0BF2311A"/>
    <w:rsid w:val="0BF94D27"/>
    <w:rsid w:val="0C5E5243"/>
    <w:rsid w:val="0C7927C4"/>
    <w:rsid w:val="0C9B098C"/>
    <w:rsid w:val="0D673E11"/>
    <w:rsid w:val="0DD4764C"/>
    <w:rsid w:val="0DDA54E4"/>
    <w:rsid w:val="0DFC35EF"/>
    <w:rsid w:val="0E3A5F83"/>
    <w:rsid w:val="0F836721"/>
    <w:rsid w:val="0FA25D96"/>
    <w:rsid w:val="107B59E5"/>
    <w:rsid w:val="10EC0126"/>
    <w:rsid w:val="10F2757F"/>
    <w:rsid w:val="10F70B9A"/>
    <w:rsid w:val="111445C7"/>
    <w:rsid w:val="114278C6"/>
    <w:rsid w:val="1158083A"/>
    <w:rsid w:val="115B317D"/>
    <w:rsid w:val="11643A4B"/>
    <w:rsid w:val="11ED0F98"/>
    <w:rsid w:val="11F03528"/>
    <w:rsid w:val="12C921C4"/>
    <w:rsid w:val="13871C70"/>
    <w:rsid w:val="13A71CB4"/>
    <w:rsid w:val="13AF1D43"/>
    <w:rsid w:val="13CE1647"/>
    <w:rsid w:val="13FD55AB"/>
    <w:rsid w:val="14200702"/>
    <w:rsid w:val="159E0809"/>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7167136"/>
    <w:rsid w:val="271B442C"/>
    <w:rsid w:val="27B23302"/>
    <w:rsid w:val="27B66778"/>
    <w:rsid w:val="27EE4023"/>
    <w:rsid w:val="28051326"/>
    <w:rsid w:val="288807C1"/>
    <w:rsid w:val="29310A5F"/>
    <w:rsid w:val="299940E8"/>
    <w:rsid w:val="29C37A35"/>
    <w:rsid w:val="2A076083"/>
    <w:rsid w:val="2A73162E"/>
    <w:rsid w:val="2AA73296"/>
    <w:rsid w:val="2B167953"/>
    <w:rsid w:val="2B200583"/>
    <w:rsid w:val="2B8209DE"/>
    <w:rsid w:val="2C636760"/>
    <w:rsid w:val="2C6762A3"/>
    <w:rsid w:val="2F0E0A91"/>
    <w:rsid w:val="2FCA4B37"/>
    <w:rsid w:val="2FE029D7"/>
    <w:rsid w:val="2FF06E00"/>
    <w:rsid w:val="30586FEC"/>
    <w:rsid w:val="315F0B22"/>
    <w:rsid w:val="31D84415"/>
    <w:rsid w:val="32285F6F"/>
    <w:rsid w:val="32770556"/>
    <w:rsid w:val="329C0913"/>
    <w:rsid w:val="32AA0460"/>
    <w:rsid w:val="32BC6D3E"/>
    <w:rsid w:val="3337290D"/>
    <w:rsid w:val="33E31118"/>
    <w:rsid w:val="33EF7674"/>
    <w:rsid w:val="342D7BC6"/>
    <w:rsid w:val="352930DB"/>
    <w:rsid w:val="35573069"/>
    <w:rsid w:val="355F6038"/>
    <w:rsid w:val="358C217E"/>
    <w:rsid w:val="35BD143C"/>
    <w:rsid w:val="35D76F4F"/>
    <w:rsid w:val="36C9128A"/>
    <w:rsid w:val="377F6B64"/>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34DF3"/>
    <w:rsid w:val="3B36794F"/>
    <w:rsid w:val="3B4903CF"/>
    <w:rsid w:val="3B6F6EE0"/>
    <w:rsid w:val="3C0753BF"/>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B752A8"/>
    <w:rsid w:val="44C37687"/>
    <w:rsid w:val="452E6575"/>
    <w:rsid w:val="45CB699A"/>
    <w:rsid w:val="465B470D"/>
    <w:rsid w:val="469D6AD4"/>
    <w:rsid w:val="471E6C84"/>
    <w:rsid w:val="4748792B"/>
    <w:rsid w:val="475D719D"/>
    <w:rsid w:val="47674801"/>
    <w:rsid w:val="47DF0D07"/>
    <w:rsid w:val="48225EF7"/>
    <w:rsid w:val="488F422B"/>
    <w:rsid w:val="48CC5349"/>
    <w:rsid w:val="48E36915"/>
    <w:rsid w:val="48EB6572"/>
    <w:rsid w:val="493C6F6D"/>
    <w:rsid w:val="495C4A24"/>
    <w:rsid w:val="497135DF"/>
    <w:rsid w:val="4A263DF2"/>
    <w:rsid w:val="4A6F6675"/>
    <w:rsid w:val="4AEA14BE"/>
    <w:rsid w:val="4B135857"/>
    <w:rsid w:val="4B7951CB"/>
    <w:rsid w:val="4B7C315C"/>
    <w:rsid w:val="4DAC4ACA"/>
    <w:rsid w:val="4DBE01D2"/>
    <w:rsid w:val="4DD81883"/>
    <w:rsid w:val="4DDE5B30"/>
    <w:rsid w:val="4F0C6BA3"/>
    <w:rsid w:val="4F186D58"/>
    <w:rsid w:val="4FDA514C"/>
    <w:rsid w:val="50F06B6E"/>
    <w:rsid w:val="51123746"/>
    <w:rsid w:val="51D21804"/>
    <w:rsid w:val="51DB5EEB"/>
    <w:rsid w:val="52234D33"/>
    <w:rsid w:val="522F6E0C"/>
    <w:rsid w:val="52463BA1"/>
    <w:rsid w:val="52F163D4"/>
    <w:rsid w:val="53057C36"/>
    <w:rsid w:val="531A2DB4"/>
    <w:rsid w:val="53C0244D"/>
    <w:rsid w:val="53DD4D4E"/>
    <w:rsid w:val="53E578CE"/>
    <w:rsid w:val="541330F0"/>
    <w:rsid w:val="54272666"/>
    <w:rsid w:val="543B029D"/>
    <w:rsid w:val="54861779"/>
    <w:rsid w:val="552256E1"/>
    <w:rsid w:val="554E5773"/>
    <w:rsid w:val="555A3CBC"/>
    <w:rsid w:val="55626E88"/>
    <w:rsid w:val="5582012B"/>
    <w:rsid w:val="558E4E05"/>
    <w:rsid w:val="55BE2E85"/>
    <w:rsid w:val="55EB19D8"/>
    <w:rsid w:val="5636058E"/>
    <w:rsid w:val="56530F5D"/>
    <w:rsid w:val="567700D3"/>
    <w:rsid w:val="56FF7E9E"/>
    <w:rsid w:val="574E0F8E"/>
    <w:rsid w:val="578867FC"/>
    <w:rsid w:val="5842572D"/>
    <w:rsid w:val="5A3B59D6"/>
    <w:rsid w:val="5AD134D8"/>
    <w:rsid w:val="5B0254F1"/>
    <w:rsid w:val="5C263CE4"/>
    <w:rsid w:val="5C5D2777"/>
    <w:rsid w:val="5CA232B2"/>
    <w:rsid w:val="5CF66BF3"/>
    <w:rsid w:val="5D290C69"/>
    <w:rsid w:val="5D743BD3"/>
    <w:rsid w:val="5E390CAC"/>
    <w:rsid w:val="5F2D4A41"/>
    <w:rsid w:val="60C74F6C"/>
    <w:rsid w:val="61025A59"/>
    <w:rsid w:val="613D5BBC"/>
    <w:rsid w:val="61536C39"/>
    <w:rsid w:val="62225354"/>
    <w:rsid w:val="62944DD7"/>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953DDE"/>
    <w:rsid w:val="68EB1B71"/>
    <w:rsid w:val="69B751B3"/>
    <w:rsid w:val="6A6C7940"/>
    <w:rsid w:val="6AAD2300"/>
    <w:rsid w:val="6B0833E4"/>
    <w:rsid w:val="6B474EF5"/>
    <w:rsid w:val="6C0A5AC5"/>
    <w:rsid w:val="6C560CAE"/>
    <w:rsid w:val="6C576495"/>
    <w:rsid w:val="6D4D73E7"/>
    <w:rsid w:val="6D903FF5"/>
    <w:rsid w:val="6DA955B8"/>
    <w:rsid w:val="6DE346AB"/>
    <w:rsid w:val="6DE5391A"/>
    <w:rsid w:val="6EFD1324"/>
    <w:rsid w:val="6F5A53AC"/>
    <w:rsid w:val="6FAC003D"/>
    <w:rsid w:val="6FE55E12"/>
    <w:rsid w:val="6FFB2E76"/>
    <w:rsid w:val="708F6F7F"/>
    <w:rsid w:val="70D94BD3"/>
    <w:rsid w:val="714D41D0"/>
    <w:rsid w:val="71C34D91"/>
    <w:rsid w:val="72DB435C"/>
    <w:rsid w:val="72E2613A"/>
    <w:rsid w:val="72F771F4"/>
    <w:rsid w:val="73934AD2"/>
    <w:rsid w:val="73FC49E1"/>
    <w:rsid w:val="743D59B1"/>
    <w:rsid w:val="750837F0"/>
    <w:rsid w:val="754758CF"/>
    <w:rsid w:val="764F62AB"/>
    <w:rsid w:val="765C45EC"/>
    <w:rsid w:val="768A7619"/>
    <w:rsid w:val="772E1EBA"/>
    <w:rsid w:val="781926BC"/>
    <w:rsid w:val="785B065A"/>
    <w:rsid w:val="796D60A4"/>
    <w:rsid w:val="79A031D5"/>
    <w:rsid w:val="7A1525F7"/>
    <w:rsid w:val="7B420052"/>
    <w:rsid w:val="7BD06A28"/>
    <w:rsid w:val="7C3A7C0B"/>
    <w:rsid w:val="7C5248E4"/>
    <w:rsid w:val="7C566698"/>
    <w:rsid w:val="7C5866A3"/>
    <w:rsid w:val="7D7406BB"/>
    <w:rsid w:val="7DB61C3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unhideWhenUsed/>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1</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2024-09-23T04:59:37Z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