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9"/>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重庆市秀山土家族苗族自治县卫生健康信息中心2023年度决算公开说明</w:t>
      </w:r>
    </w:p>
    <w:p>
      <w:pPr>
        <w:pStyle w:val="8"/>
        <w:keepNext w:val="0"/>
        <w:keepLines w:val="0"/>
        <w:pageBreakBefore w:val="0"/>
        <w:widowControl/>
        <w:kinsoku/>
        <w:wordWrap/>
        <w:overflowPunct/>
        <w:topLinePunct w:val="0"/>
        <w:autoSpaceDE/>
        <w:autoSpaceDN/>
        <w:bidi w:val="0"/>
        <w:adjustRightInd/>
        <w:snapToGrid/>
        <w:spacing w:before="0" w:beforeAutospacing="0" w:line="560" w:lineRule="exact"/>
        <w:jc w:val="center"/>
        <w:textAlignment w:val="auto"/>
        <w:outlineLvl w:val="9"/>
        <w:rPr>
          <w:rFonts w:hint="default" w:ascii="Times New Roman" w:hAnsi="Times New Roman" w:eastAsia="方正小标宋_GBK" w:cs="Times New Roman"/>
          <w:sz w:val="44"/>
          <w:szCs w:val="44"/>
        </w:rPr>
      </w:pP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一、单位基本情况</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Times New Roman" w:hAnsi="Times New Roman" w:eastAsia="方正楷体_GBK" w:cs="Times New Roman"/>
          <w:b w:val="0"/>
          <w:bCs/>
          <w:sz w:val="32"/>
          <w:szCs w:val="32"/>
          <w:shd w:val="clear" w:color="auto" w:fill="FFFFFF"/>
        </w:rPr>
      </w:pPr>
      <w:r>
        <w:rPr>
          <w:rStyle w:val="10"/>
          <w:rFonts w:hint="default" w:ascii="Times New Roman" w:hAnsi="Times New Roman" w:eastAsia="方正楷体_GBK" w:cs="Times New Roman"/>
          <w:b w:val="0"/>
          <w:bCs/>
          <w:sz w:val="32"/>
          <w:szCs w:val="32"/>
          <w:shd w:val="clear" w:color="auto" w:fill="FFFFFF"/>
        </w:rPr>
        <w:t>（一）职能职责</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Times New Roman" w:hAnsi="Times New Roman" w:eastAsia="方正仿宋_GBK" w:cs="Times New Roman"/>
          <w:b w:val="0"/>
          <w:bCs/>
          <w:sz w:val="32"/>
          <w:szCs w:val="32"/>
          <w:shd w:val="clear" w:color="auto" w:fill="FFFFFF"/>
          <w:lang w:val="en-US" w:eastAsia="zh-CN"/>
        </w:rPr>
      </w:pPr>
      <w:r>
        <w:rPr>
          <w:rStyle w:val="10"/>
          <w:rFonts w:hint="default" w:ascii="Times New Roman" w:hAnsi="Times New Roman" w:eastAsia="方正仿宋_GBK" w:cs="Times New Roman"/>
          <w:b w:val="0"/>
          <w:bCs/>
          <w:sz w:val="32"/>
          <w:szCs w:val="32"/>
          <w:shd w:val="clear" w:color="auto" w:fill="FFFFFF"/>
        </w:rPr>
        <w:t>负责拟订卫生健康信息化事业发展中长期规划和标准化组织实施；负责全县卫生健康机构信息资源整合及共享；负责信息化建设项目；牵头数字重庆建设工作；负责HIS、PACS、LIS、公卫、家医、心电系统、全民健康平台等系统数据的日常监管；负责IRS、能力组件、云网资源等编目；负责规范卫生健康信息数据交换的接口标准；负责网络安全保障；负责卫生健康行业统计调查制度建设和管理；负责软件正版化工作；指导卫生健康系统卫生专网建设、卫生健康信息资源数据库建设；指导智慧医院、互联网医院建设相关工作</w:t>
      </w:r>
      <w:r>
        <w:rPr>
          <w:rStyle w:val="10"/>
          <w:rFonts w:hint="eastAsia" w:ascii="Times New Roman" w:hAnsi="Times New Roman" w:eastAsia="方正仿宋_GBK" w:cs="Times New Roman"/>
          <w:b w:val="0"/>
          <w:bCs/>
          <w:sz w:val="32"/>
          <w:szCs w:val="32"/>
          <w:shd w:val="clear" w:color="auto" w:fill="FFFFFF"/>
          <w:lang w:eastAsia="zh-CN"/>
        </w:rPr>
        <w:t>。</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Times New Roman" w:hAnsi="Times New Roman" w:eastAsia="方正楷体_GBK" w:cs="Times New Roman"/>
          <w:b w:val="0"/>
          <w:bCs/>
          <w:sz w:val="32"/>
          <w:szCs w:val="32"/>
          <w:shd w:val="clear" w:color="auto" w:fill="FFFFFF"/>
        </w:rPr>
      </w:pPr>
      <w:r>
        <w:rPr>
          <w:rStyle w:val="10"/>
          <w:rFonts w:hint="default" w:ascii="Times New Roman" w:hAnsi="Times New Roman" w:eastAsia="方正楷体_GBK" w:cs="Times New Roman"/>
          <w:b w:val="0"/>
          <w:bCs/>
          <w:sz w:val="32"/>
          <w:szCs w:val="32"/>
          <w:shd w:val="clear" w:color="auto" w:fill="FFFFFF"/>
        </w:rPr>
        <w:t>（二）机构设置</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Times New Roman" w:hAnsi="Times New Roman" w:eastAsia="方正仿宋_GBK" w:cs="Times New Roman"/>
          <w:b w:val="0"/>
          <w:bCs/>
          <w:sz w:val="32"/>
          <w:szCs w:val="32"/>
          <w:shd w:val="clear" w:color="auto" w:fill="FFFFFF"/>
          <w:lang w:eastAsia="zh-CN"/>
        </w:rPr>
      </w:pPr>
      <w:r>
        <w:rPr>
          <w:rStyle w:val="10"/>
          <w:rFonts w:hint="default" w:ascii="Times New Roman" w:hAnsi="Times New Roman" w:eastAsia="方正仿宋_GBK" w:cs="Times New Roman"/>
          <w:b w:val="0"/>
          <w:bCs/>
          <w:sz w:val="32"/>
          <w:szCs w:val="32"/>
          <w:shd w:val="clear" w:color="auto" w:fill="FFFFFF"/>
          <w:lang w:eastAsia="zh-CN"/>
        </w:rPr>
        <w:t>本单位为秀山土家族苗族自治县卫生健康委员会委属代管单位，是二级预算单位。</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二、单位决算情况说明</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（一）收入支出决算总体情况说明</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rPr>
      </w:pPr>
      <w:r>
        <w:rPr>
          <w:rStyle w:val="10"/>
          <w:rFonts w:hint="default" w:ascii="Times New Roman" w:hAnsi="Times New Roman" w:eastAsia="方正仿宋_GBK" w:cs="Times New Roman"/>
          <w:b w:val="0"/>
          <w:bCs/>
          <w:sz w:val="32"/>
          <w:szCs w:val="32"/>
          <w:shd w:val="clear" w:color="auto" w:fill="FFFFFF"/>
        </w:rPr>
        <w:t>1.总体情况。</w:t>
      </w:r>
      <w:r>
        <w:rPr>
          <w:rFonts w:hint="default" w:ascii="Times New Roman" w:hAnsi="Times New Roman" w:eastAsia="方正仿宋_GBK" w:cs="Times New Roman"/>
          <w:b w:val="0"/>
          <w:bCs/>
          <w:sz w:val="32"/>
          <w:szCs w:val="32"/>
          <w:shd w:val="clear" w:color="auto" w:fill="FFFFFF"/>
        </w:rPr>
        <w:t>2023年度收入总计71.75万元，支出总计</w:t>
      </w:r>
      <w:r>
        <w:rPr>
          <w:rFonts w:hint="default" w:ascii="Times New Roman" w:hAnsi="Times New Roman" w:eastAsia="方正仿宋_GBK" w:cs="Times New Roman"/>
          <w:b w:val="0"/>
          <w:bCs/>
          <w:sz w:val="32"/>
          <w:szCs w:val="32"/>
        </w:rPr>
        <w:t>71.75</w:t>
      </w:r>
      <w:r>
        <w:rPr>
          <w:rFonts w:hint="default" w:ascii="Times New Roman" w:hAnsi="Times New Roman" w:eastAsia="方正仿宋_GBK" w:cs="Times New Roman"/>
          <w:b w:val="0"/>
          <w:bCs/>
          <w:sz w:val="32"/>
          <w:szCs w:val="32"/>
          <w:shd w:val="clear" w:color="auto" w:fill="FFFFFF"/>
        </w:rPr>
        <w:t>万元。收支较上年决算数增加71.75万元，增长100.00%，主要原因是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rPr>
      </w:pPr>
      <w:r>
        <w:rPr>
          <w:rStyle w:val="10"/>
          <w:rFonts w:hint="default" w:ascii="Times New Roman" w:hAnsi="Times New Roman" w:eastAsia="方正仿宋_GBK" w:cs="Times New Roman"/>
          <w:b w:val="0"/>
          <w:bCs/>
          <w:sz w:val="32"/>
          <w:szCs w:val="32"/>
          <w:shd w:val="clear" w:color="auto" w:fill="FFFFFF"/>
        </w:rPr>
        <w:t>2.收入情况。</w:t>
      </w:r>
      <w:r>
        <w:rPr>
          <w:rFonts w:hint="default" w:ascii="Times New Roman" w:hAnsi="Times New Roman" w:eastAsia="方正仿宋_GBK" w:cs="Times New Roman"/>
          <w:b w:val="0"/>
          <w:bCs/>
          <w:sz w:val="32"/>
          <w:szCs w:val="32"/>
          <w:shd w:val="clear" w:color="auto" w:fill="FFFFFF"/>
        </w:rPr>
        <w:t>2023年度收入合计71.75万元，较上年决算数增加71.75万元，增长100.00%，主要原因是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r>
        <w:rPr>
          <w:rFonts w:hint="default" w:ascii="Times New Roman" w:hAnsi="Times New Roman" w:eastAsia="方正仿宋_GBK" w:cs="Times New Roman"/>
          <w:b w:val="0"/>
          <w:bCs/>
          <w:sz w:val="32"/>
          <w:szCs w:val="32"/>
          <w:shd w:val="clear" w:color="auto" w:fill="FFFFFF"/>
        </w:rPr>
        <w:t>其中：财政拨款收入</w:t>
      </w:r>
      <w:r>
        <w:rPr>
          <w:rFonts w:hint="default" w:ascii="Times New Roman" w:hAnsi="Times New Roman" w:eastAsia="方正仿宋_GBK" w:cs="Times New Roman"/>
          <w:b w:val="0"/>
          <w:bCs/>
          <w:sz w:val="32"/>
          <w:szCs w:val="32"/>
        </w:rPr>
        <w:t>71.75</w:t>
      </w:r>
      <w:r>
        <w:rPr>
          <w:rFonts w:hint="default" w:ascii="Times New Roman" w:hAnsi="Times New Roman" w:eastAsia="方正仿宋_GBK" w:cs="Times New Roman"/>
          <w:b w:val="0"/>
          <w:bCs/>
          <w:sz w:val="32"/>
          <w:szCs w:val="32"/>
          <w:shd w:val="clear" w:color="auto" w:fill="FFFFFF"/>
        </w:rPr>
        <w:t>万元，占</w:t>
      </w:r>
      <w:r>
        <w:rPr>
          <w:rFonts w:hint="default" w:ascii="Times New Roman" w:hAnsi="Times New Roman" w:eastAsia="方正仿宋_GBK" w:cs="Times New Roman"/>
          <w:b w:val="0"/>
          <w:bCs/>
          <w:sz w:val="32"/>
          <w:szCs w:val="32"/>
        </w:rPr>
        <w:t>100.00</w:t>
      </w:r>
      <w:r>
        <w:rPr>
          <w:rFonts w:hint="default" w:ascii="Times New Roman" w:hAnsi="Times New Roman" w:eastAsia="方正仿宋_GBK" w:cs="Times New Roman"/>
          <w:b w:val="0"/>
          <w:bCs/>
          <w:sz w:val="32"/>
          <w:szCs w:val="32"/>
          <w:shd w:val="clear" w:color="auto" w:fill="FFFFFF"/>
        </w:rPr>
        <w:t>%；事业收入</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万元，占0.00%；经营收入</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万元，占0.00%；其他收入</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万元，占0.00%。此外，使用非财政拨款结余和专用结余</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万元，年初结转和结余</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rPr>
      </w:pPr>
      <w:r>
        <w:rPr>
          <w:rStyle w:val="10"/>
          <w:rFonts w:hint="default" w:ascii="Times New Roman" w:hAnsi="Times New Roman" w:eastAsia="方正仿宋_GBK" w:cs="Times New Roman"/>
          <w:b w:val="0"/>
          <w:bCs/>
          <w:sz w:val="32"/>
          <w:szCs w:val="32"/>
          <w:shd w:val="clear" w:color="auto" w:fill="FFFFFF"/>
        </w:rPr>
        <w:t>3.支出情况。</w:t>
      </w:r>
      <w:r>
        <w:rPr>
          <w:rFonts w:hint="default" w:ascii="Times New Roman" w:hAnsi="Times New Roman" w:eastAsia="方正仿宋_GBK" w:cs="Times New Roman"/>
          <w:b w:val="0"/>
          <w:bCs/>
          <w:sz w:val="32"/>
          <w:szCs w:val="32"/>
          <w:shd w:val="clear" w:color="auto" w:fill="FFFFFF"/>
        </w:rPr>
        <w:t>2023年度支出合计</w:t>
      </w:r>
      <w:r>
        <w:rPr>
          <w:rFonts w:hint="default" w:ascii="Times New Roman" w:hAnsi="Times New Roman" w:eastAsia="方正仿宋_GBK" w:cs="Times New Roman"/>
          <w:b w:val="0"/>
          <w:bCs/>
          <w:sz w:val="32"/>
          <w:szCs w:val="32"/>
        </w:rPr>
        <w:t>71.75</w:t>
      </w:r>
      <w:r>
        <w:rPr>
          <w:rFonts w:hint="default" w:ascii="Times New Roman" w:hAnsi="Times New Roman" w:eastAsia="方正仿宋_GBK" w:cs="Times New Roman"/>
          <w:b w:val="0"/>
          <w:bCs/>
          <w:sz w:val="32"/>
          <w:szCs w:val="32"/>
          <w:shd w:val="clear" w:color="auto" w:fill="FFFFFF"/>
        </w:rPr>
        <w:t>万元，较上年决算数增加71.75万元，增长100.00%，主要原因是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r>
        <w:rPr>
          <w:rFonts w:hint="default" w:ascii="Times New Roman" w:hAnsi="Times New Roman" w:eastAsia="方正仿宋_GBK" w:cs="Times New Roman"/>
          <w:b w:val="0"/>
          <w:bCs/>
          <w:sz w:val="32"/>
          <w:szCs w:val="32"/>
          <w:shd w:val="clear" w:color="auto" w:fill="FFFFFF"/>
        </w:rPr>
        <w:t>其中：基本支出</w:t>
      </w:r>
      <w:r>
        <w:rPr>
          <w:rFonts w:hint="default" w:ascii="Times New Roman" w:hAnsi="Times New Roman" w:eastAsia="方正仿宋_GBK" w:cs="Times New Roman"/>
          <w:b w:val="0"/>
          <w:bCs/>
          <w:sz w:val="32"/>
          <w:szCs w:val="32"/>
        </w:rPr>
        <w:t>71.75</w:t>
      </w:r>
      <w:r>
        <w:rPr>
          <w:rFonts w:hint="default" w:ascii="Times New Roman" w:hAnsi="Times New Roman" w:eastAsia="方正仿宋_GBK" w:cs="Times New Roman"/>
          <w:b w:val="0"/>
          <w:bCs/>
          <w:sz w:val="32"/>
          <w:szCs w:val="32"/>
          <w:shd w:val="clear" w:color="auto" w:fill="FFFFFF"/>
        </w:rPr>
        <w:t>万元，占100.00%；项目支出</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万元，占0.00%；经营支出</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万元，占0.00%。此外，结余分配</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rPr>
      </w:pPr>
      <w:r>
        <w:rPr>
          <w:rStyle w:val="10"/>
          <w:rFonts w:hint="default" w:ascii="Times New Roman" w:hAnsi="Times New Roman" w:eastAsia="方正仿宋_GBK" w:cs="Times New Roman"/>
          <w:b w:val="0"/>
          <w:bCs/>
          <w:sz w:val="32"/>
          <w:szCs w:val="32"/>
          <w:shd w:val="clear" w:color="auto" w:fill="FFFFFF"/>
        </w:rPr>
        <w:t>4.结转结余情况。</w:t>
      </w:r>
      <w:r>
        <w:rPr>
          <w:rFonts w:hint="default" w:ascii="Times New Roman" w:hAnsi="Times New Roman" w:eastAsia="方正仿宋_GBK" w:cs="Times New Roman"/>
          <w:b w:val="0"/>
          <w:bCs/>
          <w:sz w:val="32"/>
          <w:szCs w:val="32"/>
          <w:shd w:val="clear" w:color="auto" w:fill="FFFFFF"/>
        </w:rPr>
        <w:t>2023年度年末结转和结余</w:t>
      </w:r>
      <w:r>
        <w:rPr>
          <w:rFonts w:hint="default" w:ascii="Times New Roman" w:hAnsi="Times New Roman" w:eastAsia="方正仿宋_GBK" w:cs="Times New Roman"/>
          <w:b w:val="0"/>
          <w:bCs/>
          <w:sz w:val="32"/>
          <w:szCs w:val="32"/>
        </w:rPr>
        <w:t>0.00</w:t>
      </w:r>
      <w:r>
        <w:rPr>
          <w:rFonts w:hint="default" w:ascii="Times New Roman" w:hAnsi="Times New Roman" w:eastAsia="方正仿宋_GBK" w:cs="Times New Roman"/>
          <w:b w:val="0"/>
          <w:bCs/>
          <w:sz w:val="32"/>
          <w:szCs w:val="32"/>
          <w:shd w:val="clear" w:color="auto" w:fill="FFFFFF"/>
        </w:rPr>
        <w:t>万元，较上年决算数无增减，主要原因是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jc w:val="both"/>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（二）财政拨款收入支出决算总体情况说明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sz w:val="32"/>
          <w:szCs w:val="32"/>
          <w:shd w:val="clear" w:color="auto" w:fill="FFFFFF"/>
        </w:rPr>
        <w:t>2023年度财政拨款收、支总计71.75万元。与2022年相比，财政拨款收、支总计各增加71.75万元，增长100.00%。主要原因是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（三）一般公共预算财政拨款收入支出决算情况说明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rPr>
      </w:pPr>
      <w:r>
        <w:rPr>
          <w:rStyle w:val="10"/>
          <w:rFonts w:hint="default" w:ascii="Times New Roman" w:hAnsi="Times New Roman" w:eastAsia="方正仿宋_GBK" w:cs="Times New Roman"/>
          <w:b w:val="0"/>
          <w:bCs/>
          <w:sz w:val="32"/>
          <w:szCs w:val="32"/>
          <w:shd w:val="clear" w:color="auto" w:fill="FFFFFF"/>
        </w:rPr>
        <w:t>1.收入情况。</w:t>
      </w:r>
      <w:r>
        <w:rPr>
          <w:rFonts w:hint="default" w:ascii="Times New Roman" w:hAnsi="Times New Roman" w:eastAsia="方正仿宋_GBK" w:cs="Times New Roman"/>
          <w:b w:val="0"/>
          <w:bCs/>
          <w:sz w:val="32"/>
          <w:szCs w:val="32"/>
          <w:shd w:val="clear" w:color="auto" w:fill="FFFFFF"/>
        </w:rPr>
        <w:t>2023年度一般公共预算财政拨款收入71.75万元，较上年决算数增加71.75万元，增长100.00%。主要原因是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r>
        <w:rPr>
          <w:rFonts w:hint="default" w:ascii="Times New Roman" w:hAnsi="Times New Roman" w:eastAsia="方正仿宋_GBK" w:cs="Times New Roman"/>
          <w:b w:val="0"/>
          <w:bCs/>
          <w:sz w:val="32"/>
          <w:szCs w:val="32"/>
          <w:shd w:val="clear" w:color="auto" w:fill="FFFFFF"/>
        </w:rPr>
        <w:t>较年初预算数减少6.09万元，下降7.82%。主要原因是</w:t>
      </w:r>
      <w:r>
        <w:rPr>
          <w:rFonts w:hint="default" w:ascii="Times New Roman" w:hAnsi="Times New Roman" w:eastAsia="方正仿宋_GBK" w:cs="Times New Roman"/>
          <w:b w:val="0"/>
          <w:bCs/>
          <w:sz w:val="32"/>
          <w:szCs w:val="32"/>
          <w:shd w:val="clear" w:color="auto" w:fill="FFFFFF"/>
          <w:lang w:eastAsia="zh-CN"/>
        </w:rPr>
        <w:t>本单位支出取决于财政实际拨款。</w:t>
      </w:r>
      <w:r>
        <w:rPr>
          <w:rFonts w:hint="default" w:ascii="Times New Roman" w:hAnsi="Times New Roman" w:eastAsia="方正仿宋_GBK" w:cs="Times New Roman"/>
          <w:b w:val="0"/>
          <w:bCs/>
          <w:sz w:val="32"/>
          <w:szCs w:val="32"/>
          <w:shd w:val="clear" w:color="auto" w:fill="FFFFFF"/>
        </w:rPr>
        <w:t>此外，年初财政拨款结转和结余0.00万元。</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rPr>
        <w:t>2.支出情况。2023年度一般公共预算财政拨款支出71.75万元，较上年决算数增加71.75万元，增长100.00%。主要原因是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r>
        <w:rPr>
          <w:rFonts w:hint="default" w:ascii="Times New Roman" w:hAnsi="Times New Roman" w:eastAsia="方正仿宋_GBK" w:cs="Times New Roman"/>
          <w:b w:val="0"/>
          <w:bCs/>
          <w:sz w:val="32"/>
          <w:szCs w:val="32"/>
          <w:shd w:val="clear" w:color="auto" w:fill="FFFFFF"/>
        </w:rPr>
        <w:t>较年初预算数减少6.09万元，下降7.82%。主要原因是</w:t>
      </w:r>
      <w:r>
        <w:rPr>
          <w:rFonts w:hint="default" w:ascii="Times New Roman" w:hAnsi="Times New Roman" w:eastAsia="方正仿宋_GBK" w:cs="Times New Roman"/>
          <w:b w:val="0"/>
          <w:bCs/>
          <w:sz w:val="32"/>
          <w:szCs w:val="32"/>
          <w:shd w:val="clear" w:color="auto" w:fill="FFFFFF"/>
          <w:lang w:eastAsia="zh-CN"/>
        </w:rPr>
        <w:t>本单位支出取决于财政实际拨款。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rPr>
      </w:pPr>
      <w:r>
        <w:rPr>
          <w:rFonts w:hint="default" w:ascii="Times New Roman" w:hAnsi="Times New Roman" w:eastAsia="方正仿宋_GBK" w:cs="Times New Roman"/>
          <w:b w:val="0"/>
          <w:bCs/>
          <w:sz w:val="32"/>
          <w:szCs w:val="32"/>
          <w:shd w:val="clear" w:color="auto" w:fill="FFFFFF"/>
        </w:rPr>
        <w:t>3.结转结余情况。2023年度年末一般公共预算财政拨款结转和结余0.00万元，较上年决算数无增减，主要原因是</w:t>
      </w:r>
      <w:r>
        <w:rPr>
          <w:rFonts w:hint="default" w:ascii="Times New Roman" w:hAnsi="Times New Roman" w:eastAsia="方正仿宋_GBK" w:cs="Times New Roman"/>
          <w:b w:val="0"/>
          <w:bCs/>
          <w:sz w:val="32"/>
          <w:szCs w:val="32"/>
          <w:shd w:val="clear" w:color="auto" w:fill="FFFFFF"/>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highlight w:val="cyan"/>
          <w:shd w:val="clear" w:color="auto" w:fill="FFFFFF"/>
        </w:rPr>
      </w:pPr>
      <w:r>
        <w:rPr>
          <w:rFonts w:hint="default" w:ascii="Times New Roman" w:hAnsi="Times New Roman" w:eastAsia="方正仿宋_GBK" w:cs="Times New Roman"/>
          <w:b w:val="0"/>
          <w:bCs/>
          <w:sz w:val="32"/>
          <w:szCs w:val="32"/>
          <w:shd w:val="clear" w:color="auto" w:fill="FFFFFF"/>
        </w:rPr>
        <w:t>4.比较情况。本单位2023年度一般公共预算财政拨款支出主要用于以下几个方面</w:t>
      </w:r>
      <w:r>
        <w:rPr>
          <w:rFonts w:hint="default" w:ascii="Times New Roman" w:hAnsi="Times New Roman" w:eastAsia="方正仿宋_GBK" w:cs="Times New Roman"/>
          <w:sz w:val="32"/>
          <w:szCs w:val="32"/>
          <w:shd w:val="clear" w:color="auto" w:fill="FFFFFF"/>
        </w:rPr>
        <w:t>：</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1</w:t>
      </w:r>
      <w:r>
        <w:rPr>
          <w:rFonts w:hint="default" w:ascii="Times New Roman" w:hAnsi="Times New Roman" w:eastAsia="方正仿宋_GBK" w:cs="Times New Roman"/>
          <w:b w:val="0"/>
          <w:bCs/>
          <w:sz w:val="32"/>
          <w:szCs w:val="32"/>
          <w:shd w:val="clear" w:color="auto" w:fill="FFFFFF"/>
        </w:rPr>
        <w:t>）社会保障与就业支出10.54万元，占14.69%，较年初预算数无增减，主要原因是</w:t>
      </w:r>
      <w:r>
        <w:rPr>
          <w:rFonts w:hint="default" w:ascii="Times New Roman" w:hAnsi="Times New Roman" w:eastAsia="方正仿宋_GBK" w:cs="Times New Roman"/>
          <w:b w:val="0"/>
          <w:bCs/>
          <w:sz w:val="32"/>
          <w:szCs w:val="32"/>
          <w:shd w:val="clear" w:color="auto" w:fill="FFFFFF"/>
          <w:lang w:eastAsia="zh-CN"/>
        </w:rPr>
        <w:t>社保基数每年有调整，本单位支出取决于财政实际拨款。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2</w:t>
      </w:r>
      <w:r>
        <w:rPr>
          <w:rFonts w:hint="default" w:ascii="Times New Roman" w:hAnsi="Times New Roman" w:eastAsia="方正仿宋_GBK" w:cs="Times New Roman"/>
          <w:b w:val="0"/>
          <w:bCs/>
          <w:sz w:val="32"/>
          <w:szCs w:val="32"/>
          <w:shd w:val="clear" w:color="auto" w:fill="FFFFFF"/>
        </w:rPr>
        <w:t>）卫生健康支出56.37万元，占78.56%，较年初预算数减少4.85万元，下降7.92%，主要原因是</w:t>
      </w:r>
      <w:r>
        <w:rPr>
          <w:rFonts w:hint="default" w:ascii="Times New Roman" w:hAnsi="Times New Roman" w:eastAsia="方正仿宋_GBK" w:cs="Times New Roman"/>
          <w:b w:val="0"/>
          <w:bCs/>
          <w:sz w:val="32"/>
          <w:szCs w:val="32"/>
          <w:shd w:val="clear" w:color="auto" w:fill="FFFFFF"/>
          <w:lang w:eastAsia="zh-CN"/>
        </w:rPr>
        <w:t>本单位支出取决于财政实际拨款。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rPr>
        <w:t>（</w:t>
      </w:r>
      <w:r>
        <w:rPr>
          <w:rFonts w:hint="default" w:ascii="Times New Roman" w:hAnsi="Times New Roman" w:eastAsia="方正仿宋_GBK" w:cs="Times New Roman"/>
          <w:b w:val="0"/>
          <w:bCs/>
          <w:sz w:val="32"/>
          <w:szCs w:val="32"/>
          <w:shd w:val="clear" w:color="auto" w:fill="FFFFFF"/>
          <w:lang w:val="en-US" w:eastAsia="zh-CN"/>
        </w:rPr>
        <w:t>3</w:t>
      </w:r>
      <w:r>
        <w:rPr>
          <w:rFonts w:hint="default" w:ascii="Times New Roman" w:hAnsi="Times New Roman" w:eastAsia="方正仿宋_GBK" w:cs="Times New Roman"/>
          <w:b w:val="0"/>
          <w:bCs/>
          <w:sz w:val="32"/>
          <w:szCs w:val="32"/>
          <w:shd w:val="clear" w:color="auto" w:fill="FFFFFF"/>
        </w:rPr>
        <w:t>）住房保障支出4.84万元，占6.75%，较年初预算数减少1.23万元，下降20.26%，主要原因是</w:t>
      </w:r>
      <w:r>
        <w:rPr>
          <w:rFonts w:hint="default" w:ascii="Times New Roman" w:hAnsi="Times New Roman" w:eastAsia="方正仿宋_GBK" w:cs="Times New Roman"/>
          <w:b w:val="0"/>
          <w:bCs/>
          <w:sz w:val="32"/>
          <w:szCs w:val="32"/>
          <w:shd w:val="clear" w:color="auto" w:fill="FFFFFF"/>
          <w:lang w:eastAsia="zh-CN"/>
        </w:rPr>
        <w:t>本单位支出取决于财政实际拨款。</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（四）一般公共预算财政拨款基本支出决算情况说明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shd w:val="clear" w:color="auto" w:fill="FFFFFF"/>
        </w:rPr>
        <w:t>2023年度一般公共财政拨款基本支出71.75万元。其中：人员经费65.88万元，较上年决算数增加65.88万元，增长</w:t>
      </w:r>
      <w:r>
        <w:rPr>
          <w:rFonts w:hint="default" w:ascii="Times New Roman" w:hAnsi="Times New Roman" w:eastAsia="方正仿宋_GBK" w:cs="Times New Roman"/>
          <w:sz w:val="32"/>
          <w:szCs w:val="32"/>
          <w:shd w:val="clear" w:color="auto" w:fill="FFFFFF"/>
        </w:rPr>
        <w:t>100.00%，主要原因是</w:t>
      </w:r>
      <w:r>
        <w:rPr>
          <w:rFonts w:hint="default" w:ascii="Times New Roman" w:hAnsi="Times New Roman" w:eastAsia="方正仿宋_GBK" w:cs="Times New Roman"/>
          <w:b w:val="0"/>
          <w:bCs/>
          <w:sz w:val="32"/>
          <w:szCs w:val="32"/>
          <w:lang w:eastAsia="zh-CN"/>
        </w:rPr>
        <w:t>本单位为新增单位，无上年数据对比。</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人员经费用途主要包括</w:t>
      </w:r>
      <w:r>
        <w:rPr>
          <w:rFonts w:hint="default" w:ascii="Times New Roman" w:hAnsi="Times New Roman" w:eastAsia="方正仿宋_GBK" w:cs="Times New Roman"/>
          <w:sz w:val="32"/>
          <w:szCs w:val="32"/>
          <w:lang w:eastAsia="zh-CN"/>
        </w:rPr>
        <w:t>社会保障、基本工资、绩效工资等。</w:t>
      </w:r>
      <w:r>
        <w:rPr>
          <w:rFonts w:hint="default" w:ascii="Times New Roman" w:hAnsi="Times New Roman" w:eastAsia="方正仿宋_GBK" w:cs="Times New Roman"/>
          <w:sz w:val="32"/>
          <w:szCs w:val="32"/>
          <w:shd w:val="clear" w:color="auto" w:fill="FFFFFF"/>
        </w:rPr>
        <w:t>公用经费</w:t>
      </w:r>
      <w:r>
        <w:rPr>
          <w:rFonts w:hint="default" w:ascii="Times New Roman" w:hAnsi="Times New Roman" w:eastAsia="方正仿宋_GBK" w:cs="Times New Roman"/>
          <w:sz w:val="32"/>
          <w:szCs w:val="32"/>
        </w:rPr>
        <w:t>5.87</w:t>
      </w:r>
      <w:r>
        <w:rPr>
          <w:rFonts w:hint="default" w:ascii="Times New Roman" w:hAnsi="Times New Roman" w:eastAsia="方正仿宋_GBK" w:cs="Times New Roman"/>
          <w:sz w:val="32"/>
          <w:szCs w:val="32"/>
          <w:shd w:val="clear" w:color="auto" w:fill="FFFFFF"/>
        </w:rPr>
        <w:t>万元，较上年决算数增加5.87万元，增长100.00%，主要原因是</w:t>
      </w:r>
      <w:r>
        <w:rPr>
          <w:rFonts w:hint="default" w:ascii="Times New Roman" w:hAnsi="Times New Roman" w:eastAsia="方正仿宋_GBK" w:cs="Times New Roman"/>
          <w:b w:val="0"/>
          <w:bCs/>
          <w:sz w:val="32"/>
          <w:szCs w:val="32"/>
          <w:lang w:eastAsia="zh-CN"/>
        </w:rPr>
        <w:t>本单位为新增单位，无上年数据对比。</w:t>
      </w:r>
      <w:r>
        <w:rPr>
          <w:rFonts w:hint="default" w:ascii="Times New Roman" w:hAnsi="Times New Roman" w:eastAsia="方正仿宋_GBK" w:cs="Times New Roman"/>
          <w:sz w:val="32"/>
          <w:szCs w:val="32"/>
          <w:shd w:val="clear" w:color="auto" w:fill="FFFFFF"/>
        </w:rPr>
        <w:t>公用经费用途主要包括</w:t>
      </w:r>
      <w:r>
        <w:rPr>
          <w:rFonts w:hint="default" w:ascii="Times New Roman" w:hAnsi="Times New Roman" w:eastAsia="方正仿宋_GBK" w:cs="Times New Roman"/>
          <w:sz w:val="32"/>
          <w:szCs w:val="32"/>
          <w:lang w:eastAsia="zh-CN"/>
        </w:rPr>
        <w:t>办公费、水费、电费等。</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（五）政府性基金预算收支决算情况说明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本单位2023年度无政府性基金预算财政拨款收支。</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default" w:ascii="Times New Roman" w:hAnsi="Times New Roman" w:eastAsia="楷体"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（六）国有资本经营预算财政拨款支出决算情况说明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本单位2023年度无国有资本经营预算财政拨款支出。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三、“三公”经费情况说明</w:t>
      </w:r>
    </w:p>
    <w:p>
      <w:pPr>
        <w:pStyle w:val="13"/>
        <w:keepNext w:val="0"/>
        <w:keepLines w:val="0"/>
        <w:pageBreakBefore w:val="0"/>
        <w:widowControl/>
        <w:kinsoku/>
        <w:wordWrap/>
        <w:overflowPunct/>
        <w:topLinePunct w:val="0"/>
        <w:autoSpaceDE w:val="0"/>
        <w:autoSpaceDN/>
        <w:bidi w:val="0"/>
        <w:adjustRightInd/>
        <w:spacing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（一）“三公”经费支出总体情况说明</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2023年度“三公”经费支出共计</w:t>
      </w:r>
      <w:r>
        <w:rPr>
          <w:rFonts w:hint="default" w:ascii="Times New Roman" w:hAnsi="Times New Roman" w:eastAsia="方正仿宋_GBK" w:cs="Times New Roman"/>
          <w:sz w:val="32"/>
          <w:szCs w:val="32"/>
        </w:rPr>
        <w:t>0.13</w:t>
      </w:r>
      <w:r>
        <w:rPr>
          <w:rFonts w:hint="default" w:ascii="Times New Roman" w:hAnsi="Times New Roman" w:eastAsia="方正仿宋_GBK" w:cs="Times New Roman"/>
          <w:sz w:val="32"/>
          <w:szCs w:val="32"/>
          <w:shd w:val="clear" w:color="auto" w:fill="FFFFFF"/>
        </w:rPr>
        <w:t>万元，较年初预算数增加0.13万元，增长100.00%，主要原因是</w:t>
      </w:r>
      <w:r>
        <w:rPr>
          <w:rFonts w:hint="default" w:ascii="Times New Roman" w:hAnsi="Times New Roman" w:eastAsia="方正仿宋_GBK" w:cs="Times New Roman"/>
          <w:sz w:val="32"/>
          <w:szCs w:val="32"/>
          <w:lang w:eastAsia="zh-CN"/>
        </w:rPr>
        <w:t>本单位为新增单位，无上年数据对比。</w:t>
      </w:r>
      <w:r>
        <w:rPr>
          <w:rFonts w:hint="default" w:ascii="Times New Roman" w:hAnsi="Times New Roman" w:eastAsia="方正仿宋_GBK" w:cs="Times New Roman"/>
          <w:sz w:val="32"/>
          <w:szCs w:val="32"/>
          <w:shd w:val="clear" w:color="auto" w:fill="FFFFFF"/>
        </w:rPr>
        <w:t>较上年支出数增加0.13万元，增长100.00%，主要原因是</w:t>
      </w:r>
      <w:r>
        <w:rPr>
          <w:rFonts w:hint="default" w:ascii="Times New Roman" w:hAnsi="Times New Roman" w:eastAsia="方正仿宋_GBK" w:cs="Times New Roman"/>
          <w:sz w:val="32"/>
          <w:szCs w:val="32"/>
          <w:lang w:eastAsia="zh-CN"/>
        </w:rPr>
        <w:t>本单位为新增单位，无上年数据对比。</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（二）“三公”经费分项支出情况</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2023年度本单位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2023年度本单位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2023年度本单位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pPr>
        <w:pStyle w:val="13"/>
        <w:autoSpaceDE w:val="0"/>
        <w:ind w:firstLine="643"/>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2023年度本单位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（三）“三公”经费实物量情况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2023年度本单位因公出国（境）共计0个团组，0人；公务用车购置0辆，公务车保有量为0辆；国内公务接待1批次12人，其中：国内外事接待0批次，0人；国（境）外公务接待0批次，0人。2023年本单位人均接待费104.25元，车均购置费0万元，车均维护费0万元。</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四、其他需要说明的事项</w:t>
      </w:r>
    </w:p>
    <w:p>
      <w:pPr>
        <w:pStyle w:val="13"/>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3"/>
        <w:textAlignment w:val="auto"/>
        <w:outlineLvl w:val="9"/>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（一）财政拨款会议费和培训费情况说明</w:t>
      </w:r>
    </w:p>
    <w:p>
      <w:pPr>
        <w:pStyle w:val="13"/>
        <w:autoSpaceDE w:val="0"/>
        <w:ind w:firstLine="643"/>
        <w:rPr>
          <w:rFonts w:hint="default" w:ascii="Times New Roman" w:hAnsi="Times New Roman" w:eastAsia="方正仿宋_GBK" w:cs="Times New Roman"/>
          <w:sz w:val="32"/>
          <w:szCs w:val="32"/>
          <w:shd w:val="clear" w:color="auto" w:fill="FFFFFF"/>
          <w:lang w:val="en-US" w:eastAsia="zh-CN" w:bidi="ar-SA"/>
        </w:rPr>
      </w:pPr>
      <w:r>
        <w:rPr>
          <w:rFonts w:hint="default" w:ascii="Times New Roman" w:hAnsi="Times New Roman" w:eastAsia="方正仿宋_GBK" w:cs="Times New Roman"/>
          <w:sz w:val="32"/>
          <w:szCs w:val="32"/>
          <w:shd w:val="clear" w:color="auto" w:fill="FFFFFF"/>
          <w:lang w:val="en-US" w:eastAsia="zh-CN" w:bidi="ar-SA"/>
        </w:rPr>
        <w:t>因本单位为委属代管单位，财政未保障本单位会议费和培训费</w:t>
      </w:r>
      <w:r>
        <w:rPr>
          <w:rFonts w:hint="eastAsia" w:ascii="Times New Roman" w:hAnsi="Times New Roman" w:eastAsia="方正仿宋_GBK" w:cs="Times New Roman"/>
          <w:sz w:val="32"/>
          <w:szCs w:val="32"/>
          <w:shd w:val="clear" w:color="auto" w:fill="FFFFFF"/>
          <w:lang w:val="en-US" w:eastAsia="zh-CN" w:bidi="ar-SA"/>
        </w:rPr>
        <w:t>。</w:t>
      </w:r>
      <w:bookmarkStart w:id="0" w:name="_GoBack"/>
      <w:bookmarkEnd w:id="0"/>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（二）机关运行经费情况说明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rPr>
      </w:pPr>
      <w:r>
        <w:rPr>
          <w:rFonts w:hint="default" w:ascii="Times New Roman" w:hAnsi="Times New Roman" w:eastAsia="方正仿宋_GBK" w:cs="Times New Roman"/>
          <w:b w:val="0"/>
          <w:bCs/>
          <w:sz w:val="32"/>
          <w:szCs w:val="32"/>
          <w:shd w:val="clear" w:color="auto" w:fill="FFFFFF"/>
        </w:rPr>
        <w:t>按照部门决算列报口径，</w:t>
      </w:r>
      <w:r>
        <w:rPr>
          <w:rFonts w:hint="eastAsia" w:ascii="Times New Roman" w:hAnsi="Times New Roman" w:eastAsia="方正仿宋_GBK" w:cs="Times New Roman"/>
          <w:b w:val="0"/>
          <w:bCs/>
          <w:sz w:val="32"/>
          <w:szCs w:val="32"/>
          <w:shd w:val="clear" w:color="auto" w:fill="FFFFFF"/>
          <w:lang w:eastAsia="zh-CN"/>
        </w:rPr>
        <w:t>本</w:t>
      </w:r>
      <w:r>
        <w:rPr>
          <w:rFonts w:hint="default" w:ascii="Times New Roman" w:hAnsi="Times New Roman" w:eastAsia="方正仿宋_GBK" w:cs="Times New Roman"/>
          <w:b w:val="0"/>
          <w:bCs/>
          <w:sz w:val="32"/>
          <w:szCs w:val="32"/>
          <w:shd w:val="clear" w:color="auto" w:fill="FFFFFF"/>
        </w:rPr>
        <w:t>单位不在机关运行经费统计范围之内。</w:t>
      </w:r>
    </w:p>
    <w:p>
      <w:pPr>
        <w:pStyle w:val="13"/>
        <w:keepNext w:val="0"/>
        <w:keepLines w:val="0"/>
        <w:pageBreakBefore w:val="0"/>
        <w:widowControl/>
        <w:kinsoku/>
        <w:wordWrap/>
        <w:overflowPunct/>
        <w:topLinePunct w:val="0"/>
        <w:autoSpaceDE w:val="0"/>
        <w:autoSpaceDN/>
        <w:bidi w:val="0"/>
        <w:adjustRightInd/>
        <w:spacing w:line="560" w:lineRule="exact"/>
        <w:ind w:firstLine="643"/>
        <w:textAlignment w:val="auto"/>
        <w:rPr>
          <w:rFonts w:hint="default" w:ascii="Times New Roman" w:hAnsi="Times New Roman" w:eastAsia="方正楷体_GBK" w:cs="Times New Roman"/>
          <w:b w:val="0"/>
          <w:bCs/>
          <w:sz w:val="32"/>
          <w:szCs w:val="32"/>
          <w:shd w:val="clear" w:color="auto" w:fill="FFFFFF"/>
        </w:rPr>
      </w:pPr>
      <w:r>
        <w:rPr>
          <w:rFonts w:hint="default" w:ascii="Times New Roman" w:hAnsi="Times New Roman" w:eastAsia="方正楷体_GBK" w:cs="Times New Roman"/>
          <w:b w:val="0"/>
          <w:bCs/>
          <w:sz w:val="32"/>
          <w:szCs w:val="32"/>
          <w:shd w:val="clear" w:color="auto" w:fill="FFFFFF"/>
        </w:rPr>
        <w:t>（三）国有资产占用情况说明</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截至2023年12月31日，本单位共有车辆0辆，其中，副部（省）级及以上领导用车0辆、主要负责人用车0辆、机要通信用车0辆、应急保障用车0辆、执法执勤用车0辆，特种专业技术用车0辆，离退休干部用车0辆。单价100万元（含）以上专用设备0台（套）。</w:t>
      </w:r>
    </w:p>
    <w:p>
      <w:pPr>
        <w:pStyle w:val="13"/>
        <w:keepNext w:val="0"/>
        <w:keepLines w:val="0"/>
        <w:pageBreakBefore w:val="0"/>
        <w:widowControl/>
        <w:kinsoku/>
        <w:wordWrap/>
        <w:overflowPunct/>
        <w:topLinePunct w:val="0"/>
        <w:autoSpaceDE w:val="0"/>
        <w:autoSpaceDN/>
        <w:bidi w:val="0"/>
        <w:adjustRightInd/>
        <w:spacing w:beforeAutospacing="0" w:afterAutospacing="0" w:line="560" w:lineRule="exact"/>
        <w:ind w:firstLine="643"/>
        <w:textAlignment w:val="auto"/>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（四）政府采购支出情况说明</w:t>
      </w:r>
    </w:p>
    <w:p>
      <w:pPr>
        <w:pStyle w:val="13"/>
        <w:keepNext w:val="0"/>
        <w:keepLines w:val="0"/>
        <w:pageBreakBefore w:val="0"/>
        <w:widowControl/>
        <w:kinsoku/>
        <w:wordWrap/>
        <w:overflowPunct/>
        <w:topLinePunct w:val="0"/>
        <w:autoSpaceDE w:val="0"/>
        <w:autoSpaceDN/>
        <w:bidi w:val="0"/>
        <w:adjustRightInd/>
        <w:snapToGrid/>
        <w:spacing w:line="560" w:lineRule="exact"/>
        <w:ind w:firstLine="643"/>
        <w:textAlignment w:val="auto"/>
        <w:outlineLvl w:val="9"/>
        <w:rPr>
          <w:rFonts w:hint="default" w:ascii="Times New Roman" w:hAnsi="Times New Roman" w:eastAsia="楷体" w:cs="Times New Roman"/>
          <w:b/>
          <w:bCs/>
          <w:sz w:val="32"/>
          <w:szCs w:val="32"/>
          <w:shd w:val="clear" w:color="auto" w:fill="FFFFFF"/>
        </w:rPr>
      </w:pPr>
      <w:r>
        <w:rPr>
          <w:rFonts w:hint="default" w:ascii="Times New Roman" w:hAnsi="Times New Roman" w:eastAsia="方正仿宋_GBK" w:cs="Times New Roman"/>
          <w:sz w:val="32"/>
          <w:szCs w:val="32"/>
          <w:shd w:val="clear" w:color="auto" w:fill="FFFFFF"/>
        </w:rPr>
        <w:t>2023年度</w:t>
      </w:r>
      <w:r>
        <w:rPr>
          <w:rFonts w:hint="default"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单位未发生政府采购事项，无相关经费支出。</w:t>
      </w:r>
    </w:p>
    <w:p>
      <w:pPr>
        <w:pStyle w:val="8"/>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黑体" w:cs="Times New Roman"/>
          <w:b w:val="0"/>
          <w:bCs/>
          <w:sz w:val="32"/>
          <w:szCs w:val="32"/>
          <w:shd w:val="clear" w:color="auto" w:fill="FFFFFF"/>
        </w:rPr>
      </w:pPr>
      <w:r>
        <w:rPr>
          <w:rStyle w:val="10"/>
          <w:rFonts w:hint="default" w:ascii="Times New Roman" w:hAnsi="Times New Roman" w:eastAsia="黑体" w:cs="Times New Roman"/>
          <w:b w:val="0"/>
          <w:bCs/>
          <w:sz w:val="32"/>
          <w:szCs w:val="32"/>
          <w:shd w:val="clear" w:color="auto" w:fill="FFFFFF"/>
        </w:rPr>
        <w:t>预算绩效管理情况说明</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仿宋_GBK" w:cs="Times New Roman"/>
          <w:sz w:val="32"/>
          <w:szCs w:val="32"/>
          <w:shd w:val="clear" w:color="auto" w:fill="FFFFFF"/>
          <w:lang w:val="en-US" w:eastAsia="zh-CN" w:bidi="ar-SA"/>
        </w:rPr>
      </w:pPr>
      <w:r>
        <w:rPr>
          <w:rFonts w:hint="default" w:ascii="Times New Roman" w:hAnsi="Times New Roman" w:eastAsia="方正仿宋_GBK" w:cs="Times New Roman"/>
          <w:sz w:val="32"/>
          <w:szCs w:val="32"/>
          <w:shd w:val="clear" w:color="auto" w:fill="FFFFFF"/>
          <w:lang w:val="en-US" w:eastAsia="zh-CN" w:bidi="ar-SA"/>
        </w:rPr>
        <w:t>本单位为委属代管单位，无项目预算及支出，未开展绩效自评。</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（二）单位绩效评价情况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lang w:eastAsia="zh-CN"/>
        </w:rPr>
        <w:t>本</w:t>
      </w:r>
      <w:r>
        <w:rPr>
          <w:rFonts w:hint="default" w:ascii="Times New Roman" w:hAnsi="Times New Roman" w:eastAsia="方正仿宋_GBK" w:cs="Times New Roman"/>
          <w:b w:val="0"/>
          <w:bCs w:val="0"/>
          <w:sz w:val="32"/>
          <w:szCs w:val="32"/>
          <w:shd w:val="clear" w:color="auto" w:fill="FFFFFF"/>
        </w:rPr>
        <w:t>单位</w:t>
      </w:r>
      <w:r>
        <w:rPr>
          <w:rFonts w:hint="default" w:ascii="Times New Roman" w:hAnsi="Times New Roman" w:eastAsia="方正仿宋_GBK" w:cs="Times New Roman"/>
          <w:b w:val="0"/>
          <w:bCs w:val="0"/>
          <w:sz w:val="32"/>
          <w:szCs w:val="32"/>
          <w:shd w:val="clear" w:color="auto" w:fill="FFFFFF"/>
          <w:lang w:eastAsia="zh-CN"/>
        </w:rPr>
        <w:t>未组织开展绩效评价。</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（三）财政绩效评价情况</w:t>
      </w:r>
    </w:p>
    <w:p>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lang w:eastAsia="zh-CN"/>
        </w:rPr>
        <w:t>县</w:t>
      </w:r>
      <w:r>
        <w:rPr>
          <w:rFonts w:hint="default" w:ascii="Times New Roman" w:hAnsi="Times New Roman" w:eastAsia="方正仿宋_GBK" w:cs="Times New Roman"/>
          <w:sz w:val="32"/>
          <w:szCs w:val="32"/>
          <w:shd w:val="clear" w:color="auto" w:fill="FFFFFF"/>
        </w:rPr>
        <w:t>财政局</w:t>
      </w:r>
      <w:r>
        <w:rPr>
          <w:rFonts w:hint="default" w:ascii="Times New Roman" w:hAnsi="Times New Roman" w:eastAsia="方正仿宋_GBK" w:cs="Times New Roman"/>
          <w:sz w:val="32"/>
          <w:szCs w:val="32"/>
          <w:shd w:val="clear" w:color="auto" w:fill="FFFFFF"/>
          <w:lang w:eastAsia="zh-CN"/>
        </w:rPr>
        <w:t>未</w:t>
      </w:r>
      <w:r>
        <w:rPr>
          <w:rFonts w:hint="default" w:ascii="Times New Roman" w:hAnsi="Times New Roman" w:eastAsia="方正仿宋_GBK" w:cs="Times New Roman"/>
          <w:sz w:val="32"/>
          <w:szCs w:val="32"/>
          <w:shd w:val="clear" w:color="auto" w:fill="FFFFFF"/>
        </w:rPr>
        <w:t>委托第三方对</w:t>
      </w:r>
      <w:r>
        <w:rPr>
          <w:rFonts w:hint="default" w:ascii="Times New Roman" w:hAnsi="Times New Roman" w:eastAsia="方正仿宋_GBK" w:cs="Times New Roman"/>
          <w:sz w:val="32"/>
          <w:szCs w:val="32"/>
          <w:shd w:val="clear" w:color="auto" w:fill="FFFFFF"/>
          <w:lang w:eastAsia="zh-CN"/>
        </w:rPr>
        <w:t>本</w:t>
      </w:r>
      <w:r>
        <w:rPr>
          <w:rFonts w:hint="default" w:ascii="Times New Roman" w:hAnsi="Times New Roman" w:eastAsia="方正仿宋_GBK" w:cs="Times New Roman"/>
          <w:sz w:val="32"/>
          <w:szCs w:val="32"/>
          <w:shd w:val="clear" w:color="auto" w:fill="FFFFFF"/>
        </w:rPr>
        <w:t>单位</w:t>
      </w:r>
      <w:r>
        <w:rPr>
          <w:rFonts w:hint="default" w:ascii="Times New Roman" w:hAnsi="Times New Roman" w:eastAsia="方正仿宋_GBK" w:cs="Times New Roman"/>
          <w:sz w:val="32"/>
          <w:szCs w:val="32"/>
          <w:shd w:val="clear" w:color="auto" w:fill="FFFFFF"/>
          <w:lang w:eastAsia="zh-CN"/>
        </w:rPr>
        <w:t>开展绩效评价。</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六、专业名词解释</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楷体_GBK" w:cs="Times New Roman"/>
          <w:b w:val="0"/>
          <w:bCs w:val="0"/>
          <w:sz w:val="32"/>
          <w:szCs w:val="32"/>
          <w:shd w:val="clear" w:color="auto" w:fill="FFFFFF"/>
        </w:rPr>
        <w:t>（一）财政拨款收入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（二）事业收入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（三）经营收入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（四）其他收入</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（五）使用非财政拨款结余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（六）年初结转和结余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（七）结余分配</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（八）年末结转和结余</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（九）基本支出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（十）项目支出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（十一）经营支出</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（十二）“三公”经费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（十三）机关运行经费</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（十四）工资福利支出（支出经济分类科目类级）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（十五）商品和服务支出（支出经济分类科目类级）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（十六）对个人和家庭的补助（支出经济分类科目类级）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Style w:val="10"/>
          <w:rFonts w:hint="default" w:ascii="Times New Roman" w:hAnsi="Times New Roman" w:eastAsia="方正楷体_GBK" w:cs="Times New Roman"/>
          <w:b w:val="0"/>
          <w:bCs w:val="0"/>
          <w:sz w:val="32"/>
          <w:szCs w:val="32"/>
          <w:shd w:val="clear" w:color="auto" w:fill="FFFFFF"/>
        </w:rPr>
        <w:t>（十七）其他资本性支出（支出经济分类科目类级）</w:t>
      </w:r>
      <w:r>
        <w:rPr>
          <w:rFonts w:hint="default" w:ascii="Times New Roman" w:hAnsi="Times New Roman" w:eastAsia="楷体"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Times New Roman" w:hAnsi="Times New Roman" w:eastAsia="方正黑体_GBK" w:cs="Times New Roman"/>
          <w:b w:val="0"/>
          <w:bCs/>
          <w:sz w:val="32"/>
          <w:szCs w:val="32"/>
          <w:shd w:val="clear" w:color="auto" w:fill="FFFFFF"/>
        </w:rPr>
      </w:pPr>
      <w:r>
        <w:rPr>
          <w:rStyle w:val="10"/>
          <w:rFonts w:hint="default" w:ascii="Times New Roman" w:hAnsi="Times New Roman" w:eastAsia="方正黑体_GBK" w:cs="Times New Roman"/>
          <w:b w:val="0"/>
          <w:bCs/>
          <w:sz w:val="32"/>
          <w:szCs w:val="32"/>
          <w:shd w:val="clear" w:color="auto" w:fill="FFFFFF"/>
        </w:rPr>
        <w:t>七、决算公开联系方式及信息反馈渠道</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sz w:val="32"/>
          <w:szCs w:val="32"/>
          <w:shd w:val="clear" w:color="auto" w:fill="FFFFFF"/>
          <w:lang w:val="en-US"/>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shd w:val="clear" w:color="auto" w:fill="FFFFFF"/>
          <w:lang w:eastAsia="zh-CN"/>
        </w:rPr>
        <w:t>龚盼</w:t>
      </w:r>
      <w:r>
        <w:rPr>
          <w:rFonts w:hint="default" w:ascii="Times New Roman" w:hAnsi="Times New Roman" w:eastAsia="方正仿宋_GBK" w:cs="Times New Roman"/>
          <w:sz w:val="32"/>
          <w:szCs w:val="32"/>
          <w:shd w:val="clear" w:color="auto" w:fill="FFFFFF"/>
          <w:lang w:val="en-US" w:eastAsia="zh-CN"/>
        </w:rPr>
        <w:t xml:space="preserve">  023-76662083</w:t>
      </w:r>
    </w:p>
    <w:p>
      <w:pPr>
        <w:rPr>
          <w:rFonts w:hint="default" w:ascii="Times New Roman" w:hAnsi="Times New Roman" w:cs="Times New Roman"/>
          <w:sz w:val="21"/>
          <w:szCs w:val="21"/>
        </w:rPr>
      </w:pPr>
    </w:p>
    <w:tbl>
      <w:tblPr>
        <w:tblStyle w:val="11"/>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sz w:val="20"/>
                <w:u w:color="auto"/>
              </w:rPr>
              <w:t>重庆市秀山土家族苗族自治县卫生健康信息中心</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71.75</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10.54</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56.37</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4.84</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ascii="Times New Roman" w:hAnsi="Times New Roman" w:cs="Times New Roman"/>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71.75</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71.75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71.75</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71.75</w:t>
            </w:r>
            <w:r>
              <w:rPr>
                <w:rFonts w:hint="default" w:ascii="Times New Roman" w:hAnsi="Times New Roman" w:cs="Times New Roman"/>
                <w:color w:val="000000"/>
                <w:sz w:val="20"/>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1"/>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sz w:val="20"/>
                <w:u w:color="auto"/>
              </w:rPr>
              <w:t>重庆市秀山土家族苗族自治县卫生健康信息中心</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71.75</w:t>
            </w: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71.75</w:t>
            </w: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7.03</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7.03</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3.51</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3.51</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56.37</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56.37</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53.26</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53.26</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53.26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53.26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3.11</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3.11</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3.11</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3.11</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4.84</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4.84</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ind w:left="600" w:hanging="600" w:hangingChars="300"/>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备注：1.本表反映单位本年度取得的各项收入情况。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0"/>
          <w:szCs w:val="20"/>
        </w:rPr>
      </w:pPr>
      <w:r>
        <w:rPr>
          <w:rFonts w:hint="default" w:ascii="Times New Roman" w:hAnsi="Times New Roman" w:cs="Times New Roman"/>
          <w:sz w:val="20"/>
          <w:szCs w:val="20"/>
        </w:rPr>
        <w:br w:type="page"/>
      </w:r>
    </w:p>
    <w:tbl>
      <w:tblPr>
        <w:tblStyle w:val="11"/>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 xml:space="preserve">重庆市秀山土家族苗族自治县卫生健康信息中心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71.75</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71.75</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7.03</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7.03</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3.51</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3.51</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56.37</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56.37</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53.26</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53.26</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53.26</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53.26</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3.11</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3.11</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3.11</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3.11</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4.84</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4.84</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备注：1.本表反映单位本年度各项支出情况。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p>
      <w:pPr>
        <w:rPr>
          <w:rFonts w:hint="default" w:ascii="Times New Roman" w:hAnsi="Times New Roman" w:cs="Times New Roman"/>
          <w:sz w:val="21"/>
          <w:szCs w:val="21"/>
        </w:rPr>
      </w:pPr>
    </w:p>
    <w:tbl>
      <w:tblPr>
        <w:tblStyle w:val="11"/>
        <w:tblW w:w="15378" w:type="dxa"/>
        <w:tblInd w:w="0" w:type="dxa"/>
        <w:tblLayout w:type="fixed"/>
        <w:tblCellMar>
          <w:top w:w="0" w:type="dxa"/>
          <w:left w:w="0" w:type="dxa"/>
          <w:bottom w:w="0" w:type="dxa"/>
          <w:right w:w="0" w:type="dxa"/>
        </w:tblCellMar>
      </w:tblPr>
      <w:tblGrid>
        <w:gridCol w:w="3110"/>
        <w:gridCol w:w="1593"/>
        <w:gridCol w:w="3330"/>
        <w:gridCol w:w="1"/>
        <w:gridCol w:w="1774"/>
        <w:gridCol w:w="1"/>
        <w:gridCol w:w="1774"/>
        <w:gridCol w:w="1774"/>
        <w:gridCol w:w="1"/>
        <w:gridCol w:w="2020"/>
      </w:tblGrid>
      <w:tr>
        <w:tblPrEx>
          <w:tblLayout w:type="fixed"/>
          <w:tblCellMar>
            <w:top w:w="0" w:type="dxa"/>
            <w:left w:w="0" w:type="dxa"/>
            <w:bottom w:w="0" w:type="dxa"/>
            <w:right w:w="0" w:type="dxa"/>
          </w:tblCellMar>
        </w:tblPrEx>
        <w:trPr>
          <w:trHeight w:val="90"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703"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重庆市秀山土家族苗族自治县卫生健康信息中心</w:t>
            </w:r>
          </w:p>
        </w:tc>
        <w:tc>
          <w:tcPr>
            <w:tcW w:w="333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2021" w:type="dxa"/>
            <w:gridSpan w:val="2"/>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703"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3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5"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4"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2021"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70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收     入</w:t>
            </w:r>
          </w:p>
        </w:tc>
        <w:tc>
          <w:tcPr>
            <w:tcW w:w="10675" w:type="dxa"/>
            <w:gridSpan w:val="8"/>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311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项目</w:t>
            </w:r>
          </w:p>
        </w:tc>
        <w:tc>
          <w:tcPr>
            <w:tcW w:w="159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c>
          <w:tcPr>
            <w:tcW w:w="3331"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功能分类科目</w:t>
            </w:r>
          </w:p>
        </w:tc>
        <w:tc>
          <w:tcPr>
            <w:tcW w:w="7344" w:type="dxa"/>
            <w:gridSpan w:val="6"/>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311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59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33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小计</w:t>
            </w:r>
          </w:p>
        </w:tc>
        <w:tc>
          <w:tcPr>
            <w:tcW w:w="1774"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一般公共预算财政拨款</w:t>
            </w:r>
          </w:p>
        </w:tc>
        <w:tc>
          <w:tcPr>
            <w:tcW w:w="177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政府性基金预算财政拨款</w:t>
            </w:r>
          </w:p>
        </w:tc>
        <w:tc>
          <w:tcPr>
            <w:tcW w:w="202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71.75</w:t>
            </w: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一、一般公共服务支出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二、政府性基金预算财政拨款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二、外交支出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三、国有资本经营预算财政拨款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三、国防支出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四、公共安全支出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五、教育支出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六、科学技术支出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七、文化旅游体育与传媒支出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八、社会保障和就业支出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10.54</w:t>
            </w: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10.54</w:t>
            </w: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九、卫生健康支出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56.37</w:t>
            </w: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56.37</w:t>
            </w: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十、节能环保支出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十一、城乡社区支出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十二、农林水支出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十三、交通运输支出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十四、资源勘探工业信息等支出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十五、商业服务业等支出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十六、金融支出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十七、援助其他地区支出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十八、自然资源海洋气象等支出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十九、住房保障支出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4.84</w:t>
            </w: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4.84</w:t>
            </w: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二十、粮油物资储备支出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二十一、国有资本经营预算支出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二十二、灾害防治及应急管理支出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二十三、其他支出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二十四、债务还本支出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二十五、债务付息支出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二十六、抗疫特别国债安排的支出</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本年收入合计</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71.75</w:t>
            </w: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本年支出合计</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71.75</w:t>
            </w: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71.75</w:t>
            </w: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年初财政拨款结转和结余</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年末财政拨款结转和结余</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一般公共预算财政拨款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政府性基金预算财政拨款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国有资本经营预算财政拨款</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11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71.75</w:t>
            </w:r>
            <w:r>
              <w:rPr>
                <w:rFonts w:hint="default" w:ascii="Times New Roman" w:hAnsi="Times New Roman" w:cs="Times New Roman"/>
                <w:color w:val="000000"/>
                <w:sz w:val="18"/>
                <w:u w:color="auto"/>
              </w:rPr>
              <w:t xml:space="preserve"> </w:t>
            </w:r>
          </w:p>
        </w:tc>
        <w:tc>
          <w:tcPr>
            <w:tcW w:w="333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71.75</w:t>
            </w:r>
            <w:r>
              <w:rPr>
                <w:rFonts w:hint="default" w:ascii="Times New Roman" w:hAnsi="Times New Roman" w:cs="Times New Roman"/>
                <w:color w:val="000000"/>
                <w:sz w:val="18"/>
                <w:u w:color="auto"/>
              </w:rPr>
              <w:t xml:space="preserve"> </w:t>
            </w:r>
          </w:p>
        </w:tc>
        <w:tc>
          <w:tcPr>
            <w:tcW w:w="17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71.75</w:t>
            </w:r>
            <w:r>
              <w:rPr>
                <w:rFonts w:hint="default" w:ascii="Times New Roman" w:hAnsi="Times New Roman" w:cs="Times New Roman"/>
                <w:color w:val="000000"/>
                <w:sz w:val="18"/>
                <w:u w:color="auto"/>
              </w:rPr>
              <w:t xml:space="preserve"> </w:t>
            </w:r>
          </w:p>
        </w:tc>
        <w:tc>
          <w:tcPr>
            <w:tcW w:w="1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1"/>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重庆市秀山土家族苗族自治县卫生健康信息中心</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71.75</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71.75</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10.54</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7.03</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7.03</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3.51</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3.51</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56.37</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56.37</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53.26</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53.26</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53.26</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53.26</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3.11</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3.11</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3.11</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3.11</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4.84</w:t>
            </w:r>
            <w:r>
              <w:rPr>
                <w:rFonts w:hint="default" w:ascii="Times New Roman" w:hAnsi="Times New Roman" w:cs="Times New Roman"/>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4.84</w:t>
            </w:r>
            <w:r>
              <w:rPr>
                <w:rFonts w:hint="default" w:ascii="Times New Roman" w:hAnsi="Times New Roman" w:cs="Times New Roman"/>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4.84</w:t>
            </w:r>
            <w:r>
              <w:rPr>
                <w:rFonts w:hint="default" w:ascii="Times New Roman" w:hAnsi="Times New Roman" w:cs="Times New Roman"/>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备注：1.本表反映单位本年度一般公共预算财政拨款支出情况。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ind w:firstLine="630" w:firstLineChars="300"/>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1"/>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重庆市秀山土家族苗族自治县卫生健康信息中心</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65.88</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5.87</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16.24</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0.12</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2.50</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0.41</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27.59</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0.24</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7.03</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0.82</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3.51</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2.13</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3.11</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0.09</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0.52</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4.84</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0.96</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0.13</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1.50</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65.88</w:t>
            </w:r>
            <w:r>
              <w:rPr>
                <w:rFonts w:hint="default" w:ascii="Times New Roman" w:hAnsi="Times New Roman" w:cs="Times New Roman"/>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5.87</w:t>
            </w:r>
            <w:r>
              <w:rPr>
                <w:rFonts w:hint="default" w:ascii="Times New Roman" w:hAnsi="Times New Roman" w:cs="Times New Roman"/>
                <w:color w:val="000000"/>
                <w:sz w:val="18"/>
                <w:u w:color="auto"/>
              </w:rPr>
              <w:t xml:space="preserve"> </w:t>
            </w:r>
          </w:p>
        </w:tc>
      </w:tr>
    </w:tbl>
    <w:p>
      <w:pPr>
        <w:spacing w:line="28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备注：1.本表反映单位本年度一般公共预算财政拨款基本支出明细情况。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1"/>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重庆市秀山土家族苗族自治县卫生健康信息中心</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备注：本表反映单位本年度政府性基金预算财政拨款收入支出及结转和结余情况。本单位无政府性基金收支，故本表无数据。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1"/>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重庆市秀山土家族苗族自治县卫生健康信息中心</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cs="Times New Roman"/>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备注：本表反映单位本年度国有资本经营预算财政拨款支出情况。本单位无国有资本经营收支，故本表无数据。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1"/>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ascii="Times New Roman" w:hAnsi="Times New Roman" w:cs="Times New Roman"/>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重庆市秀山土家族苗族自治县卫生健康信息中心</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ascii="Times New Roman" w:hAnsi="Times New Roman" w:cs="Times New Roman"/>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0.13</w:t>
            </w:r>
            <w:r>
              <w:rPr>
                <w:rFonts w:hint="default" w:ascii="Times New Roman" w:hAnsi="Times New Roman"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0.13</w:t>
            </w: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0.13</w:t>
            </w:r>
            <w:r>
              <w:rPr>
                <w:rFonts w:hint="default" w:ascii="Times New Roman" w:hAnsi="Times New Roman" w:cs="Times New Roman"/>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0.13</w:t>
            </w: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0.13</w:t>
            </w: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w:t>
            </w: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w:t>
            </w: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5"/>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339A02"/>
    <w:multiLevelType w:val="singleLevel"/>
    <w:tmpl w:val="C5339A02"/>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2B254B"/>
    <w:rsid w:val="00550ABE"/>
    <w:rsid w:val="005F373C"/>
    <w:rsid w:val="00770383"/>
    <w:rsid w:val="007819D4"/>
    <w:rsid w:val="007B419D"/>
    <w:rsid w:val="009B67B8"/>
    <w:rsid w:val="009D2B67"/>
    <w:rsid w:val="00B03CCD"/>
    <w:rsid w:val="00C20C3E"/>
    <w:rsid w:val="00F73F9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50CE8"/>
    <w:rsid w:val="11ED0F98"/>
    <w:rsid w:val="11F03528"/>
    <w:rsid w:val="12C921C4"/>
    <w:rsid w:val="13871C70"/>
    <w:rsid w:val="13A71CB4"/>
    <w:rsid w:val="13AF1D43"/>
    <w:rsid w:val="13CE1647"/>
    <w:rsid w:val="13FD55AB"/>
    <w:rsid w:val="14200702"/>
    <w:rsid w:val="14F44540"/>
    <w:rsid w:val="163A6CEE"/>
    <w:rsid w:val="173708E3"/>
    <w:rsid w:val="17C374FC"/>
    <w:rsid w:val="182E4AB6"/>
    <w:rsid w:val="189079DC"/>
    <w:rsid w:val="189B0D0B"/>
    <w:rsid w:val="18B43F7C"/>
    <w:rsid w:val="194A1770"/>
    <w:rsid w:val="19B906A4"/>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1A72D7"/>
    <w:rsid w:val="26396DF4"/>
    <w:rsid w:val="27167136"/>
    <w:rsid w:val="271B442C"/>
    <w:rsid w:val="27B23302"/>
    <w:rsid w:val="29310A5F"/>
    <w:rsid w:val="29C37A35"/>
    <w:rsid w:val="2A076083"/>
    <w:rsid w:val="2A73162E"/>
    <w:rsid w:val="2B167953"/>
    <w:rsid w:val="2B200583"/>
    <w:rsid w:val="2B8209DE"/>
    <w:rsid w:val="2C636760"/>
    <w:rsid w:val="2C6762A3"/>
    <w:rsid w:val="2FCA4B37"/>
    <w:rsid w:val="2FE029D7"/>
    <w:rsid w:val="2FF06E00"/>
    <w:rsid w:val="30586FEC"/>
    <w:rsid w:val="315F0B22"/>
    <w:rsid w:val="31D84415"/>
    <w:rsid w:val="32285F6F"/>
    <w:rsid w:val="32770556"/>
    <w:rsid w:val="329C0913"/>
    <w:rsid w:val="32AA0460"/>
    <w:rsid w:val="3337290D"/>
    <w:rsid w:val="335A4377"/>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192E08"/>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CB699A"/>
    <w:rsid w:val="465B470D"/>
    <w:rsid w:val="469D6AD4"/>
    <w:rsid w:val="471E6C84"/>
    <w:rsid w:val="4748792B"/>
    <w:rsid w:val="475D719D"/>
    <w:rsid w:val="47674801"/>
    <w:rsid w:val="48225EF7"/>
    <w:rsid w:val="488F422B"/>
    <w:rsid w:val="48E36915"/>
    <w:rsid w:val="48EB6572"/>
    <w:rsid w:val="495C4A24"/>
    <w:rsid w:val="497135DF"/>
    <w:rsid w:val="4A263DF2"/>
    <w:rsid w:val="4A6F6675"/>
    <w:rsid w:val="4B135857"/>
    <w:rsid w:val="4B7951CB"/>
    <w:rsid w:val="4B7C315C"/>
    <w:rsid w:val="4DAA5A44"/>
    <w:rsid w:val="4DAC4ACA"/>
    <w:rsid w:val="4DBE01D2"/>
    <w:rsid w:val="4F0C6BA3"/>
    <w:rsid w:val="4F186D58"/>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6530F5D"/>
    <w:rsid w:val="567700D3"/>
    <w:rsid w:val="56FF7E9E"/>
    <w:rsid w:val="578867FC"/>
    <w:rsid w:val="5842572D"/>
    <w:rsid w:val="5A3B59D6"/>
    <w:rsid w:val="5AD134D8"/>
    <w:rsid w:val="5C263CE4"/>
    <w:rsid w:val="5C5D2777"/>
    <w:rsid w:val="5CF66BF3"/>
    <w:rsid w:val="5D290C69"/>
    <w:rsid w:val="5F2D4A41"/>
    <w:rsid w:val="60C74F6C"/>
    <w:rsid w:val="61025A59"/>
    <w:rsid w:val="613D5BBC"/>
    <w:rsid w:val="61536C39"/>
    <w:rsid w:val="6191238E"/>
    <w:rsid w:val="61CF5156"/>
    <w:rsid w:val="62944DD7"/>
    <w:rsid w:val="6319381F"/>
    <w:rsid w:val="63C25DC5"/>
    <w:rsid w:val="63C62057"/>
    <w:rsid w:val="64571EF5"/>
    <w:rsid w:val="64FB113D"/>
    <w:rsid w:val="650D2A24"/>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CE039E1"/>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7FC0F29"/>
    <w:rsid w:val="781926BC"/>
    <w:rsid w:val="796D60A4"/>
    <w:rsid w:val="79A031D5"/>
    <w:rsid w:val="7A1525F7"/>
    <w:rsid w:val="7B420052"/>
    <w:rsid w:val="7BD06A28"/>
    <w:rsid w:val="7C3A7C0B"/>
    <w:rsid w:val="7C5248E4"/>
    <w:rsid w:val="7C566698"/>
    <w:rsid w:val="7C5866A3"/>
    <w:rsid w:val="7CA9110D"/>
    <w:rsid w:val="7D7406BB"/>
    <w:rsid w:val="7DE94331"/>
    <w:rsid w:val="7E141957"/>
    <w:rsid w:val="7F446A19"/>
    <w:rsid w:val="7F544A56"/>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9">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character" w:styleId="10">
    <w:name w:val="Strong"/>
    <w:qFormat/>
    <w:uiPriority w:val="0"/>
    <w:rPr>
      <w:b/>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9"/>
    <w:link w:val="4"/>
    <w:qFormat/>
    <w:uiPriority w:val="0"/>
    <w:rPr>
      <w:rFonts w:ascii="宋体" w:hAnsi="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4004</Words>
  <Characters>22825</Characters>
  <Lines>190</Lines>
  <Paragraphs>53</Paragraphs>
  <TotalTime>5</TotalTime>
  <ScaleCrop>false</ScaleCrop>
  <LinksUpToDate>false</LinksUpToDate>
  <CharactersWithSpaces>26776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2024-10-09T08:10:44Z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