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jc w:val="center"/>
        <w:rPr>
          <w:rFonts w:hint="default" w:ascii="Times New Roman" w:hAnsi="Times New Roman" w:eastAsia="方正小标宋_GBK" w:cs="Times New Roman"/>
          <w:sz w:val="36"/>
          <w:szCs w:val="36"/>
          <w:shd w:val="clear" w:color="auto" w:fill="FFFFFF"/>
        </w:rPr>
      </w:pPr>
      <w:r>
        <w:rPr>
          <w:rFonts w:hint="default" w:ascii="Times New Roman" w:hAnsi="Times New Roman" w:eastAsia="方正小标宋_GBK" w:cs="Times New Roman"/>
          <w:sz w:val="36"/>
          <w:szCs w:val="36"/>
        </w:rPr>
        <w:t>重庆市秀山土家族苗族自治县卫生健康委员会（本级）</w:t>
      </w:r>
      <w:r>
        <w:rPr>
          <w:rFonts w:hint="default" w:ascii="Times New Roman" w:hAnsi="Times New Roman" w:eastAsia="方正小标宋_GBK" w:cs="Times New Roman"/>
          <w:sz w:val="36"/>
          <w:szCs w:val="36"/>
          <w:shd w:val="clear" w:color="auto" w:fill="FFFFFF"/>
        </w:rPr>
        <w:t>2023年度决算</w:t>
      </w:r>
      <w:r>
        <w:rPr>
          <w:rFonts w:hint="default" w:ascii="Times New Roman" w:hAnsi="Times New Roman" w:eastAsia="方正小标宋_GBK" w:cs="Times New Roman"/>
          <w:sz w:val="36"/>
          <w:szCs w:val="36"/>
          <w:shd w:val="clear" w:color="auto" w:fill="FFFFFF"/>
          <w:lang w:eastAsia="zh-CN"/>
        </w:rPr>
        <w:t>公开</w:t>
      </w:r>
      <w:r>
        <w:rPr>
          <w:rFonts w:hint="default" w:ascii="Times New Roman" w:hAnsi="Times New Roman" w:eastAsia="方正小标宋_GBK" w:cs="Times New Roman"/>
          <w:sz w:val="36"/>
          <w:szCs w:val="36"/>
          <w:shd w:val="clear" w:color="auto" w:fill="FFFFFF"/>
        </w:rPr>
        <w:t>说明</w:t>
      </w:r>
    </w:p>
    <w:p>
      <w:pPr>
        <w:pStyle w:val="9"/>
        <w:spacing w:before="0" w:beforeAutospacing="0"/>
        <w:jc w:val="center"/>
        <w:rPr>
          <w:rFonts w:hint="default" w:ascii="Times New Roman" w:hAnsi="Times New Roman" w:eastAsia="方正小标宋_GBK" w:cs="Times New Roman"/>
          <w:sz w:val="36"/>
          <w:szCs w:val="36"/>
          <w:shd w:val="clear" w:color="auto" w:fill="FFFFFF"/>
        </w:rPr>
      </w:pP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方正黑体_GBK" w:cs="Times New Roman"/>
          <w:b w:val="0"/>
          <w:bCs/>
          <w:sz w:val="32"/>
          <w:szCs w:val="32"/>
        </w:rPr>
      </w:pPr>
      <w:r>
        <w:rPr>
          <w:rStyle w:val="11"/>
          <w:rFonts w:hint="default" w:ascii="Times New Roman" w:hAnsi="Times New Roman" w:eastAsia="方正黑体_GBK" w:cs="Times New Roman"/>
          <w:b w:val="0"/>
          <w:bCs/>
          <w:sz w:val="32"/>
          <w:szCs w:val="32"/>
          <w:shd w:val="clear" w:color="auto" w:fill="FFFFFF"/>
        </w:rPr>
        <w:t>一、单位基本情况</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楷体_GBK" w:cs="Times New Roman"/>
          <w:b w:val="0"/>
          <w:bCs/>
          <w:sz w:val="32"/>
          <w:szCs w:val="32"/>
          <w:shd w:val="clear" w:color="auto" w:fill="FFFFFF"/>
        </w:rPr>
      </w:pPr>
      <w:r>
        <w:rPr>
          <w:rStyle w:val="11"/>
          <w:rFonts w:hint="default" w:ascii="Times New Roman" w:hAnsi="Times New Roman" w:eastAsia="方正楷体_GBK" w:cs="Times New Roman"/>
          <w:b w:val="0"/>
          <w:bCs/>
          <w:sz w:val="32"/>
          <w:szCs w:val="32"/>
          <w:shd w:val="clear" w:color="auto" w:fill="FFFFFF"/>
        </w:rPr>
        <w:t>（一）职能职责</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根据《关于印发&lt;秀山土家族苗族自治县卫生健康委员会职能配置、内设机构和人员编制规定&gt;的通知》（秀山委办发〔2019〕23号）文件精神，秀山土家族苗族自治县卫生健康委员会是县政府工作部门，主要职责是：</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贯彻执行卫生健康工作的法律、法规和方针政策；拟订全县卫生健康及促进中医药事业发展的规划；落实卫生健康工作地方标准和技术规范；负责协调推进全县医药卫生体制改革和医疗保障，统筹规划全县卫生健康资源配置，编制和实施区域卫生规划。</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2.负责疾病预防控制工作，协调有关部门对重大疾病实施防控与干预，组织实施免疫规划工作。根据国家检疫传染和监测传染病目录，制定卫生应急和紧急医学救援预案、突发公共卫生事件监测和风险评估计划；组织和指导全县突发公共卫生事件预防控制和各类突发公共事件的医疗卫生救援，收集上报突发公共事件的相关信息，根据授权发布法定报告传染病疫情信息、突发公共卫生事件应急处置信息。</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3.依法开展职责范围内的职业卫生、放射卫生、环境卫生、学校卫生、公共场所卫生、饮用水卫生的相关监测、调查、评估和监督；负责传染病防治监督；组织实施食品安全风险监测、评估；执行食品安全标准，负责食源性疾病及与食品安全有关的流行病学调查。</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4.负责组织拟订并实施基层卫生健康、妇幼卫生发展规划和工作措施，负责全县基层卫生、妇幼健康服务体系和全科医生队伍建设，推进基本公共卫生健康服务均等化，完善基层运行新机制和乡村医生管理制度。</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5.负责医疗机构和医疗服务的行业准入管理并监督实施；监督实施医疗机构及其医疗服务、医疗技术、医疗质量、医疗安全的规范、标准；会同有关部门贯彻执行国家卫生健康专业技术人员准入、资格标准，制定和实施卫生健康专业技术人员执业规则和服务规范，建立医疗服务评价和监督管理体系；协调医疗投诉、纠纷的处置。</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6.负责组织实施公立医院综合改革，推进管办分离，健全现代医院管理制度，建立公益性为导向的绩效考核和评价机制，建设和谐医患关系，监督落实医疗服务和药品价格政策。</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7.贯彻落实国家药物政策和基本药物制度，执行国家基</w:t>
      </w:r>
      <w:r>
        <w:rPr>
          <w:rFonts w:hint="default" w:ascii="Times New Roman" w:hAnsi="Times New Roman" w:eastAsia="方正仿宋_GBK" w:cs="Times New Roman"/>
          <w:spacing w:val="-12"/>
          <w:kern w:val="0"/>
          <w:sz w:val="32"/>
          <w:szCs w:val="32"/>
        </w:rPr>
        <w:t>本药物目录，开展药品使用监测、临床综合评价和短缺药品预警。</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8.贯彻执行计划生育政策，组织实施全县出生人口性别比综合治理工作，组织监测计划生育发展动态，提出计划生育安全预警预报建议；负责计划生育技术服务管理和服务工作；组织实施优生优育和提高出生人口素质的政策，推动实施计划生育生殖健康促进计划，降低出生缺陷人口数量。</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9.组织建立完善全县计划生育利益导向、计划生育特殊困难家庭扶助和促进计划生育家庭发展等机制；负责协调推进有关部门、群众团体履行计划生育工作相关职责，建立与经济社会发展政策的衔接机制，落实计划生育政策。</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10.制定全县流动人口计划生育服务管理制度并组织落实，推动建立流动人口卫生健康信息共享和公共服务工作机制。</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11.组织拟订全县卫生健康人才发展规划，负责卫生健康人才队伍建设，推进卫生健康科技创新发展，承担健康扶贫工程相关工作。加强全科医生等急需紧缺专业人才培养，贯彻落实国家住院医师和专科医师规范化培训制度。</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12.组织拟订全县卫生健康科技发展规划，组织实施卫生和健康相关科研项目；参与制定医学教育发展规划，组织指导实施毕业后医学教育和继续医学教育。</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13.指导全县卫生健康工作，完善综合监督执法体系，规范执法行为，监督检查法律法规和政策措施的落实，组织查处违法行为；组织实施全县卫生健康目标管理责任制考核工作。</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14.负责全县卫生健康宣传、健康教育、健康促进和信息化建设等工作，依法组织实施统计调查，参与全县人口基础信息库建设；组织卫生健康工作的对外交流与合作，协助实施有关</w:t>
      </w:r>
      <w:r>
        <w:rPr>
          <w:rFonts w:hint="default" w:ascii="Times New Roman" w:hAnsi="Times New Roman" w:eastAsia="方正仿宋_GBK" w:cs="Times New Roman"/>
          <w:spacing w:val="-12"/>
          <w:kern w:val="0"/>
          <w:sz w:val="32"/>
          <w:szCs w:val="32"/>
        </w:rPr>
        <w:t>国际援助项目；联系社会团体工作。负责组织实施国家职业卫生、</w:t>
      </w:r>
      <w:r>
        <w:rPr>
          <w:rFonts w:hint="default" w:ascii="Times New Roman" w:hAnsi="Times New Roman" w:eastAsia="方正仿宋_GBK" w:cs="Times New Roman"/>
          <w:kern w:val="0"/>
          <w:sz w:val="32"/>
          <w:szCs w:val="32"/>
        </w:rPr>
        <w:t>放射卫生相关政策、标准；开展重点职业病监测、专项调查、职业健康风险评估和职业人群健康管理工作；协调开展职业病防治工作。</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15.拟订全县中医中长期发展规划，并将其纳入全县卫生健康事业发展总体规划和战略目标。参与制定中医药扶持政策、中药产业发展规划以及重大中医药项目的规划和实施；开展中医药文化的继承发展，促进传统中医药和民间中医诊疗技术的保护与利用。</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16.负责县级保健对象的医疗保健管理工作；负责在县内召开的国际性、国家、市和县重要会议、重大活动的医疗卫生保障工作；承担县委、县政府委托或指定的有关保健医疗方面的工作任务及相关事项。</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17.承担县爱国卫生运动委员会、县老龄工作委员会、县深化医药卫生体制改革工作领导小组的日常工作。</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18.代管秀山土家族苗族自治县红十字会、秀山土家族苗族自治县计划生育协会机关。</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19.保留秀山土家族苗族自治县爱国卫生运动委员会办公室。</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20.完成县委、县政府和上级部门交办的其他事项。</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21.职能转变。县卫生健康委员会应当牢固树立大卫生、大健康理念，推动实施健康中国战略重庆实践，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u w:val="none"/>
          <w:lang w:val="en-US" w:eastAsia="zh-CN"/>
        </w:rPr>
      </w:pPr>
      <w:r>
        <w:rPr>
          <w:rFonts w:hint="default" w:ascii="Times New Roman" w:hAnsi="Times New Roman" w:eastAsia="方正仿宋_GBK" w:cs="Times New Roman"/>
          <w:kern w:val="0"/>
          <w:sz w:val="32"/>
          <w:szCs w:val="32"/>
        </w:rPr>
        <w:t>22.与有关部门的职责分工。县卫生健康委员会要建立与县发展和改革委员会、县民政局、县市场监督管理局、县医疗保障局、县应急管理局等部门的沟通协商机制，加强制度、政策衔接，协同推进改革。</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cs="Times New Roman"/>
          <w:b w:val="0"/>
          <w:bCs/>
          <w:sz w:val="32"/>
          <w:szCs w:val="32"/>
          <w:shd w:val="clear" w:color="auto" w:fill="FFFFFF"/>
        </w:rPr>
      </w:pPr>
      <w:r>
        <w:rPr>
          <w:rStyle w:val="11"/>
          <w:rFonts w:hint="default" w:ascii="Times New Roman" w:hAnsi="Times New Roman" w:eastAsia="方正楷体_GBK" w:cs="Times New Roman"/>
          <w:b w:val="0"/>
          <w:bCs/>
          <w:sz w:val="32"/>
          <w:szCs w:val="32"/>
          <w:shd w:val="clear" w:color="auto" w:fill="FFFFFF"/>
        </w:rPr>
        <w:t>（二）机构设置</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2023年度委机关共设置科室9个，分别是办公室、人事科、规划财务科、监督审计科（挂行政审批科）、医政和药政科、公共卫生科（挂职业健康科）、</w:t>
      </w:r>
      <w:r>
        <w:rPr>
          <w:rFonts w:hint="default" w:ascii="Times New Roman" w:hAnsi="Times New Roman" w:eastAsia="方正仿宋_GBK" w:cs="Times New Roman"/>
          <w:kern w:val="0"/>
          <w:sz w:val="32"/>
          <w:szCs w:val="32"/>
        </w:rPr>
        <w:t>人口监测与家庭发展科（挂老龄健康科）</w:t>
      </w:r>
      <w:r>
        <w:rPr>
          <w:rFonts w:hint="default" w:ascii="Times New Roman" w:hAnsi="Times New Roman" w:eastAsia="方正仿宋_GBK" w:cs="Times New Roman"/>
          <w:sz w:val="32"/>
          <w:szCs w:val="32"/>
          <w:lang w:val="en-US" w:eastAsia="zh-CN"/>
        </w:rPr>
        <w:t>、宣传教育科、党办。</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二、单位决算情况说明</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（一）收入支出决算总体情况说明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Style w:val="11"/>
          <w:rFonts w:hint="default" w:ascii="Times New Roman" w:hAnsi="Times New Roman" w:eastAsia="方正仿宋_GBK" w:cs="Times New Roman"/>
          <w:sz w:val="32"/>
          <w:szCs w:val="32"/>
          <w:shd w:val="clear" w:color="auto" w:fill="FFFFFF"/>
        </w:rPr>
        <w:t>1.总体情况。</w:t>
      </w:r>
      <w:r>
        <w:rPr>
          <w:rFonts w:hint="default" w:ascii="Times New Roman" w:hAnsi="Times New Roman" w:eastAsia="方正仿宋_GBK" w:cs="Times New Roman"/>
          <w:sz w:val="32"/>
          <w:szCs w:val="32"/>
          <w:shd w:val="clear" w:color="auto" w:fill="FFFFFF"/>
        </w:rPr>
        <w:t>2023年度收入总计7445.24万元，支出总计</w:t>
      </w:r>
      <w:r>
        <w:rPr>
          <w:rFonts w:hint="default" w:ascii="Times New Roman" w:hAnsi="Times New Roman" w:eastAsia="方正仿宋_GBK" w:cs="Times New Roman"/>
          <w:sz w:val="32"/>
          <w:szCs w:val="32"/>
        </w:rPr>
        <w:t>7445.24</w:t>
      </w:r>
      <w:r>
        <w:rPr>
          <w:rFonts w:hint="default" w:ascii="Times New Roman" w:hAnsi="Times New Roman" w:eastAsia="方正仿宋_GBK" w:cs="Times New Roman"/>
          <w:sz w:val="32"/>
          <w:szCs w:val="32"/>
          <w:shd w:val="clear" w:color="auto" w:fill="FFFFFF"/>
        </w:rPr>
        <w:t>万元。收支较上年决算数增加1642.75万元，增长28.31%，主要原因</w:t>
      </w:r>
      <w:r>
        <w:rPr>
          <w:rFonts w:hint="default" w:ascii="Times New Roman" w:hAnsi="Times New Roman" w:eastAsia="方正仿宋_GBK" w:cs="Times New Roman"/>
          <w:sz w:val="32"/>
          <w:szCs w:val="32"/>
          <w:shd w:val="clear" w:color="auto" w:fill="FFFFFF"/>
          <w:lang w:eastAsia="zh-CN"/>
        </w:rPr>
        <w:t>是年初结转结余资金</w:t>
      </w:r>
      <w:r>
        <w:rPr>
          <w:rFonts w:hint="default" w:ascii="Times New Roman" w:hAnsi="Times New Roman" w:eastAsia="方正仿宋_GBK" w:cs="Times New Roman"/>
          <w:sz w:val="32"/>
          <w:szCs w:val="32"/>
          <w:shd w:val="clear" w:color="auto" w:fill="FFFFFF"/>
          <w:lang w:val="en-US" w:eastAsia="zh-CN"/>
        </w:rPr>
        <w:t>3016.45万元在2023年度支出，其中上年年初结转结余资金118.08万元，本年调增结转结余资金2898.37万元，包含其他卫生健康管理事务支出、基本公共卫生服务支出、突发公共卫生事件应急处理等项目，同时</w:t>
      </w:r>
      <w:r>
        <w:rPr>
          <w:rFonts w:hint="default" w:ascii="Times New Roman" w:hAnsi="Times New Roman" w:eastAsia="方正仿宋_GBK" w:cs="Times New Roman"/>
          <w:sz w:val="32"/>
          <w:szCs w:val="32"/>
          <w:shd w:val="clear" w:color="auto" w:fill="FFFFFF"/>
          <w:lang w:eastAsia="zh-CN"/>
        </w:rPr>
        <w:t>一般公共预算财政拨款收入较</w:t>
      </w:r>
      <w:r>
        <w:rPr>
          <w:rFonts w:hint="default" w:ascii="Times New Roman" w:hAnsi="Times New Roman" w:eastAsia="方正仿宋_GBK" w:cs="Times New Roman"/>
          <w:sz w:val="32"/>
          <w:szCs w:val="32"/>
          <w:shd w:val="clear" w:color="auto" w:fill="FFFFFF"/>
          <w:lang w:val="en-US" w:eastAsia="zh-CN"/>
        </w:rPr>
        <w:t>上年</w:t>
      </w:r>
      <w:r>
        <w:rPr>
          <w:rFonts w:hint="default" w:ascii="Times New Roman" w:hAnsi="Times New Roman" w:eastAsia="方正仿宋_GBK" w:cs="Times New Roman"/>
          <w:sz w:val="32"/>
          <w:szCs w:val="32"/>
          <w:shd w:val="clear" w:color="auto" w:fill="FFFFFF"/>
          <w:lang w:eastAsia="zh-CN"/>
        </w:rPr>
        <w:t>减少</w:t>
      </w:r>
      <w:r>
        <w:rPr>
          <w:rFonts w:hint="default" w:ascii="Times New Roman" w:hAnsi="Times New Roman" w:eastAsia="方正仿宋_GBK" w:cs="Times New Roman"/>
          <w:sz w:val="32"/>
          <w:szCs w:val="32"/>
          <w:shd w:val="clear" w:color="auto" w:fill="FFFFFF"/>
          <w:lang w:val="en-US" w:eastAsia="zh-CN"/>
        </w:rPr>
        <w:t>1255.62万元。</w:t>
      </w:r>
    </w:p>
    <w:p>
      <w:pPr>
        <w:pStyle w:val="9"/>
        <w:keepNext w:val="0"/>
        <w:keepLines w:val="0"/>
        <w:pageBreakBefore w:val="0"/>
        <w:widowControl/>
        <w:shd w:val="clear" w:color="auto" w:fill="FFFFFF"/>
        <w:kinsoku/>
        <w:wordWrap/>
        <w:overflowPunct/>
        <w:topLinePunct w:val="0"/>
        <w:autoSpaceDE/>
        <w:autoSpaceDN/>
        <w:bidi w:val="0"/>
        <w:adjustRightInd/>
        <w:spacing w:beforeAutospacing="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11"/>
          <w:rFonts w:hint="default" w:ascii="Times New Roman" w:hAnsi="Times New Roman" w:eastAsia="方正仿宋_GBK" w:cs="Times New Roman"/>
          <w:sz w:val="32"/>
          <w:szCs w:val="32"/>
          <w:shd w:val="clear" w:color="auto" w:fill="FFFFFF"/>
        </w:rPr>
        <w:t>2.收入情况。</w:t>
      </w:r>
      <w:r>
        <w:rPr>
          <w:rFonts w:hint="default" w:ascii="Times New Roman" w:hAnsi="Times New Roman" w:eastAsia="方正仿宋_GBK" w:cs="Times New Roman"/>
          <w:sz w:val="32"/>
          <w:szCs w:val="32"/>
          <w:shd w:val="clear" w:color="auto" w:fill="FFFFFF"/>
        </w:rPr>
        <w:t>2023年度收入合计4428.79万元，较上年决算数减少1255.62万元，下降22.09%，主要原因是</w:t>
      </w:r>
      <w:r>
        <w:rPr>
          <w:rFonts w:hint="default" w:ascii="Times New Roman" w:hAnsi="Times New Roman" w:eastAsia="方正仿宋_GBK" w:cs="Times New Roman"/>
          <w:color w:val="auto"/>
          <w:sz w:val="32"/>
          <w:szCs w:val="32"/>
          <w:shd w:val="clear" w:color="auto" w:fill="FFFFFF"/>
          <w:lang w:eastAsia="zh-CN"/>
        </w:rPr>
        <w:t>财政拨款收入减少，本级将部分财政拨款收入调剂至各下属单位进行核算。</w:t>
      </w:r>
      <w:r>
        <w:rPr>
          <w:rFonts w:hint="default" w:ascii="Times New Roman" w:hAnsi="Times New Roman" w:eastAsia="方正仿宋_GBK" w:cs="Times New Roman"/>
          <w:sz w:val="32"/>
          <w:szCs w:val="32"/>
          <w:shd w:val="clear" w:color="auto" w:fill="FFFFFF"/>
        </w:rPr>
        <w:t>其中：财政拨款收入</w:t>
      </w:r>
      <w:r>
        <w:rPr>
          <w:rFonts w:hint="default" w:ascii="Times New Roman" w:hAnsi="Times New Roman" w:eastAsia="方正仿宋_GBK" w:cs="Times New Roman"/>
          <w:sz w:val="32"/>
          <w:szCs w:val="32"/>
        </w:rPr>
        <w:t>4428.79</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100.00</w:t>
      </w:r>
      <w:r>
        <w:rPr>
          <w:rFonts w:hint="default" w:ascii="Times New Roman" w:hAnsi="Times New Roman" w:eastAsia="方正仿宋_GBK" w:cs="Times New Roman"/>
          <w:sz w:val="32"/>
          <w:szCs w:val="32"/>
          <w:shd w:val="clear" w:color="auto" w:fill="FFFFFF"/>
        </w:rPr>
        <w:t>%；事业收入</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万元，占0.00%；经营收入</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万元，占0.00%；其他收入</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万元，占0.00%。此外，使用非财政拨款结余和专用结余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万元，年初结转和结余</w:t>
      </w:r>
      <w:r>
        <w:rPr>
          <w:rFonts w:hint="default" w:ascii="Times New Roman" w:hAnsi="Times New Roman" w:eastAsia="方正仿宋_GBK" w:cs="Times New Roman"/>
          <w:sz w:val="32"/>
          <w:szCs w:val="32"/>
        </w:rPr>
        <w:t>3016.45</w:t>
      </w:r>
      <w:r>
        <w:rPr>
          <w:rFonts w:hint="default" w:ascii="Times New Roman" w:hAnsi="Times New Roman" w:eastAsia="方正仿宋_GBK" w:cs="Times New Roman"/>
          <w:sz w:val="32"/>
          <w:szCs w:val="32"/>
          <w:shd w:val="clear" w:color="auto" w:fill="FFFFFF"/>
        </w:rPr>
        <w:t>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11"/>
          <w:rFonts w:hint="default" w:ascii="Times New Roman" w:hAnsi="Times New Roman" w:eastAsia="方正仿宋_GBK" w:cs="Times New Roman"/>
          <w:sz w:val="32"/>
          <w:szCs w:val="32"/>
          <w:shd w:val="clear" w:color="auto" w:fill="FFFFFF"/>
        </w:rPr>
        <w:t>3.支出情况。</w:t>
      </w:r>
      <w:r>
        <w:rPr>
          <w:rFonts w:hint="default" w:ascii="Times New Roman" w:hAnsi="Times New Roman" w:eastAsia="方正仿宋_GBK" w:cs="Times New Roman"/>
          <w:sz w:val="32"/>
          <w:szCs w:val="32"/>
          <w:shd w:val="clear" w:color="auto" w:fill="FFFFFF"/>
        </w:rPr>
        <w:t>2023年度支出合计</w:t>
      </w:r>
      <w:r>
        <w:rPr>
          <w:rFonts w:hint="default" w:ascii="Times New Roman" w:hAnsi="Times New Roman" w:eastAsia="方正仿宋_GBK" w:cs="Times New Roman"/>
          <w:sz w:val="32"/>
          <w:szCs w:val="32"/>
        </w:rPr>
        <w:t>7443.55</w:t>
      </w:r>
      <w:r>
        <w:rPr>
          <w:rFonts w:hint="default" w:ascii="Times New Roman" w:hAnsi="Times New Roman" w:eastAsia="方正仿宋_GBK" w:cs="Times New Roman"/>
          <w:sz w:val="32"/>
          <w:szCs w:val="32"/>
          <w:shd w:val="clear" w:color="auto" w:fill="FFFFFF"/>
        </w:rPr>
        <w:t>万元，较上年决算数增加4653.22万元，增长166.76%，主要原因是</w:t>
      </w:r>
      <w:r>
        <w:rPr>
          <w:rFonts w:hint="default" w:ascii="Times New Roman" w:hAnsi="Times New Roman" w:eastAsia="方正仿宋_GBK" w:cs="Times New Roman"/>
          <w:sz w:val="32"/>
          <w:szCs w:val="32"/>
          <w:shd w:val="clear" w:color="auto" w:fill="FFFFFF"/>
          <w:lang w:eastAsia="zh-CN"/>
        </w:rPr>
        <w:t>基本支出较上年增加</w:t>
      </w:r>
      <w:r>
        <w:rPr>
          <w:rFonts w:hint="default" w:ascii="Times New Roman" w:hAnsi="Times New Roman" w:eastAsia="方正仿宋_GBK" w:cs="Times New Roman"/>
          <w:sz w:val="32"/>
          <w:szCs w:val="32"/>
          <w:shd w:val="clear" w:color="auto" w:fill="FFFFFF"/>
          <w:lang w:val="en-US" w:eastAsia="zh-CN"/>
        </w:rPr>
        <w:t>2046.66万元，包含分配至各下属单位的绩效清算资金；项目支出较上年增加2606.56万元，包含基本公共卫生服务、基层医疗机构设备购置、发热门诊（诊室）建设项目等支出。</w:t>
      </w:r>
      <w:r>
        <w:rPr>
          <w:rFonts w:hint="default" w:ascii="Times New Roman" w:hAnsi="Times New Roman" w:eastAsia="方正仿宋_GBK" w:cs="Times New Roman"/>
          <w:sz w:val="32"/>
          <w:szCs w:val="32"/>
          <w:shd w:val="clear" w:color="auto" w:fill="FFFFFF"/>
        </w:rPr>
        <w:t>其中：基本支出</w:t>
      </w:r>
      <w:r>
        <w:rPr>
          <w:rFonts w:hint="default" w:ascii="Times New Roman" w:hAnsi="Times New Roman" w:eastAsia="方正仿宋_GBK" w:cs="Times New Roman"/>
          <w:sz w:val="32"/>
          <w:szCs w:val="32"/>
        </w:rPr>
        <w:t>3102.24</w:t>
      </w:r>
      <w:r>
        <w:rPr>
          <w:rFonts w:hint="default" w:ascii="Times New Roman" w:hAnsi="Times New Roman" w:eastAsia="方正仿宋_GBK" w:cs="Times New Roman"/>
          <w:sz w:val="32"/>
          <w:szCs w:val="32"/>
          <w:shd w:val="clear" w:color="auto" w:fill="FFFFFF"/>
        </w:rPr>
        <w:t>万元，占41.68%；项目支出</w:t>
      </w:r>
      <w:r>
        <w:rPr>
          <w:rFonts w:hint="default" w:ascii="Times New Roman" w:hAnsi="Times New Roman" w:eastAsia="方正仿宋_GBK" w:cs="Times New Roman"/>
          <w:sz w:val="32"/>
          <w:szCs w:val="32"/>
        </w:rPr>
        <w:t>4341.30</w:t>
      </w:r>
      <w:r>
        <w:rPr>
          <w:rFonts w:hint="default" w:ascii="Times New Roman" w:hAnsi="Times New Roman" w:eastAsia="方正仿宋_GBK" w:cs="Times New Roman"/>
          <w:sz w:val="32"/>
          <w:szCs w:val="32"/>
          <w:shd w:val="clear" w:color="auto" w:fill="FFFFFF"/>
        </w:rPr>
        <w:t>万元，占58.32%；经营支出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万元，占0.00%。此外，结余分配</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color w:val="auto"/>
          <w:sz w:val="32"/>
          <w:szCs w:val="32"/>
          <w:lang w:eastAsia="zh-CN"/>
        </w:rPr>
      </w:pPr>
      <w:r>
        <w:rPr>
          <w:rStyle w:val="11"/>
          <w:rFonts w:hint="default" w:ascii="Times New Roman" w:hAnsi="Times New Roman" w:eastAsia="方正仿宋_GBK" w:cs="Times New Roman"/>
          <w:sz w:val="32"/>
          <w:szCs w:val="32"/>
          <w:shd w:val="clear" w:color="auto" w:fill="FFFFFF"/>
        </w:rPr>
        <w:t>4.结转结余情况。</w:t>
      </w:r>
      <w:r>
        <w:rPr>
          <w:rFonts w:hint="default" w:ascii="Times New Roman" w:hAnsi="Times New Roman" w:eastAsia="方正仿宋_GBK" w:cs="Times New Roman"/>
          <w:sz w:val="32"/>
          <w:szCs w:val="32"/>
          <w:shd w:val="clear" w:color="auto" w:fill="FFFFFF"/>
        </w:rPr>
        <w:t>2023年度年末结转和结余</w:t>
      </w:r>
      <w:r>
        <w:rPr>
          <w:rFonts w:hint="default" w:ascii="Times New Roman" w:hAnsi="Times New Roman" w:eastAsia="方正仿宋_GBK" w:cs="Times New Roman"/>
          <w:sz w:val="32"/>
          <w:szCs w:val="32"/>
        </w:rPr>
        <w:t>1.70</w:t>
      </w:r>
      <w:r>
        <w:rPr>
          <w:rFonts w:hint="default" w:ascii="Times New Roman" w:hAnsi="Times New Roman" w:eastAsia="方正仿宋_GBK" w:cs="Times New Roman"/>
          <w:sz w:val="32"/>
          <w:szCs w:val="32"/>
          <w:shd w:val="clear" w:color="auto" w:fill="FFFFFF"/>
        </w:rPr>
        <w:t>万元，较上年决算数减少3010.46万元，下降99.94%，主要原因是</w:t>
      </w:r>
      <w:r>
        <w:rPr>
          <w:rFonts w:hint="default" w:ascii="Times New Roman" w:hAnsi="Times New Roman" w:eastAsia="方正仿宋_GBK" w:cs="Times New Roman"/>
          <w:color w:val="auto"/>
          <w:sz w:val="32"/>
          <w:szCs w:val="32"/>
          <w:shd w:val="clear" w:color="auto" w:fill="FFFFFF"/>
          <w:lang w:eastAsia="zh-CN"/>
        </w:rPr>
        <w:t>上年结转结余资金几乎已在本年做支出。</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（二）财政拨款收入支出决算总体情况说明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2023年度财政拨款收、支总计7445.24万元。与</w:t>
      </w:r>
      <w:r>
        <w:rPr>
          <w:rFonts w:hint="default" w:ascii="Times New Roman" w:hAnsi="Times New Roman" w:eastAsia="方正仿宋_GBK" w:cs="Times New Roman"/>
          <w:sz w:val="32"/>
          <w:szCs w:val="32"/>
          <w:shd w:val="clear" w:color="auto" w:fill="FFFFFF"/>
          <w:lang w:eastAsia="zh-CN"/>
        </w:rPr>
        <w:t>上</w:t>
      </w:r>
      <w:r>
        <w:rPr>
          <w:rFonts w:hint="default" w:ascii="Times New Roman" w:hAnsi="Times New Roman" w:eastAsia="方正仿宋_GBK" w:cs="Times New Roman"/>
          <w:sz w:val="32"/>
          <w:szCs w:val="32"/>
          <w:shd w:val="clear" w:color="auto" w:fill="FFFFFF"/>
        </w:rPr>
        <w:t>年相比，财政拨款收、支总计各增加1642.75万元，增长28.31%。主要原因是</w:t>
      </w:r>
      <w:r>
        <w:rPr>
          <w:rFonts w:hint="default" w:ascii="Times New Roman" w:hAnsi="Times New Roman" w:eastAsia="方正仿宋_GBK" w:cs="Times New Roman"/>
          <w:sz w:val="32"/>
          <w:szCs w:val="32"/>
          <w:shd w:val="clear" w:color="auto" w:fill="FFFFFF"/>
          <w:lang w:eastAsia="zh-CN"/>
        </w:rPr>
        <w:t>年初结转结余资金</w:t>
      </w:r>
      <w:r>
        <w:rPr>
          <w:rFonts w:hint="default" w:ascii="Times New Roman" w:hAnsi="Times New Roman" w:eastAsia="方正仿宋_GBK" w:cs="Times New Roman"/>
          <w:sz w:val="32"/>
          <w:szCs w:val="32"/>
          <w:shd w:val="clear" w:color="auto" w:fill="FFFFFF"/>
          <w:lang w:val="en-US" w:eastAsia="zh-CN"/>
        </w:rPr>
        <w:t>3016.45万元在2023年度做支出，其中上年年初结转结余资金118.08万元，本年调增结转结余资金2898.37万元，包含其他卫生健康管理事务支出、基本公共卫生服务支出、突发公共卫生事件应急处理等项目，同时</w:t>
      </w:r>
      <w:r>
        <w:rPr>
          <w:rFonts w:hint="default" w:ascii="Times New Roman" w:hAnsi="Times New Roman" w:eastAsia="方正仿宋_GBK" w:cs="Times New Roman"/>
          <w:sz w:val="32"/>
          <w:szCs w:val="32"/>
          <w:shd w:val="clear" w:color="auto" w:fill="FFFFFF"/>
          <w:lang w:eastAsia="zh-CN"/>
        </w:rPr>
        <w:t>一般公共预算财政拨款收入较</w:t>
      </w:r>
      <w:r>
        <w:rPr>
          <w:rFonts w:hint="default" w:ascii="Times New Roman" w:hAnsi="Times New Roman" w:eastAsia="方正仿宋_GBK" w:cs="Times New Roman"/>
          <w:sz w:val="32"/>
          <w:szCs w:val="32"/>
          <w:shd w:val="clear" w:color="auto" w:fill="FFFFFF"/>
          <w:lang w:val="en-US" w:eastAsia="zh-CN"/>
        </w:rPr>
        <w:t>上年</w:t>
      </w:r>
      <w:r>
        <w:rPr>
          <w:rFonts w:hint="default" w:ascii="Times New Roman" w:hAnsi="Times New Roman" w:eastAsia="方正仿宋_GBK" w:cs="Times New Roman"/>
          <w:sz w:val="32"/>
          <w:szCs w:val="32"/>
          <w:shd w:val="clear" w:color="auto" w:fill="FFFFFF"/>
          <w:lang w:eastAsia="zh-CN"/>
        </w:rPr>
        <w:t>减少</w:t>
      </w:r>
      <w:r>
        <w:rPr>
          <w:rFonts w:hint="default" w:ascii="Times New Roman" w:hAnsi="Times New Roman" w:eastAsia="方正仿宋_GBK" w:cs="Times New Roman"/>
          <w:sz w:val="32"/>
          <w:szCs w:val="32"/>
          <w:shd w:val="clear" w:color="auto" w:fill="FFFFFF"/>
          <w:lang w:val="en-US" w:eastAsia="zh-CN"/>
        </w:rPr>
        <w:t>1255.62万元。</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（三）一般公共预算财政拨款收入支出决算情况说明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11"/>
          <w:rFonts w:hint="default" w:ascii="Times New Roman" w:hAnsi="Times New Roman" w:eastAsia="方正仿宋_GBK" w:cs="Times New Roman"/>
          <w:sz w:val="32"/>
          <w:szCs w:val="32"/>
          <w:shd w:val="clear" w:color="auto" w:fill="FFFFFF"/>
        </w:rPr>
        <w:t>1.收入情况。</w:t>
      </w:r>
      <w:r>
        <w:rPr>
          <w:rFonts w:hint="default" w:ascii="Times New Roman" w:hAnsi="Times New Roman" w:eastAsia="方正仿宋_GBK" w:cs="Times New Roman"/>
          <w:sz w:val="32"/>
          <w:szCs w:val="32"/>
          <w:shd w:val="clear" w:color="auto" w:fill="FFFFFF"/>
        </w:rPr>
        <w:t>2023年度一般公共预算财政拨款收入4428.79万元，较上年决算数减少1255.62万元，下降22.09%。主要原因是</w:t>
      </w:r>
      <w:r>
        <w:rPr>
          <w:rFonts w:hint="default" w:ascii="Times New Roman" w:hAnsi="Times New Roman" w:eastAsia="方正仿宋_GBK" w:cs="Times New Roman"/>
          <w:sz w:val="32"/>
          <w:szCs w:val="32"/>
          <w:shd w:val="clear" w:color="auto" w:fill="FFFFFF"/>
          <w:lang w:eastAsia="zh-CN"/>
        </w:rPr>
        <w:t>财政拨款收入减少，本级将部分财政拨款收入调剂至各下属单位进行核算。</w:t>
      </w:r>
      <w:r>
        <w:rPr>
          <w:rFonts w:hint="default" w:ascii="Times New Roman" w:hAnsi="Times New Roman" w:eastAsia="方正仿宋_GBK" w:cs="Times New Roman"/>
          <w:sz w:val="32"/>
          <w:szCs w:val="32"/>
          <w:shd w:val="clear" w:color="auto" w:fill="FFFFFF"/>
        </w:rPr>
        <w:t>较年初预算数减少3539.68万元，下降44.42%。主要原因是</w:t>
      </w:r>
      <w:r>
        <w:rPr>
          <w:rFonts w:hint="default" w:ascii="Times New Roman" w:hAnsi="Times New Roman" w:eastAsia="方正仿宋_GBK" w:cs="Times New Roman"/>
          <w:sz w:val="32"/>
          <w:szCs w:val="32"/>
          <w:shd w:val="clear" w:color="auto" w:fill="FFFFFF"/>
          <w:lang w:eastAsia="zh-CN"/>
        </w:rPr>
        <w:t>年初预算是根据单位情况预估核算，实际财政拨款收入由财政根据资金分配统一安排。</w:t>
      </w:r>
      <w:r>
        <w:rPr>
          <w:rFonts w:hint="default" w:ascii="Times New Roman" w:hAnsi="Times New Roman" w:eastAsia="方正仿宋_GBK" w:cs="Times New Roman"/>
          <w:sz w:val="32"/>
          <w:szCs w:val="32"/>
          <w:shd w:val="clear" w:color="auto" w:fill="FFFFFF"/>
        </w:rPr>
        <w:t>此外，年初财政拨款结转和结余3016.45万元。</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Style w:val="11"/>
          <w:rFonts w:hint="default" w:ascii="Times New Roman" w:hAnsi="Times New Roman" w:eastAsia="方正仿宋_GBK" w:cs="Times New Roman"/>
          <w:sz w:val="32"/>
          <w:szCs w:val="32"/>
          <w:shd w:val="clear" w:color="auto" w:fill="FFFFFF"/>
        </w:rPr>
        <w:t>2.支出情况。</w:t>
      </w:r>
      <w:r>
        <w:rPr>
          <w:rFonts w:hint="default" w:ascii="Times New Roman" w:hAnsi="Times New Roman" w:eastAsia="方正仿宋_GBK" w:cs="Times New Roman"/>
          <w:sz w:val="32"/>
          <w:szCs w:val="32"/>
          <w:shd w:val="clear" w:color="auto" w:fill="FFFFFF"/>
        </w:rPr>
        <w:t>2023年度一般公共预算财政拨款支出7443.55万元，较上年决算数增加4653.22万元，增长166.76%。主要原因是</w:t>
      </w:r>
      <w:r>
        <w:rPr>
          <w:rFonts w:hint="default" w:ascii="Times New Roman" w:hAnsi="Times New Roman" w:eastAsia="方正仿宋_GBK" w:cs="Times New Roman"/>
          <w:sz w:val="32"/>
          <w:szCs w:val="32"/>
          <w:shd w:val="clear" w:color="auto" w:fill="FFFFFF"/>
          <w:lang w:eastAsia="zh-CN"/>
        </w:rPr>
        <w:t>基本支出较上年增加</w:t>
      </w:r>
      <w:r>
        <w:rPr>
          <w:rFonts w:hint="default" w:ascii="Times New Roman" w:hAnsi="Times New Roman" w:eastAsia="方正仿宋_GBK" w:cs="Times New Roman"/>
          <w:sz w:val="32"/>
          <w:szCs w:val="32"/>
          <w:shd w:val="clear" w:color="auto" w:fill="FFFFFF"/>
          <w:lang w:val="en-US" w:eastAsia="zh-CN"/>
        </w:rPr>
        <w:t>2046.66万元，包含分配至各下属单位的绩效清算资金；项目支出较上年增加2606.56万元，包含基本公共卫生服务、基层医疗机构设备购置、发热门诊（诊室）建设项目等支出。</w:t>
      </w:r>
      <w:r>
        <w:rPr>
          <w:rFonts w:hint="default" w:ascii="Times New Roman" w:hAnsi="Times New Roman" w:eastAsia="方正仿宋_GBK" w:cs="Times New Roman"/>
          <w:sz w:val="32"/>
          <w:szCs w:val="32"/>
          <w:shd w:val="clear" w:color="auto" w:fill="FFFFFF"/>
        </w:rPr>
        <w:t>较年初预算数减少524.92万元，下降6.59%。主要原因是</w:t>
      </w:r>
      <w:r>
        <w:rPr>
          <w:rFonts w:hint="default" w:ascii="Times New Roman" w:hAnsi="Times New Roman" w:eastAsia="方正仿宋_GBK" w:cs="Times New Roman"/>
          <w:sz w:val="32"/>
          <w:szCs w:val="32"/>
          <w:shd w:val="clear" w:color="auto" w:fill="FFFFFF"/>
          <w:lang w:eastAsia="zh-CN"/>
        </w:rPr>
        <w:t>年初预算是根据单位情况预估核算，实际财政拨款</w:t>
      </w:r>
      <w:r>
        <w:rPr>
          <w:rFonts w:hint="eastAsia" w:ascii="Times New Roman" w:hAnsi="Times New Roman" w:eastAsia="方正仿宋_GBK" w:cs="Times New Roman"/>
          <w:sz w:val="32"/>
          <w:szCs w:val="32"/>
          <w:shd w:val="clear" w:color="auto" w:fill="FFFFFF"/>
          <w:lang w:eastAsia="zh-CN"/>
        </w:rPr>
        <w:t>支出</w:t>
      </w:r>
      <w:bookmarkStart w:id="0" w:name="_GoBack"/>
      <w:bookmarkEnd w:id="0"/>
      <w:r>
        <w:rPr>
          <w:rFonts w:hint="default" w:ascii="Times New Roman" w:hAnsi="Times New Roman" w:eastAsia="方正仿宋_GBK" w:cs="Times New Roman"/>
          <w:sz w:val="32"/>
          <w:szCs w:val="32"/>
          <w:shd w:val="clear" w:color="auto" w:fill="FFFFFF"/>
          <w:lang w:eastAsia="zh-CN"/>
        </w:rPr>
        <w:t>由财政根据资金分配统一安排。</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Style w:val="11"/>
          <w:rFonts w:hint="default" w:ascii="Times New Roman" w:hAnsi="Times New Roman" w:eastAsia="方正仿宋_GBK" w:cs="Times New Roman"/>
          <w:sz w:val="32"/>
          <w:szCs w:val="32"/>
          <w:shd w:val="clear" w:color="auto" w:fill="FFFFFF"/>
        </w:rPr>
        <w:t>3.结转结余情况。</w:t>
      </w:r>
      <w:r>
        <w:rPr>
          <w:rFonts w:hint="default" w:ascii="Times New Roman" w:hAnsi="Times New Roman" w:eastAsia="方正仿宋_GBK" w:cs="Times New Roman"/>
          <w:sz w:val="32"/>
          <w:szCs w:val="32"/>
          <w:shd w:val="clear" w:color="auto" w:fill="FFFFFF"/>
          <w:lang w:eastAsia="zh-CN"/>
        </w:rPr>
        <w:t>2023年度年末一般公共预算财政拨款结转和结余1.70万元，较上年决算数减少3010.46万元，下降99.94%，主要原因是上年结转结余资金几乎已在本年做支出。</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Style w:val="11"/>
          <w:rFonts w:hint="default" w:ascii="Times New Roman" w:hAnsi="Times New Roman" w:eastAsia="方正仿宋_GBK" w:cs="Times New Roman"/>
          <w:sz w:val="32"/>
          <w:szCs w:val="32"/>
          <w:shd w:val="clear" w:color="auto" w:fill="FFFFFF"/>
        </w:rPr>
        <w:t>4.比较情况。</w:t>
      </w:r>
      <w:r>
        <w:rPr>
          <w:rFonts w:hint="default" w:ascii="Times New Roman" w:hAnsi="Times New Roman" w:eastAsia="方正仿宋_GBK" w:cs="Times New Roman"/>
          <w:sz w:val="32"/>
          <w:szCs w:val="32"/>
          <w:shd w:val="clear" w:color="auto" w:fill="FFFFFF"/>
          <w:lang w:eastAsia="zh-CN"/>
        </w:rPr>
        <w:t>本单位2023年度一般公共预算财政拨款支出主要用于以下几个方面：</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sz w:val="32"/>
          <w:szCs w:val="32"/>
          <w:shd w:val="clear" w:color="auto" w:fill="FFFFFF"/>
          <w:lang w:eastAsia="zh-CN"/>
        </w:rPr>
        <w:t>（1）一般公共服务支出7.97万元，占0.11%，较年初预算数增加7.97万元，增长100.00%，主要原因是其他发展与改革事务支出为预算调增，年初未做预算。</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lang w:eastAsia="zh-CN"/>
        </w:rPr>
        <w:t>）社会保障与就业支出206.61万元，占2.78%，较年初预算数增加1.17万元，增长0.57%，主要原因是社保基数调整及人员增减变动。</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lang w:eastAsia="zh-CN"/>
        </w:rPr>
        <w:t>）卫生健康支出6546.27万元，占87.95%，较年初预算数减少1188.62万元，下降15.37%，主要原因是其他卫生健康支出减少。</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lang w:eastAsia="zh-CN"/>
        </w:rPr>
        <w:t>）住房保障支出28.13万元，占0.38%，较年初预算数无增减，主要原因是根据实际人员情况预算住房公积金，与决算支出保持一致。</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（四）一般公共预算财政拨款基本支出决算情况说明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sz w:val="32"/>
          <w:szCs w:val="32"/>
          <w:shd w:val="clear" w:color="auto" w:fill="FFFFFF"/>
          <w:lang w:eastAsia="zh-CN"/>
        </w:rPr>
        <w:t>2023年度一般公共财政拨款基本支出3102.24万元。其中：人员经费663.40万元，较上年决算数减少244.21万元，下降26.91%，主要原因是部分人员经费分配至各下属单位进行核算以及其他对个人和家庭的补助减少。人员经费用途主要包括基本工资、绩效工资、其他工资福利支出、医疗费补助、生活补助、其他对个人和家庭的补助等。公用经费2438.84万元，较上年决算数增加2290.88万元，增长1548.31%，主要原因是上年结转结余资金在</w:t>
      </w:r>
      <w:r>
        <w:rPr>
          <w:rFonts w:hint="default" w:ascii="Times New Roman" w:hAnsi="Times New Roman" w:eastAsia="方正仿宋_GBK" w:cs="Times New Roman"/>
          <w:sz w:val="32"/>
          <w:szCs w:val="32"/>
          <w:shd w:val="clear" w:color="auto" w:fill="FFFFFF"/>
          <w:lang w:val="en-US" w:eastAsia="zh-CN"/>
        </w:rPr>
        <w:t>本</w:t>
      </w:r>
      <w:r>
        <w:rPr>
          <w:rFonts w:hint="default" w:ascii="Times New Roman" w:hAnsi="Times New Roman" w:eastAsia="方正仿宋_GBK" w:cs="Times New Roman"/>
          <w:sz w:val="32"/>
          <w:szCs w:val="32"/>
          <w:shd w:val="clear" w:color="auto" w:fill="FFFFFF"/>
          <w:lang w:eastAsia="zh-CN"/>
        </w:rPr>
        <w:t>年列支分配至各下属单位，主要为其他卫生健康管理事务支出。公用经费用途主要包括办公费、水费、电费、差旅费、委托业务费、其他商品和服务支出等。</w:t>
      </w:r>
    </w:p>
    <w:p>
      <w:pPr>
        <w:pStyle w:val="14"/>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（五）政府性基金预算收支决算情况说明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本单位2023年度无政府性基金预算财政拨款收支。</w:t>
      </w:r>
    </w:p>
    <w:p>
      <w:pPr>
        <w:pStyle w:val="14"/>
        <w:keepNext w:val="0"/>
        <w:keepLines w:val="0"/>
        <w:pageBreakBefore w:val="0"/>
        <w:widowControl/>
        <w:kinsoku/>
        <w:wordWrap/>
        <w:overflowPunct/>
        <w:topLinePunct w:val="0"/>
        <w:autoSpaceDE w:val="0"/>
        <w:autoSpaceDN/>
        <w:bidi w:val="0"/>
        <w:adjustRightInd/>
        <w:spacing w:line="560" w:lineRule="exact"/>
        <w:ind w:firstLine="643"/>
        <w:textAlignment w:val="auto"/>
        <w:outlineLvl w:val="9"/>
        <w:rPr>
          <w:rFonts w:hint="default" w:ascii="Times New Roman" w:hAnsi="Times New Roman" w:eastAsia="楷体"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（六）国有资本经营预算财政拨款支出决算情况说明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本单位2023年度无国有资本经营预算财政拨款支出。</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三、“三公”经费情况说明</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sz w:val="32"/>
          <w:szCs w:val="32"/>
          <w:shd w:val="clear" w:color="auto" w:fill="FFFFFF"/>
          <w:lang w:bidi="ar"/>
        </w:rPr>
      </w:pPr>
      <w:r>
        <w:rPr>
          <w:rFonts w:hint="default" w:ascii="Times New Roman" w:hAnsi="Times New Roman" w:eastAsia="方正楷体_GBK" w:cs="Times New Roman"/>
          <w:b w:val="0"/>
          <w:bCs/>
          <w:sz w:val="32"/>
          <w:szCs w:val="32"/>
          <w:shd w:val="clear" w:color="auto" w:fill="FFFFFF"/>
          <w:lang w:bidi="ar"/>
        </w:rPr>
        <w:t>（一）“三公”经费支出总体情况说明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2023年度“三公”经费支出共计6.46万元，较年初预算数减少2.34万元，下降26.59%，主要原因是</w:t>
      </w:r>
      <w:r>
        <w:rPr>
          <w:rFonts w:hint="default" w:ascii="Times New Roman" w:hAnsi="Times New Roman" w:eastAsia="方正仿宋_GBK" w:cs="Times New Roman"/>
          <w:b w:val="0"/>
          <w:bCs w:val="0"/>
          <w:sz w:val="32"/>
          <w:szCs w:val="32"/>
          <w:lang w:eastAsia="zh-CN"/>
        </w:rPr>
        <w:t>建立节约型机关，缩减</w:t>
      </w:r>
      <w:r>
        <w:rPr>
          <w:rFonts w:hint="default" w:ascii="Times New Roman" w:hAnsi="Times New Roman" w:eastAsia="方正仿宋_GBK" w:cs="Times New Roman"/>
          <w:b w:val="0"/>
          <w:bCs w:val="0"/>
          <w:sz w:val="32"/>
          <w:szCs w:val="32"/>
        </w:rPr>
        <w:t>“三公”经费支出</w:t>
      </w:r>
      <w:r>
        <w:rPr>
          <w:rFonts w:hint="default" w:ascii="Times New Roman" w:hAnsi="Times New Roman" w:eastAsia="方正仿宋_GBK" w:cs="Times New Roman"/>
          <w:b w:val="0"/>
          <w:bCs w:val="0"/>
          <w:sz w:val="32"/>
          <w:szCs w:val="32"/>
          <w:lang w:eastAsia="zh-CN"/>
        </w:rPr>
        <w:t>。</w:t>
      </w:r>
      <w:r>
        <w:rPr>
          <w:rFonts w:hint="default" w:ascii="Times New Roman" w:hAnsi="Times New Roman" w:eastAsia="方正仿宋_GBK" w:cs="Times New Roman"/>
          <w:b w:val="0"/>
          <w:bCs w:val="0"/>
          <w:sz w:val="32"/>
          <w:szCs w:val="32"/>
        </w:rPr>
        <w:t>较上年支出数减少0.50万元，下降7.18%，主要原因是</w:t>
      </w:r>
      <w:r>
        <w:rPr>
          <w:rFonts w:hint="default" w:ascii="Times New Roman" w:hAnsi="Times New Roman" w:eastAsia="方正仿宋_GBK" w:cs="Times New Roman"/>
          <w:b w:val="0"/>
          <w:bCs w:val="0"/>
          <w:sz w:val="32"/>
          <w:szCs w:val="32"/>
          <w:lang w:eastAsia="zh-CN"/>
        </w:rPr>
        <w:t>公务接待费减少</w:t>
      </w:r>
      <w:r>
        <w:rPr>
          <w:rFonts w:hint="default" w:ascii="Times New Roman" w:hAnsi="Times New Roman" w:eastAsia="方正仿宋_GBK" w:cs="Times New Roman"/>
          <w:b w:val="0"/>
          <w:bCs w:val="0"/>
          <w:sz w:val="32"/>
          <w:szCs w:val="32"/>
        </w:rPr>
        <w:t>。</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sz w:val="32"/>
          <w:szCs w:val="32"/>
          <w:shd w:val="clear" w:color="auto" w:fill="FFFFFF"/>
          <w:lang w:bidi="ar"/>
        </w:rPr>
      </w:pPr>
      <w:r>
        <w:rPr>
          <w:rFonts w:hint="default" w:ascii="Times New Roman" w:hAnsi="Times New Roman" w:eastAsia="方正楷体_GBK" w:cs="Times New Roman"/>
          <w:b w:val="0"/>
          <w:bCs/>
          <w:sz w:val="32"/>
          <w:szCs w:val="32"/>
          <w:shd w:val="clear" w:color="auto" w:fill="FFFFFF"/>
          <w:lang w:bidi="ar"/>
        </w:rPr>
        <w:t>（二）“三公”经费分项支出情况</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b w:val="0"/>
          <w:bCs w:val="0"/>
          <w:sz w:val="32"/>
          <w:szCs w:val="32"/>
        </w:rPr>
        <w:t>2023年度本单位</w:t>
      </w:r>
      <w:r>
        <w:rPr>
          <w:rFonts w:hint="default" w:ascii="Times New Roman" w:hAnsi="Times New Roman" w:eastAsia="方正仿宋_GBK" w:cs="Times New Roman"/>
          <w:b w:val="0"/>
          <w:bCs w:val="0"/>
          <w:sz w:val="32"/>
          <w:szCs w:val="32"/>
          <w:lang w:eastAsia="zh-CN"/>
        </w:rPr>
        <w:t>无</w:t>
      </w:r>
      <w:r>
        <w:rPr>
          <w:rFonts w:hint="default" w:ascii="Times New Roman" w:hAnsi="Times New Roman" w:eastAsia="方正仿宋_GBK" w:cs="Times New Roman"/>
          <w:b w:val="0"/>
          <w:bCs w:val="0"/>
          <w:sz w:val="32"/>
          <w:szCs w:val="32"/>
        </w:rPr>
        <w:t>因公出国（境）费用</w:t>
      </w:r>
      <w:r>
        <w:rPr>
          <w:rFonts w:hint="default" w:ascii="Times New Roman" w:hAnsi="Times New Roman" w:eastAsia="方正仿宋_GBK" w:cs="Times New Roman"/>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b w:val="0"/>
          <w:bCs w:val="0"/>
          <w:sz w:val="32"/>
          <w:szCs w:val="32"/>
        </w:rPr>
        <w:t>2023年度本单位</w:t>
      </w:r>
      <w:r>
        <w:rPr>
          <w:rFonts w:hint="default" w:ascii="Times New Roman" w:hAnsi="Times New Roman" w:eastAsia="方正仿宋_GBK" w:cs="Times New Roman"/>
          <w:b w:val="0"/>
          <w:bCs w:val="0"/>
          <w:sz w:val="32"/>
          <w:szCs w:val="32"/>
          <w:lang w:eastAsia="zh-CN"/>
        </w:rPr>
        <w:t>无公务车购置费，较年初预算数无增减，较上年支出数无增减。</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b w:val="0"/>
          <w:bCs w:val="0"/>
          <w:sz w:val="32"/>
          <w:szCs w:val="32"/>
          <w:lang w:val="en-US" w:eastAsia="zh-CN"/>
        </w:rPr>
        <w:t>2023年度</w:t>
      </w:r>
      <w:r>
        <w:rPr>
          <w:rFonts w:hint="default" w:ascii="Times New Roman" w:hAnsi="Times New Roman" w:eastAsia="方正仿宋_GBK" w:cs="Times New Roman"/>
          <w:b w:val="0"/>
          <w:bCs w:val="0"/>
          <w:sz w:val="32"/>
          <w:szCs w:val="32"/>
        </w:rPr>
        <w:t>公务车运行维护费5.00万元，主要用于</w:t>
      </w:r>
      <w:r>
        <w:rPr>
          <w:rFonts w:hint="default" w:ascii="Times New Roman" w:hAnsi="Times New Roman" w:eastAsia="方正仿宋_GBK" w:cs="Times New Roman"/>
          <w:b w:val="0"/>
          <w:bCs w:val="0"/>
          <w:sz w:val="32"/>
          <w:szCs w:val="32"/>
          <w:lang w:eastAsia="zh-CN"/>
        </w:rPr>
        <w:t>日常公务出差燃油费、过关费、维修费等。</w:t>
      </w:r>
      <w:r>
        <w:rPr>
          <w:rFonts w:hint="default" w:ascii="Times New Roman" w:hAnsi="Times New Roman" w:eastAsia="方正仿宋_GBK" w:cs="Times New Roman"/>
          <w:b w:val="0"/>
          <w:bCs w:val="0"/>
          <w:sz w:val="32"/>
          <w:szCs w:val="32"/>
        </w:rPr>
        <w:t>费用支出较年初预算数增加0.10万元，增长2.04%，主要原因是</w:t>
      </w:r>
      <w:r>
        <w:rPr>
          <w:rFonts w:hint="default" w:ascii="Times New Roman" w:hAnsi="Times New Roman" w:eastAsia="方正仿宋_GBK" w:cs="Times New Roman"/>
          <w:b w:val="0"/>
          <w:bCs w:val="0"/>
          <w:sz w:val="32"/>
          <w:szCs w:val="32"/>
          <w:lang w:eastAsia="zh-CN"/>
        </w:rPr>
        <w:t>预算原则上低于上年度决算数，而</w:t>
      </w:r>
      <w:r>
        <w:rPr>
          <w:rFonts w:hint="default" w:ascii="Times New Roman" w:hAnsi="Times New Roman" w:eastAsia="方正仿宋_GBK" w:cs="Times New Roman"/>
          <w:b w:val="0"/>
          <w:bCs w:val="0"/>
          <w:sz w:val="32"/>
          <w:szCs w:val="32"/>
          <w:lang w:val="en-US" w:eastAsia="zh-CN"/>
        </w:rPr>
        <w:t>2023年度公务车运行维护费根据财政实际拨款列支。</w:t>
      </w:r>
      <w:r>
        <w:rPr>
          <w:rFonts w:hint="default" w:ascii="Times New Roman" w:hAnsi="Times New Roman" w:eastAsia="方正仿宋_GBK" w:cs="Times New Roman"/>
          <w:b w:val="0"/>
          <w:bCs w:val="0"/>
          <w:sz w:val="32"/>
          <w:szCs w:val="32"/>
        </w:rPr>
        <w:t>公务车运行维护费较上年支出数无增减，主要原因是</w:t>
      </w:r>
      <w:r>
        <w:rPr>
          <w:rFonts w:hint="default" w:ascii="Times New Roman" w:hAnsi="Times New Roman" w:eastAsia="方正仿宋_GBK" w:cs="Times New Roman"/>
          <w:b w:val="0"/>
          <w:bCs w:val="0"/>
          <w:sz w:val="32"/>
          <w:szCs w:val="32"/>
          <w:lang w:eastAsia="zh-CN"/>
        </w:rPr>
        <w:t>在财政分配资金范围内列支。</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b w:val="0"/>
          <w:bCs w:val="0"/>
          <w:sz w:val="32"/>
          <w:szCs w:val="32"/>
          <w:lang w:val="en-US" w:eastAsia="zh-CN"/>
        </w:rPr>
        <w:t>2023年度</w:t>
      </w:r>
      <w:r>
        <w:rPr>
          <w:rFonts w:hint="default" w:ascii="Times New Roman" w:hAnsi="Times New Roman" w:eastAsia="方正仿宋_GBK" w:cs="Times New Roman"/>
          <w:b w:val="0"/>
          <w:bCs w:val="0"/>
          <w:sz w:val="32"/>
          <w:szCs w:val="32"/>
        </w:rPr>
        <w:t>公务接待费1.46万元，主要用于接待</w:t>
      </w:r>
      <w:r>
        <w:rPr>
          <w:rFonts w:hint="default" w:ascii="Times New Roman" w:hAnsi="Times New Roman" w:eastAsia="方正仿宋_GBK" w:cs="Times New Roman"/>
          <w:b w:val="0"/>
          <w:bCs w:val="0"/>
          <w:sz w:val="32"/>
          <w:szCs w:val="32"/>
          <w:lang w:eastAsia="zh-CN"/>
        </w:rPr>
        <w:t>上级主管部门督查及外单位考察交流产生的相关接待支出。</w:t>
      </w:r>
      <w:r>
        <w:rPr>
          <w:rFonts w:hint="default" w:ascii="Times New Roman" w:hAnsi="Times New Roman" w:eastAsia="方正仿宋_GBK" w:cs="Times New Roman"/>
          <w:b w:val="0"/>
          <w:bCs w:val="0"/>
          <w:sz w:val="32"/>
          <w:szCs w:val="32"/>
        </w:rPr>
        <w:t>费用支出较年初预算数减少2.44万元，下降62.56%，主要原因是</w:t>
      </w:r>
      <w:r>
        <w:rPr>
          <w:rFonts w:hint="default" w:ascii="Times New Roman" w:hAnsi="Times New Roman" w:eastAsia="方正仿宋_GBK" w:cs="Times New Roman"/>
          <w:b w:val="0"/>
          <w:bCs w:val="0"/>
          <w:sz w:val="32"/>
          <w:szCs w:val="32"/>
          <w:lang w:eastAsia="zh-CN"/>
        </w:rPr>
        <w:t>建立节约型机关，减少不必要的支出。</w:t>
      </w:r>
      <w:r>
        <w:rPr>
          <w:rFonts w:hint="default" w:ascii="Times New Roman" w:hAnsi="Times New Roman" w:eastAsia="方正仿宋_GBK" w:cs="Times New Roman"/>
          <w:b w:val="0"/>
          <w:bCs w:val="0"/>
          <w:sz w:val="32"/>
          <w:szCs w:val="32"/>
        </w:rPr>
        <w:t>较上年支出数减少0.50万元，下降25.51%，主要原因是</w:t>
      </w:r>
      <w:r>
        <w:rPr>
          <w:rFonts w:hint="default" w:ascii="Times New Roman" w:hAnsi="Times New Roman" w:eastAsia="方正仿宋_GBK" w:cs="Times New Roman"/>
          <w:b w:val="0"/>
          <w:bCs w:val="0"/>
          <w:sz w:val="32"/>
          <w:szCs w:val="32"/>
          <w:lang w:eastAsia="zh-CN"/>
        </w:rPr>
        <w:t>接待次数及人数减少。</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sz w:val="32"/>
          <w:szCs w:val="32"/>
          <w:shd w:val="clear" w:color="auto" w:fill="FFFFFF"/>
          <w:lang w:bidi="ar"/>
        </w:rPr>
      </w:pPr>
      <w:r>
        <w:rPr>
          <w:rFonts w:hint="default" w:ascii="Times New Roman" w:hAnsi="Times New Roman" w:eastAsia="方正楷体_GBK" w:cs="Times New Roman"/>
          <w:b w:val="0"/>
          <w:bCs/>
          <w:sz w:val="32"/>
          <w:szCs w:val="32"/>
          <w:shd w:val="clear" w:color="auto" w:fill="FFFFFF"/>
          <w:lang w:bidi="ar"/>
        </w:rPr>
        <w:t>（三）“三公”经费实物量情况</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w:t>2023年度本</w:t>
      </w:r>
      <w:r>
        <w:rPr>
          <w:rFonts w:hint="default" w:ascii="Times New Roman" w:hAnsi="Times New Roman" w:eastAsia="方正仿宋_GBK" w:cs="Times New Roman"/>
          <w:b w:val="0"/>
          <w:bCs w:val="0"/>
          <w:sz w:val="32"/>
          <w:szCs w:val="32"/>
          <w:lang w:eastAsia="zh-CN"/>
        </w:rPr>
        <w:t>单位</w:t>
      </w:r>
      <w:r>
        <w:rPr>
          <w:rFonts w:hint="default" w:ascii="Times New Roman" w:hAnsi="Times New Roman" w:eastAsia="方正仿宋_GBK" w:cs="Times New Roman"/>
          <w:b w:val="0"/>
          <w:bCs w:val="0"/>
          <w:sz w:val="32"/>
          <w:szCs w:val="32"/>
        </w:rPr>
        <w:t>因公出国（境）共计0个团组，0人；公务用车购置0辆，公务车保有量为1辆；国内公务接待12批次145人，其中：国内外事接待0批次，0人；国（境）外公务接待0批次，0人。2023年本</w:t>
      </w:r>
      <w:r>
        <w:rPr>
          <w:rFonts w:hint="default" w:ascii="Times New Roman" w:hAnsi="Times New Roman" w:eastAsia="方正仿宋_GBK" w:cs="Times New Roman"/>
          <w:b w:val="0"/>
          <w:bCs w:val="0"/>
          <w:sz w:val="32"/>
          <w:szCs w:val="32"/>
          <w:lang w:eastAsia="zh-CN"/>
        </w:rPr>
        <w:t>单位</w:t>
      </w:r>
      <w:r>
        <w:rPr>
          <w:rFonts w:hint="default" w:ascii="Times New Roman" w:hAnsi="Times New Roman" w:eastAsia="方正仿宋_GBK" w:cs="Times New Roman"/>
          <w:b w:val="0"/>
          <w:bCs w:val="0"/>
          <w:sz w:val="32"/>
          <w:szCs w:val="32"/>
        </w:rPr>
        <w:t>人均接待费100.55元，车均购置费0万元，车均维护费5.00万元。</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四、其他需要说明的事项</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（一）财政拨款会议费和培训费情况说明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w:t>本年度会议费支出0.00万元，较上年决算数无增减，主要原因是</w:t>
      </w:r>
      <w:r>
        <w:rPr>
          <w:rFonts w:hint="default" w:ascii="Times New Roman" w:hAnsi="Times New Roman" w:eastAsia="方正仿宋_GBK" w:cs="Times New Roman"/>
          <w:b w:val="0"/>
          <w:bCs w:val="0"/>
          <w:sz w:val="32"/>
          <w:szCs w:val="32"/>
          <w:lang w:val="en-US" w:eastAsia="zh-CN"/>
        </w:rPr>
        <w:t>2023年度无相关支出</w:t>
      </w:r>
      <w:r>
        <w:rPr>
          <w:rFonts w:hint="default" w:ascii="Times New Roman" w:hAnsi="Times New Roman" w:eastAsia="方正仿宋_GBK" w:cs="Times New Roman"/>
          <w:b w:val="0"/>
          <w:bCs w:val="0"/>
          <w:sz w:val="32"/>
          <w:szCs w:val="32"/>
        </w:rPr>
        <w:t>。本年度培训费支出3.15万元，较上年决算数增加2.69万元，增长584.78%，主要原因是</w:t>
      </w:r>
      <w:r>
        <w:rPr>
          <w:rFonts w:hint="default" w:ascii="Times New Roman" w:hAnsi="Times New Roman" w:eastAsia="方正仿宋_GBK" w:cs="Times New Roman"/>
          <w:b w:val="0"/>
          <w:bCs w:val="0"/>
          <w:sz w:val="32"/>
          <w:szCs w:val="32"/>
          <w:lang w:eastAsia="zh-CN"/>
        </w:rPr>
        <w:t>为提升医疗服务能力，大力加强人员综合素质培训</w:t>
      </w:r>
      <w:r>
        <w:rPr>
          <w:rFonts w:hint="default" w:ascii="Times New Roman" w:hAnsi="Times New Roman" w:eastAsia="方正仿宋_GBK" w:cs="Times New Roman"/>
          <w:b w:val="0"/>
          <w:bCs w:val="0"/>
          <w:sz w:val="32"/>
          <w:szCs w:val="32"/>
        </w:rPr>
        <w:t>。</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（二）机关运行经费情况说明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2023年度本</w:t>
      </w:r>
      <w:r>
        <w:rPr>
          <w:rFonts w:hint="default" w:ascii="Times New Roman" w:hAnsi="Times New Roman" w:eastAsia="方正仿宋_GBK" w:cs="Times New Roman"/>
          <w:b w:val="0"/>
          <w:bCs w:val="0"/>
          <w:sz w:val="32"/>
          <w:szCs w:val="32"/>
          <w:lang w:eastAsia="zh-CN"/>
        </w:rPr>
        <w:t>单位</w:t>
      </w:r>
      <w:r>
        <w:rPr>
          <w:rFonts w:hint="default" w:ascii="Times New Roman" w:hAnsi="Times New Roman" w:eastAsia="方正仿宋_GBK" w:cs="Times New Roman"/>
          <w:b w:val="0"/>
          <w:bCs w:val="0"/>
          <w:sz w:val="32"/>
          <w:szCs w:val="32"/>
        </w:rPr>
        <w:t>机关运行经费支出2438.84万元，机关运行经费主要用于开支</w:t>
      </w:r>
      <w:r>
        <w:rPr>
          <w:rFonts w:hint="default" w:ascii="Times New Roman" w:hAnsi="Times New Roman" w:eastAsia="方正仿宋_GBK" w:cs="Times New Roman"/>
          <w:b w:val="0"/>
          <w:bCs w:val="0"/>
          <w:sz w:val="32"/>
          <w:szCs w:val="32"/>
          <w:lang w:eastAsia="zh-CN"/>
        </w:rPr>
        <w:t>办公费、水费、差旅费、邮电费、电费、委托业务费、其他商品和服务支出等。</w:t>
      </w:r>
      <w:r>
        <w:rPr>
          <w:rFonts w:hint="default" w:ascii="Times New Roman" w:hAnsi="Times New Roman" w:eastAsia="方正仿宋_GBK" w:cs="Times New Roman"/>
          <w:b w:val="0"/>
          <w:bCs w:val="0"/>
          <w:sz w:val="32"/>
          <w:szCs w:val="32"/>
        </w:rPr>
        <w:t>机关运行经费较上年支出数增加2290.88万元，增长1548.31%，主要原因是</w:t>
      </w:r>
      <w:r>
        <w:rPr>
          <w:rFonts w:hint="default" w:ascii="Times New Roman" w:hAnsi="Times New Roman" w:eastAsia="方正仿宋_GBK" w:cs="Times New Roman"/>
          <w:b w:val="0"/>
          <w:bCs w:val="0"/>
          <w:sz w:val="32"/>
          <w:szCs w:val="32"/>
          <w:lang w:eastAsia="zh-CN"/>
        </w:rPr>
        <w:t>上年结转结余资金在本</w:t>
      </w:r>
      <w:r>
        <w:rPr>
          <w:rFonts w:hint="default" w:ascii="Times New Roman" w:hAnsi="Times New Roman" w:eastAsia="方正仿宋_GBK" w:cs="Times New Roman"/>
          <w:b w:val="0"/>
          <w:bCs w:val="0"/>
          <w:sz w:val="32"/>
          <w:szCs w:val="32"/>
          <w:lang w:val="en-US" w:eastAsia="zh-CN"/>
        </w:rPr>
        <w:t>年度</w:t>
      </w:r>
      <w:r>
        <w:rPr>
          <w:rFonts w:hint="default" w:ascii="Times New Roman" w:hAnsi="Times New Roman" w:eastAsia="方正仿宋_GBK" w:cs="Times New Roman"/>
          <w:b w:val="0"/>
          <w:bCs w:val="0"/>
          <w:sz w:val="32"/>
          <w:szCs w:val="32"/>
          <w:lang w:eastAsia="zh-CN"/>
        </w:rPr>
        <w:t>列支分配至各下属单位，使机关运行经费大幅增加，主要为其他卫生健康管理事务支出。</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（三）国有资产占用情况说明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截至2023年12月31日，本</w:t>
      </w:r>
      <w:r>
        <w:rPr>
          <w:rFonts w:hint="default" w:ascii="Times New Roman" w:hAnsi="Times New Roman" w:eastAsia="方正仿宋_GBK" w:cs="Times New Roman"/>
          <w:b w:val="0"/>
          <w:bCs w:val="0"/>
          <w:sz w:val="32"/>
          <w:szCs w:val="32"/>
          <w:lang w:eastAsia="zh-CN"/>
        </w:rPr>
        <w:t>单位</w:t>
      </w:r>
      <w:r>
        <w:rPr>
          <w:rFonts w:hint="default" w:ascii="Times New Roman" w:hAnsi="Times New Roman" w:eastAsia="方正仿宋_GBK" w:cs="Times New Roman"/>
          <w:b w:val="0"/>
          <w:bCs w:val="0"/>
          <w:sz w:val="32"/>
          <w:szCs w:val="32"/>
        </w:rPr>
        <w:t>共有车辆1辆，其中，副部（省）级及以上领导用车0辆、主要负责人用车0辆、机要通信用车0辆、应急保障用车1辆、执法执勤用车0辆，特种专业技术用车0辆，离退休干部用车0辆。单价100万元（含）以上专用设备0台（套）。</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（四）政府采购支出情况说明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b w:val="0"/>
          <w:bCs w:val="0"/>
          <w:sz w:val="32"/>
          <w:szCs w:val="32"/>
        </w:rPr>
        <w:t>2023年度本</w:t>
      </w:r>
      <w:r>
        <w:rPr>
          <w:rFonts w:hint="default" w:ascii="Times New Roman" w:hAnsi="Times New Roman" w:eastAsia="方正仿宋_GBK" w:cs="Times New Roman"/>
          <w:b w:val="0"/>
          <w:bCs w:val="0"/>
          <w:sz w:val="32"/>
          <w:szCs w:val="32"/>
          <w:lang w:eastAsia="zh-CN"/>
        </w:rPr>
        <w:t>单位</w:t>
      </w:r>
      <w:r>
        <w:rPr>
          <w:rFonts w:hint="default" w:ascii="Times New Roman" w:hAnsi="Times New Roman" w:eastAsia="方正仿宋_GBK" w:cs="Times New Roman"/>
          <w:b w:val="0"/>
          <w:bCs w:val="0"/>
          <w:sz w:val="32"/>
          <w:szCs w:val="32"/>
        </w:rPr>
        <w:t>政府采购支出总额437.70万元，其中：政府采购货物支出350.10万元、政府采购工程支出0.00万元、政府采购服务支出87.60万元。授予中小企业合同金额437.70万元，占政府采购支出总额的100.00%，其中：授予小微企业合同金额437.70万元，占政府采购支出总额的100.00%。主要用于采购</w:t>
      </w:r>
      <w:r>
        <w:rPr>
          <w:rFonts w:hint="default" w:ascii="Times New Roman" w:hAnsi="Times New Roman" w:eastAsia="方正仿宋_GBK" w:cs="Times New Roman"/>
          <w:b w:val="0"/>
          <w:bCs w:val="0"/>
          <w:sz w:val="32"/>
          <w:szCs w:val="32"/>
          <w:lang w:eastAsia="zh-CN"/>
        </w:rPr>
        <w:t>办公设备及医疗设备。</w:t>
      </w:r>
    </w:p>
    <w:p>
      <w:pPr>
        <w:pStyle w:val="9"/>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预算绩效管理情况说明</w:t>
      </w:r>
    </w:p>
    <w:p>
      <w:pPr>
        <w:pStyle w:val="14"/>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（一）单位自评情况</w:t>
      </w:r>
    </w:p>
    <w:p>
      <w:pPr>
        <w:pStyle w:val="15"/>
        <w:keepNext w:val="0"/>
        <w:keepLines w:val="0"/>
        <w:pageBreakBefore w:val="0"/>
        <w:widowControl/>
        <w:kinsoku/>
        <w:wordWrap/>
        <w:overflowPunct/>
        <w:topLinePunct w:val="0"/>
        <w:autoSpaceDE w:val="0"/>
        <w:autoSpaceDN/>
        <w:bidi w:val="0"/>
        <w:adjustRightInd/>
        <w:spacing w:before="0" w:beforeAutospacing="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bidi="ar"/>
        </w:rPr>
      </w:pPr>
      <w:r>
        <w:rPr>
          <w:rFonts w:hint="default" w:ascii="Times New Roman" w:hAnsi="Times New Roman" w:eastAsia="方正仿宋_GBK" w:cs="Times New Roman"/>
          <w:sz w:val="32"/>
          <w:szCs w:val="32"/>
          <w:shd w:val="clear" w:color="auto" w:fill="FFFFFF"/>
          <w:lang w:bidi="ar"/>
        </w:rPr>
        <w:t>根据预算绩效管理要求，我单位对</w:t>
      </w:r>
      <w:r>
        <w:rPr>
          <w:rFonts w:hint="default" w:ascii="Times New Roman" w:hAnsi="Times New Roman" w:eastAsia="方正仿宋_GBK" w:cs="Times New Roman"/>
          <w:sz w:val="32"/>
          <w:szCs w:val="32"/>
          <w:shd w:val="clear" w:color="auto" w:fill="FFFFFF"/>
          <w:lang w:val="en-US" w:eastAsia="zh-CN" w:bidi="ar"/>
        </w:rPr>
        <w:t>56</w:t>
      </w:r>
      <w:r>
        <w:rPr>
          <w:rFonts w:hint="default" w:ascii="Times New Roman" w:hAnsi="Times New Roman" w:eastAsia="方正仿宋_GBK" w:cs="Times New Roman"/>
          <w:sz w:val="32"/>
          <w:szCs w:val="32"/>
          <w:shd w:val="clear" w:color="auto" w:fill="FFFFFF"/>
          <w:lang w:bidi="ar"/>
        </w:rPr>
        <w:t>个二级项目开展了绩效自评，涉及财政拨款项目支出资金</w:t>
      </w:r>
      <w:r>
        <w:rPr>
          <w:rFonts w:hint="default" w:ascii="Times New Roman" w:hAnsi="Times New Roman" w:eastAsia="方正仿宋_GBK" w:cs="Times New Roman"/>
          <w:sz w:val="32"/>
          <w:szCs w:val="32"/>
          <w:shd w:val="clear" w:color="auto" w:fill="FFFFFF"/>
          <w:lang w:val="en-US" w:eastAsia="zh-CN" w:bidi="ar"/>
        </w:rPr>
        <w:t>4341.3</w:t>
      </w:r>
      <w:r>
        <w:rPr>
          <w:rFonts w:hint="default" w:ascii="Times New Roman" w:hAnsi="Times New Roman" w:eastAsia="方正仿宋_GBK" w:cs="Times New Roman"/>
          <w:sz w:val="32"/>
          <w:szCs w:val="32"/>
          <w:shd w:val="clear" w:color="auto" w:fill="FFFFFF"/>
          <w:lang w:bidi="ar"/>
        </w:rPr>
        <w:t>万元</w:t>
      </w:r>
    </w:p>
    <w:tbl>
      <w:tblPr>
        <w:tblStyle w:val="12"/>
        <w:tblpPr w:leftFromText="180" w:rightFromText="180" w:vertAnchor="text" w:horzAnchor="page" w:tblpX="1754" w:tblpY="1815"/>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default" w:ascii="Times New Roman" w:hAnsi="Times New Roman" w:cs="Times New Roman"/>
                <w:b/>
                <w:bCs w:val="0"/>
                <w:i w:val="0"/>
                <w:color w:val="auto"/>
                <w:kern w:val="0"/>
                <w:sz w:val="32"/>
                <w:szCs w:val="32"/>
                <w:highlight w:val="none"/>
                <w:u w:val="none"/>
                <w:lang w:val="en-US" w:eastAsia="zh-CN" w:bidi="ar"/>
              </w:rPr>
            </w:pPr>
            <w:r>
              <w:rPr>
                <w:rFonts w:hint="default" w:ascii="Times New Roman" w:hAnsi="Times New Roman" w:cs="Times New Roman"/>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2023年度项目支出绩效自评情况表（</w:t>
            </w:r>
            <w:r>
              <w:rPr>
                <w:rFonts w:hint="default" w:ascii="Times New Roman" w:hAnsi="Times New Roman" w:cs="Times New Roman"/>
                <w:b/>
                <w:bCs w:val="0"/>
                <w:i w:val="0"/>
                <w:color w:val="auto"/>
                <w:kern w:val="0"/>
                <w:sz w:val="32"/>
                <w:szCs w:val="32"/>
                <w:highlight w:val="none"/>
                <w:u w:val="none"/>
                <w:lang w:val="en-US" w:eastAsia="zh-CN" w:bidi="ar"/>
              </w:rPr>
              <w:t>二级项目</w:t>
            </w:r>
            <w:r>
              <w:rPr>
                <w:rFonts w:hint="default" w:ascii="Times New Roman" w:hAnsi="Times New Roman" w:eastAsia="宋体" w:cs="Times New Roman"/>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卫生应急队伍建设</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卫生应急队伍合格率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我县卫生急救水平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医学人才培养项目</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资金到位率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0"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服务对象满意度</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持续提升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bl>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left="0" w:leftChars="0" w:firstLine="640" w:firstLineChars="200"/>
        <w:jc w:val="both"/>
        <w:textAlignment w:val="auto"/>
        <w:outlineLvl w:val="9"/>
        <w:rPr>
          <w:rFonts w:hint="default" w:ascii="Times New Roman" w:hAnsi="Times New Roman" w:eastAsia="楷体" w:cs="Times New Roman"/>
          <w:b w:val="0"/>
          <w:bCs w:val="0"/>
          <w:sz w:val="32"/>
          <w:szCs w:val="32"/>
          <w:shd w:val="clear" w:color="auto" w:fill="FFFFFF"/>
          <w:lang w:bidi="ar"/>
        </w:rPr>
      </w:pPr>
      <w:r>
        <w:rPr>
          <w:rFonts w:hint="default" w:ascii="Times New Roman" w:hAnsi="Times New Roman" w:eastAsia="楷体" w:cs="Times New Roman"/>
          <w:b w:val="0"/>
          <w:bCs w:val="0"/>
          <w:sz w:val="32"/>
          <w:szCs w:val="32"/>
          <w:shd w:val="clear" w:color="auto" w:fill="FFFFFF"/>
          <w:lang w:bidi="ar"/>
        </w:rPr>
        <w:t>（二）</w:t>
      </w:r>
      <w:r>
        <w:rPr>
          <w:rFonts w:hint="default" w:ascii="Times New Roman" w:hAnsi="Times New Roman" w:eastAsia="楷体" w:cs="Times New Roman"/>
          <w:b w:val="0"/>
          <w:bCs w:val="0"/>
          <w:sz w:val="32"/>
          <w:szCs w:val="32"/>
          <w:shd w:val="clear" w:color="auto" w:fill="FFFFFF"/>
          <w:lang w:eastAsia="zh-CN" w:bidi="ar"/>
        </w:rPr>
        <w:t>单位</w:t>
      </w:r>
      <w:r>
        <w:rPr>
          <w:rFonts w:hint="default" w:ascii="Times New Roman" w:hAnsi="Times New Roman" w:eastAsia="楷体" w:cs="Times New Roman"/>
          <w:b w:val="0"/>
          <w:bCs w:val="0"/>
          <w:sz w:val="32"/>
          <w:szCs w:val="32"/>
          <w:shd w:val="clear" w:color="auto" w:fill="FFFFFF"/>
          <w:lang w:bidi="ar"/>
        </w:rPr>
        <w:t>绩效评价情况</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val="en-US" w:eastAsia="zh-CN" w:bidi="ar-SA"/>
        </w:rPr>
      </w:pPr>
      <w:r>
        <w:rPr>
          <w:rFonts w:hint="default" w:ascii="Times New Roman" w:hAnsi="Times New Roman" w:eastAsia="方正仿宋_GBK" w:cs="Times New Roman"/>
          <w:b w:val="0"/>
          <w:bCs w:val="0"/>
          <w:sz w:val="32"/>
          <w:szCs w:val="32"/>
          <w:lang w:val="en-US" w:eastAsia="zh-CN" w:bidi="ar-SA"/>
        </w:rPr>
        <w:t>本单位未组织开展绩效评价。</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outlineLvl w:val="9"/>
        <w:rPr>
          <w:rFonts w:hint="default" w:ascii="Times New Roman" w:hAnsi="Times New Roman" w:eastAsia="楷体" w:cs="Times New Roman"/>
          <w:b w:val="0"/>
          <w:bCs w:val="0"/>
          <w:sz w:val="32"/>
          <w:szCs w:val="32"/>
          <w:shd w:val="clear" w:color="auto" w:fill="FFFFFF"/>
          <w:lang w:bidi="ar"/>
        </w:rPr>
      </w:pPr>
      <w:r>
        <w:rPr>
          <w:rFonts w:hint="default" w:ascii="Times New Roman" w:hAnsi="Times New Roman" w:eastAsia="楷体" w:cs="Times New Roman"/>
          <w:b w:val="0"/>
          <w:bCs w:val="0"/>
          <w:sz w:val="32"/>
          <w:szCs w:val="32"/>
          <w:shd w:val="clear" w:color="auto" w:fill="FFFFFF"/>
          <w:lang w:bidi="ar"/>
        </w:rPr>
        <w:t>（三）财政绩效评价情况</w:t>
      </w:r>
    </w:p>
    <w:p>
      <w:pPr>
        <w:pStyle w:val="17"/>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bidi="ar"/>
        </w:rPr>
      </w:pPr>
      <w:r>
        <w:rPr>
          <w:rFonts w:hint="default" w:ascii="Times New Roman" w:hAnsi="Times New Roman" w:eastAsia="方正仿宋_GBK" w:cs="Times New Roman"/>
          <w:sz w:val="32"/>
          <w:szCs w:val="32"/>
          <w:shd w:val="clear" w:color="auto" w:fill="FFFFFF"/>
          <w:lang w:eastAsia="zh-CN" w:bidi="ar"/>
        </w:rPr>
        <w:t>县</w:t>
      </w:r>
      <w:r>
        <w:rPr>
          <w:rFonts w:hint="default" w:ascii="Times New Roman" w:hAnsi="Times New Roman" w:eastAsia="方正仿宋_GBK" w:cs="Times New Roman"/>
          <w:sz w:val="32"/>
          <w:szCs w:val="32"/>
          <w:shd w:val="clear" w:color="auto" w:fill="FFFFFF"/>
          <w:lang w:bidi="ar"/>
        </w:rPr>
        <w:t>财政局委托第三方对</w:t>
      </w:r>
      <w:r>
        <w:rPr>
          <w:rFonts w:hint="default" w:ascii="Times New Roman" w:hAnsi="Times New Roman" w:eastAsia="方正仿宋_GBK" w:cs="Times New Roman"/>
          <w:sz w:val="32"/>
          <w:szCs w:val="32"/>
          <w:shd w:val="clear" w:color="auto" w:fill="FFFFFF"/>
          <w:lang w:eastAsia="zh-CN" w:bidi="ar"/>
        </w:rPr>
        <w:t>本</w:t>
      </w:r>
      <w:r>
        <w:rPr>
          <w:rFonts w:hint="default" w:ascii="Times New Roman" w:hAnsi="Times New Roman" w:eastAsia="方正仿宋_GBK" w:cs="Times New Roman"/>
          <w:color w:val="auto"/>
          <w:sz w:val="32"/>
          <w:szCs w:val="32"/>
          <w:highlight w:val="none"/>
          <w:shd w:val="clear" w:color="auto" w:fill="FFFFFF"/>
          <w:lang w:bidi="ar"/>
        </w:rPr>
        <w:t>单位</w:t>
      </w:r>
      <w:r>
        <w:rPr>
          <w:rFonts w:hint="default" w:ascii="Times New Roman" w:hAnsi="Times New Roman" w:eastAsia="方正仿宋_GBK" w:cs="Times New Roman"/>
          <w:sz w:val="32"/>
          <w:szCs w:val="32"/>
          <w:shd w:val="clear" w:color="auto" w:fill="FFFFFF"/>
          <w:lang w:bidi="ar"/>
        </w:rPr>
        <w:t>开展绩效评价</w:t>
      </w:r>
      <w:r>
        <w:rPr>
          <w:rFonts w:hint="default" w:ascii="Times New Roman" w:hAnsi="Times New Roman" w:eastAsia="方正仿宋_GBK" w:cs="Times New Roman"/>
          <w:sz w:val="32"/>
          <w:szCs w:val="32"/>
          <w:shd w:val="clear" w:color="auto" w:fill="FFFFFF"/>
          <w:lang w:eastAsia="zh-CN" w:bidi="ar"/>
        </w:rPr>
        <w:t>。</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六、专业名词解释</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楷体_GBK" w:cs="Times New Roman"/>
          <w:b w:val="0"/>
          <w:bCs w:val="0"/>
          <w:sz w:val="32"/>
          <w:szCs w:val="32"/>
          <w:shd w:val="clear" w:color="auto" w:fill="FFFFFF"/>
        </w:rPr>
        <w:t>（一）财政拨款收入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（二）事业收入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（三）经营收入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（四）其他收入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（五）使用非财政拨款结余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（六）年初结转和结余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指单位上年结转本年使用的基本支出结转、项目支出结转和结余、经营结余。</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（七）结余分配</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（八）年末结转和结余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指单位结转下年的基本支出结转、项目支出结转和结余、经营结余。</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（九）基本支出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（十）项目支出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指在基本支出之外为完成特定行政任务和事业发展目标所发生的支出。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（十一）经营支出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（十二）“三公”经费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（十三）机关运行经费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（十四）工资福利支出（支出经济分类科目类级）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（十五）商品和服务支出（支出经济分类科目类级）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（十六）对个人和家庭的补助（支出经济分类科目类级）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反映用于对个人和家庭的补助支出。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（十七）其他资本性支出（支出经济分类科目类级）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七、决算公开联系方式及信息反馈渠道</w:t>
      </w:r>
    </w:p>
    <w:p>
      <w:pPr>
        <w:pStyle w:val="14"/>
        <w:autoSpaceDE w:val="0"/>
        <w:ind w:firstLine="640" w:firstLineChars="200"/>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本单位决算公开信息反馈和联系方式：</w:t>
      </w:r>
    </w:p>
    <w:p>
      <w:pPr>
        <w:pStyle w:val="14"/>
        <w:autoSpaceDE w:val="0"/>
        <w:ind w:firstLine="640" w:firstLineChars="200"/>
        <w:rPr>
          <w:rStyle w:val="11"/>
          <w:rFonts w:hint="default" w:ascii="Times New Roman" w:hAnsi="Times New Roman" w:eastAsia="方正仿宋_GBK" w:cs="Times New Roman"/>
          <w:sz w:val="32"/>
          <w:szCs w:val="32"/>
          <w:shd w:val="clear" w:color="auto" w:fill="FFFF00"/>
        </w:rPr>
      </w:pPr>
      <w:r>
        <w:rPr>
          <w:rFonts w:hint="default" w:ascii="Times New Roman" w:hAnsi="Times New Roman" w:eastAsia="方正仿宋_GBK" w:cs="Times New Roman"/>
          <w:sz w:val="32"/>
          <w:szCs w:val="32"/>
          <w:shd w:val="clear" w:color="auto" w:fill="FFFFFF"/>
          <w:lang w:eastAsia="zh-CN"/>
        </w:rPr>
        <w:t>龚盼</w:t>
      </w:r>
      <w:r>
        <w:rPr>
          <w:rFonts w:hint="default" w:ascii="Times New Roman" w:hAnsi="Times New Roman" w:eastAsia="方正仿宋_GBK" w:cs="Times New Roman"/>
          <w:sz w:val="32"/>
          <w:szCs w:val="32"/>
          <w:shd w:val="clear" w:color="auto" w:fill="FFFFFF"/>
          <w:lang w:val="en-US" w:eastAsia="zh-CN"/>
        </w:rPr>
        <w:t xml:space="preserve"> 023-76662083</w:t>
      </w:r>
    </w:p>
    <w:p>
      <w:pPr>
        <w:pStyle w:val="14"/>
        <w:autoSpaceDE w:val="0"/>
        <w:ind w:firstLine="0" w:firstLineChars="0"/>
        <w:rPr>
          <w:rStyle w:val="11"/>
          <w:rFonts w:hint="default" w:ascii="Times New Roman" w:hAnsi="Times New Roman" w:eastAsia="方正仿宋_GBK" w:cs="Times New Roman"/>
          <w:sz w:val="32"/>
          <w:szCs w:val="32"/>
          <w:shd w:val="clear" w:color="auto" w:fill="FFFF00"/>
        </w:rPr>
      </w:pPr>
    </w:p>
    <w:p>
      <w:pPr>
        <w:pStyle w:val="14"/>
        <w:autoSpaceDE w:val="0"/>
        <w:ind w:firstLine="0" w:firstLineChars="0"/>
        <w:rPr>
          <w:rStyle w:val="11"/>
          <w:rFonts w:hint="default" w:ascii="Times New Roman" w:hAnsi="Times New Roman" w:eastAsia="方正仿宋_GBK" w:cs="Times New Roman"/>
          <w:sz w:val="32"/>
          <w:szCs w:val="32"/>
          <w:shd w:val="clear" w:color="auto" w:fill="FFFF00"/>
        </w:rPr>
        <w:sectPr>
          <w:footerReference r:id="rId3" w:type="default"/>
          <w:pgSz w:w="11915" w:h="16840"/>
          <w:pgMar w:top="1440" w:right="1715" w:bottom="1440" w:left="1800" w:header="851" w:footer="992" w:gutter="0"/>
          <w:pgNumType w:fmt="numberInDash"/>
          <w:cols w:space="720" w:num="1"/>
          <w:docGrid w:type="lines" w:linePitch="312" w:charSpace="0"/>
        </w:sectPr>
      </w:pPr>
    </w:p>
    <w:p>
      <w:pPr>
        <w:rPr>
          <w:rFonts w:hint="default" w:ascii="Times New Roman" w:hAnsi="Times New Roman" w:eastAsia="宋体" w:cs="Times New Roman"/>
          <w:sz w:val="21"/>
          <w:szCs w:val="21"/>
        </w:rPr>
      </w:pPr>
    </w:p>
    <w:tbl>
      <w:tblPr>
        <w:tblStyle w:val="12"/>
        <w:tblW w:w="15322" w:type="dxa"/>
        <w:tblInd w:w="0" w:type="dxa"/>
        <w:shd w:val="clear" w:color="auto" w:fill="auto"/>
        <w:tblLayout w:type="fixed"/>
        <w:tblCellMar>
          <w:top w:w="0" w:type="dxa"/>
          <w:left w:w="0" w:type="dxa"/>
          <w:bottom w:w="0" w:type="dxa"/>
          <w:right w:w="0" w:type="dxa"/>
        </w:tblCellMar>
      </w:tblPr>
      <w:tblGrid>
        <w:gridCol w:w="4523"/>
        <w:gridCol w:w="2996"/>
        <w:gridCol w:w="5179"/>
        <w:gridCol w:w="1"/>
        <w:gridCol w:w="2623"/>
      </w:tblGrid>
      <w:tr>
        <w:tblPrEx>
          <w:shd w:val="clear" w:color="auto" w:fill="auto"/>
          <w:tblLayout w:type="fixed"/>
          <w:tblCellMar>
            <w:top w:w="0" w:type="dxa"/>
            <w:left w:w="0" w:type="dxa"/>
            <w:bottom w:w="0" w:type="dxa"/>
            <w:right w:w="0" w:type="dxa"/>
          </w:tblCellMar>
        </w:tblPrEx>
        <w:trPr>
          <w:trHeight w:val="565"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40"/>
                <w:szCs w:val="40"/>
                <w:u w:val="none"/>
              </w:rPr>
            </w:pPr>
            <w:r>
              <w:rPr>
                <w:rFonts w:hint="default" w:ascii="Times New Roman" w:hAnsi="Times New Roman" w:eastAsia="宋体" w:cs="Times New Roman"/>
                <w:b/>
                <w:i w:val="0"/>
                <w:color w:val="000000"/>
                <w:kern w:val="0"/>
                <w:sz w:val="44"/>
                <w:szCs w:val="44"/>
                <w:u w:val="none"/>
                <w:lang w:val="en-US" w:eastAsia="zh-CN" w:bidi="ar"/>
              </w:rPr>
              <w:t>收入支出决算总表</w:t>
            </w:r>
          </w:p>
        </w:tc>
      </w:tr>
      <w:tr>
        <w:tblPrEx>
          <w:tblLayout w:type="fixed"/>
          <w:tblCellMar>
            <w:top w:w="0" w:type="dxa"/>
            <w:left w:w="0" w:type="dxa"/>
            <w:bottom w:w="0" w:type="dxa"/>
            <w:right w:w="0" w:type="dxa"/>
          </w:tblCellMar>
        </w:tblPrEx>
        <w:trPr>
          <w:trHeight w:val="289" w:hRule="atLeast"/>
        </w:trPr>
        <w:tc>
          <w:tcPr>
            <w:tcW w:w="452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996" w:type="dxa"/>
            <w:tcBorders>
              <w:top w:val="nil"/>
              <w:left w:val="nil"/>
              <w:bottom w:val="nil"/>
              <w:right w:val="nil"/>
            </w:tcBorders>
            <w:shd w:val="clear" w:color="auto" w:fill="auto"/>
            <w:tcMar>
              <w:top w:w="15" w:type="dxa"/>
              <w:left w:w="15" w:type="dxa"/>
              <w:right w:w="15" w:type="dxa"/>
            </w:tcMar>
            <w:vAlign w:val="bottom"/>
          </w:tcPr>
          <w:p>
            <w:pPr>
              <w:jc w:val="right"/>
              <w:rPr>
                <w:rFonts w:hint="default" w:ascii="Times New Roman" w:hAnsi="Times New Roman" w:eastAsia="宋体" w:cs="Times New Roman"/>
                <w:i w:val="0"/>
                <w:color w:val="000000"/>
                <w:sz w:val="20"/>
                <w:szCs w:val="20"/>
                <w:u w:val="none"/>
              </w:rPr>
            </w:pPr>
          </w:p>
        </w:tc>
        <w:tc>
          <w:tcPr>
            <w:tcW w:w="517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624" w:type="dxa"/>
            <w:gridSpan w:val="2"/>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公开01表</w:t>
            </w:r>
          </w:p>
        </w:tc>
      </w:tr>
      <w:tr>
        <w:tblPrEx>
          <w:tblLayout w:type="fixed"/>
          <w:tblCellMar>
            <w:top w:w="0" w:type="dxa"/>
            <w:left w:w="0" w:type="dxa"/>
            <w:bottom w:w="0" w:type="dxa"/>
            <w:right w:w="0" w:type="dxa"/>
          </w:tblCellMar>
        </w:tblPrEx>
        <w:trPr>
          <w:trHeight w:val="289" w:hRule="atLeast"/>
        </w:trPr>
        <w:tc>
          <w:tcPr>
            <w:tcW w:w="4523"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cs="Times New Roman"/>
                <w:sz w:val="24"/>
                <w:szCs w:val="24"/>
                <w:lang w:eastAsia="zh-CN"/>
              </w:rPr>
              <w:t>公开单位</w:t>
            </w:r>
            <w:r>
              <w:rPr>
                <w:rFonts w:hint="default" w:ascii="Times New Roman" w:hAnsi="Times New Roman" w:eastAsia="宋体" w:cs="Times New Roman"/>
                <w:sz w:val="24"/>
                <w:szCs w:val="24"/>
              </w:rPr>
              <w:t>：</w:t>
            </w:r>
            <w:r>
              <w:rPr>
                <w:rFonts w:hint="default" w:ascii="Times New Roman" w:hAnsi="Times New Roman" w:eastAsia="宋体" w:cs="Times New Roman"/>
                <w:sz w:val="24"/>
                <w:u w:color="auto"/>
              </w:rPr>
              <w:t>重庆市秀山土家族苗族自治县卫生健康委员会（本级）</w:t>
            </w:r>
          </w:p>
        </w:tc>
        <w:tc>
          <w:tcPr>
            <w:tcW w:w="2996" w:type="dxa"/>
            <w:tcBorders>
              <w:top w:val="nil"/>
              <w:left w:val="nil"/>
              <w:bottom w:val="nil"/>
              <w:right w:val="nil"/>
            </w:tcBorders>
            <w:shd w:val="clear" w:color="auto" w:fill="auto"/>
            <w:tcMar>
              <w:top w:w="15" w:type="dxa"/>
              <w:left w:w="15" w:type="dxa"/>
              <w:right w:w="15" w:type="dxa"/>
            </w:tcMar>
            <w:vAlign w:val="bottom"/>
          </w:tcPr>
          <w:p>
            <w:pPr>
              <w:jc w:val="right"/>
              <w:rPr>
                <w:rFonts w:hint="default" w:ascii="Times New Roman" w:hAnsi="Times New Roman" w:eastAsia="宋体" w:cs="Times New Roman"/>
                <w:i w:val="0"/>
                <w:color w:val="000000"/>
                <w:sz w:val="22"/>
                <w:szCs w:val="22"/>
                <w:u w:val="none"/>
              </w:rPr>
            </w:pPr>
          </w:p>
        </w:tc>
        <w:tc>
          <w:tcPr>
            <w:tcW w:w="517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2624" w:type="dxa"/>
            <w:gridSpan w:val="2"/>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单位：</w:t>
            </w:r>
            <w:r>
              <w:rPr>
                <w:rFonts w:hint="default" w:ascii="Times New Roman" w:hAnsi="Times New Roman" w:eastAsia="宋体" w:cs="Times New Roman"/>
                <w:sz w:val="24"/>
                <w:szCs w:val="24"/>
              </w:rPr>
              <w:t>万元</w:t>
            </w:r>
          </w:p>
        </w:tc>
      </w:tr>
      <w:tr>
        <w:tblPrEx>
          <w:tblLayout w:type="fixed"/>
          <w:tblCellMar>
            <w:top w:w="0" w:type="dxa"/>
            <w:left w:w="0" w:type="dxa"/>
            <w:bottom w:w="0" w:type="dxa"/>
            <w:right w:w="0" w:type="dxa"/>
          </w:tblCellMar>
        </w:tblPrEx>
        <w:trPr>
          <w:trHeight w:val="298" w:hRule="atLeast"/>
        </w:trPr>
        <w:tc>
          <w:tcPr>
            <w:tcW w:w="75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收入</w:t>
            </w:r>
          </w:p>
        </w:tc>
        <w:tc>
          <w:tcPr>
            <w:tcW w:w="7803"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支出</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w:t>
            </w:r>
          </w:p>
        </w:tc>
        <w:tc>
          <w:tcPr>
            <w:tcW w:w="299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决算数</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lang w:eastAsia="zh-CN"/>
              </w:rPr>
            </w:pPr>
            <w:r>
              <w:rPr>
                <w:rFonts w:hint="default" w:ascii="Times New Roman" w:hAnsi="Times New Roman" w:cs="Times New Roman"/>
                <w:b/>
                <w:i w:val="0"/>
                <w:color w:val="000000"/>
                <w:sz w:val="22"/>
                <w:szCs w:val="22"/>
                <w:u w:val="none"/>
                <w:lang w:eastAsia="zh-CN"/>
              </w:rPr>
              <w:t>功能分类科目</w:t>
            </w:r>
          </w:p>
        </w:tc>
        <w:tc>
          <w:tcPr>
            <w:tcW w:w="262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决算数</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一、一般公共预算财政拨款收入</w:t>
            </w: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4,428.79</w:t>
            </w: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一、一般公共服务支出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7.97</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二、政府性基金预算财政拨款收入</w:t>
            </w: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二、外交支出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三、国有资本经营预算财政拨款收入</w:t>
            </w: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三、国防支出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四、上级补助收入</w:t>
            </w: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四、公共安全支出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五、事业收入</w:t>
            </w: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五、教育支出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六、经营收入</w:t>
            </w: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六、科学技术支出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七、附属单位上缴收入</w:t>
            </w: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七、文化旅游体育与传媒支出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八、其他收入</w:t>
            </w:r>
          </w:p>
        </w:tc>
        <w:tc>
          <w:tcPr>
            <w:tcW w:w="2996" w:type="dxa"/>
            <w:tcBorders>
              <w:top w:val="nil"/>
              <w:left w:val="nil"/>
              <w:bottom w:val="nil"/>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八、社会保障和就业支出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206.61</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jc w:val="right"/>
              <w:rPr>
                <w:rFonts w:hint="default" w:ascii="Times New Roman" w:hAnsi="Times New Roman" w:eastAsia="宋体" w:cs="Times New Roman"/>
                <w:i w:val="0"/>
                <w:color w:val="000000"/>
                <w:sz w:val="20"/>
                <w:szCs w:val="20"/>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九、卫生健康支出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6,546.27</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jc w:val="right"/>
              <w:rPr>
                <w:rFonts w:hint="default" w:ascii="Times New Roman" w:hAnsi="Times New Roman" w:eastAsia="宋体" w:cs="Times New Roman"/>
                <w:i w:val="0"/>
                <w:color w:val="000000"/>
                <w:sz w:val="20"/>
                <w:szCs w:val="20"/>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十、节能环保支出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jc w:val="right"/>
              <w:rPr>
                <w:rFonts w:hint="default" w:ascii="Times New Roman" w:hAnsi="Times New Roman" w:eastAsia="宋体" w:cs="Times New Roman"/>
                <w:i w:val="0"/>
                <w:color w:val="000000"/>
                <w:sz w:val="20"/>
                <w:szCs w:val="20"/>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十一、城乡社区支出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jc w:val="right"/>
              <w:rPr>
                <w:rFonts w:hint="default" w:ascii="Times New Roman" w:hAnsi="Times New Roman" w:eastAsia="宋体" w:cs="Times New Roman"/>
                <w:i w:val="0"/>
                <w:color w:val="000000"/>
                <w:sz w:val="20"/>
                <w:szCs w:val="20"/>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十二、农林水支出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654.56</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十三、交通运输支出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十四、资源勘探工业信息等支出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十五、商业服务业等支出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十六、金融支出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十七、援助其他地区支出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十八、自然资源海洋气象等支出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十九、住房保障支出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val="0"/>
                <w:bCs w:val="0"/>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28.13</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二十、粮油物资储备支出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二十一、国有资本经营预算支出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二十二、灾害防治及应急管理支出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二十三、其他支出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二十四、债务还本支出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二十五、债务付息支出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二十六、抗疫特别国债安排的支出</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本年收入合计</w:t>
            </w: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4,428.79</w:t>
            </w: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本年支出合计</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7,443.55</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使用非财政拨款结余和专用结余</w:t>
            </w: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结余分配</w:t>
            </w:r>
          </w:p>
        </w:tc>
        <w:tc>
          <w:tcPr>
            <w:tcW w:w="262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298"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年初结转和结余</w:t>
            </w:r>
          </w:p>
        </w:tc>
        <w:tc>
          <w:tcPr>
            <w:tcW w:w="29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3,016.45</w:t>
            </w: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年末结转和结余</w:t>
            </w:r>
          </w:p>
        </w:tc>
        <w:tc>
          <w:tcPr>
            <w:tcW w:w="2623"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1.70</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7" w:hRule="atLeast"/>
        </w:trPr>
        <w:tc>
          <w:tcPr>
            <w:tcW w:w="4523"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总计</w:t>
            </w:r>
          </w:p>
        </w:tc>
        <w:tc>
          <w:tcPr>
            <w:tcW w:w="2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7,445.24</w:t>
            </w:r>
            <w:r>
              <w:rPr>
                <w:rFonts w:hint="default" w:ascii="Times New Roman" w:hAnsi="Times New Roman" w:cs="Times New Roman"/>
                <w:color w:val="000000"/>
                <w:sz w:val="21"/>
                <w:szCs w:val="21"/>
                <w:lang w:val="en-US" w:eastAsia="zh-CN" w:bidi="ar"/>
              </w:rPr>
              <w:t xml:space="preserve"> </w:t>
            </w:r>
          </w:p>
        </w:tc>
        <w:tc>
          <w:tcPr>
            <w:tcW w:w="5180" w:type="dxa"/>
            <w:gridSpan w:val="2"/>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总计</w:t>
            </w:r>
          </w:p>
        </w:tc>
        <w:tc>
          <w:tcPr>
            <w:tcW w:w="26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wordWrap w:val="0"/>
              <w:jc w:val="right"/>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7,445.24</w:t>
            </w:r>
            <w:r>
              <w:rPr>
                <w:rFonts w:hint="default" w:ascii="Times New Roman" w:hAnsi="Times New Roman" w:cs="Times New Roman"/>
                <w:color w:val="000000"/>
                <w:sz w:val="21"/>
                <w:szCs w:val="21"/>
                <w:lang w:val="en-US" w:eastAsia="zh-CN" w:bidi="ar"/>
              </w:rPr>
              <w:t xml:space="preserve"> </w:t>
            </w:r>
          </w:p>
        </w:tc>
      </w:tr>
    </w:tbl>
    <w:p>
      <w:pP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备注：1.本表反映单位本年度的总收支和年末结转结余情况。</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 xml:space="preserve">      2.本套报表金额单位转换时可能存在尾数误差。</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sz w:val="21"/>
          <w:szCs w:val="21"/>
        </w:rPr>
        <w:br w:type="textWrapping"/>
      </w:r>
    </w:p>
    <w:p>
      <w:pP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page"/>
      </w:r>
    </w:p>
    <w:p>
      <w:pP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pPr>
    </w:p>
    <w:tbl>
      <w:tblPr>
        <w:tblStyle w:val="12"/>
        <w:tblW w:w="15322" w:type="dxa"/>
        <w:tblInd w:w="0" w:type="dxa"/>
        <w:shd w:val="clear" w:color="auto" w:fill="auto"/>
        <w:tblLayout w:type="fixed"/>
        <w:tblCellMar>
          <w:top w:w="0" w:type="dxa"/>
          <w:left w:w="0" w:type="dxa"/>
          <w:bottom w:w="0" w:type="dxa"/>
          <w:right w:w="0" w:type="dxa"/>
        </w:tblCellMar>
      </w:tblPr>
      <w:tblGrid>
        <w:gridCol w:w="1338"/>
        <w:gridCol w:w="2288"/>
        <w:gridCol w:w="1663"/>
        <w:gridCol w:w="1654"/>
        <w:gridCol w:w="1354"/>
        <w:gridCol w:w="1353"/>
        <w:gridCol w:w="1"/>
        <w:gridCol w:w="1353"/>
        <w:gridCol w:w="1354"/>
        <w:gridCol w:w="1353"/>
        <w:gridCol w:w="1611"/>
      </w:tblGrid>
      <w:tr>
        <w:tblPrEx>
          <w:shd w:val="clear" w:color="auto" w:fill="auto"/>
          <w:tblLayout w:type="fixed"/>
          <w:tblCellMar>
            <w:top w:w="0" w:type="dxa"/>
            <w:left w:w="0" w:type="dxa"/>
            <w:bottom w:w="0" w:type="dxa"/>
            <w:right w:w="0" w:type="dxa"/>
          </w:tblCellMar>
        </w:tblPrEx>
        <w:trPr>
          <w:trHeight w:val="641" w:hRule="atLeast"/>
        </w:trPr>
        <w:tc>
          <w:tcPr>
            <w:tcW w:w="15322" w:type="dxa"/>
            <w:gridSpan w:val="11"/>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40"/>
                <w:szCs w:val="40"/>
                <w:u w:val="none"/>
              </w:rPr>
            </w:pPr>
            <w:r>
              <w:rPr>
                <w:rFonts w:hint="default" w:ascii="Times New Roman" w:hAnsi="Times New Roman" w:eastAsia="宋体" w:cs="Times New Roman"/>
                <w:b/>
                <w:i w:val="0"/>
                <w:color w:val="000000"/>
                <w:kern w:val="0"/>
                <w:sz w:val="44"/>
                <w:szCs w:val="44"/>
                <w:u w:val="none"/>
                <w:lang w:val="en-US" w:eastAsia="zh-CN" w:bidi="ar"/>
              </w:rPr>
              <w:t>收入决算表</w:t>
            </w:r>
          </w:p>
        </w:tc>
      </w:tr>
      <w:tr>
        <w:tblPrEx>
          <w:tblLayout w:type="fixed"/>
          <w:tblCellMar>
            <w:top w:w="0" w:type="dxa"/>
            <w:left w:w="0" w:type="dxa"/>
            <w:bottom w:w="0" w:type="dxa"/>
            <w:right w:w="0" w:type="dxa"/>
          </w:tblCellMar>
        </w:tblPrEx>
        <w:trPr>
          <w:trHeight w:val="328" w:hRule="atLeast"/>
        </w:trPr>
        <w:tc>
          <w:tcPr>
            <w:tcW w:w="362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r>
              <w:rPr>
                <w:rFonts w:hint="default" w:ascii="Times New Roman" w:hAnsi="Times New Roman" w:cs="Times New Roman"/>
                <w:sz w:val="24"/>
                <w:szCs w:val="24"/>
                <w:lang w:eastAsia="zh-CN"/>
              </w:rPr>
              <w:t>公开单位</w:t>
            </w:r>
            <w:r>
              <w:rPr>
                <w:rFonts w:hint="default" w:ascii="Times New Roman" w:hAnsi="Times New Roman" w:eastAsia="宋体" w:cs="Times New Roman"/>
                <w:sz w:val="24"/>
                <w:szCs w:val="24"/>
              </w:rPr>
              <w:t>：</w:t>
            </w:r>
            <w:r>
              <w:rPr>
                <w:rFonts w:hint="default" w:ascii="Times New Roman" w:hAnsi="Times New Roman" w:eastAsia="宋体" w:cs="Times New Roman"/>
                <w:sz w:val="24"/>
                <w:u w:color="auto"/>
              </w:rPr>
              <w:t>重庆市秀山土家族苗族自治县卫生健康委员会（本级）</w:t>
            </w:r>
          </w:p>
        </w:tc>
        <w:tc>
          <w:tcPr>
            <w:tcW w:w="166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65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35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35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354"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35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35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611"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公开02表</w:t>
            </w:r>
          </w:p>
        </w:tc>
      </w:tr>
      <w:tr>
        <w:tblPrEx>
          <w:tblLayout w:type="fixed"/>
          <w:tblCellMar>
            <w:top w:w="0" w:type="dxa"/>
            <w:left w:w="0" w:type="dxa"/>
            <w:bottom w:w="0" w:type="dxa"/>
            <w:right w:w="0" w:type="dxa"/>
          </w:tblCellMar>
        </w:tblPrEx>
        <w:trPr>
          <w:trHeight w:val="328" w:hRule="atLeast"/>
        </w:trPr>
        <w:tc>
          <w:tcPr>
            <w:tcW w:w="362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66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65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35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35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354"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35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35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611"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单位：</w:t>
            </w:r>
            <w:r>
              <w:rPr>
                <w:rFonts w:hint="default" w:ascii="Times New Roman" w:hAnsi="Times New Roman" w:eastAsia="宋体" w:cs="Times New Roman"/>
                <w:sz w:val="24"/>
                <w:szCs w:val="24"/>
              </w:rPr>
              <w:t>万元</w:t>
            </w:r>
          </w:p>
        </w:tc>
      </w:tr>
      <w:tr>
        <w:tblPrEx>
          <w:tblLayout w:type="fixed"/>
          <w:tblCellMar>
            <w:top w:w="0" w:type="dxa"/>
            <w:left w:w="0" w:type="dxa"/>
            <w:bottom w:w="0" w:type="dxa"/>
            <w:right w:w="0" w:type="dxa"/>
          </w:tblCellMar>
        </w:tblPrEx>
        <w:trPr>
          <w:trHeight w:val="431" w:hRule="atLeast"/>
        </w:trPr>
        <w:tc>
          <w:tcPr>
            <w:tcW w:w="3626"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w:t>
            </w:r>
          </w:p>
        </w:tc>
        <w:tc>
          <w:tcPr>
            <w:tcW w:w="166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本年收入合计</w:t>
            </w:r>
          </w:p>
        </w:tc>
        <w:tc>
          <w:tcPr>
            <w:tcW w:w="16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财政拨款收入</w:t>
            </w:r>
          </w:p>
        </w:tc>
        <w:tc>
          <w:tcPr>
            <w:tcW w:w="13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上级补助收入</w:t>
            </w:r>
          </w:p>
        </w:tc>
        <w:tc>
          <w:tcPr>
            <w:tcW w:w="2707" w:type="dxa"/>
            <w:gridSpan w:val="3"/>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事业收入</w:t>
            </w:r>
          </w:p>
        </w:tc>
        <w:tc>
          <w:tcPr>
            <w:tcW w:w="13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经营收入</w:t>
            </w:r>
          </w:p>
        </w:tc>
        <w:tc>
          <w:tcPr>
            <w:tcW w:w="135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附属单位上缴收入</w:t>
            </w:r>
          </w:p>
        </w:tc>
        <w:tc>
          <w:tcPr>
            <w:tcW w:w="161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其他收入</w:t>
            </w:r>
          </w:p>
        </w:tc>
      </w:tr>
      <w:tr>
        <w:tblPrEx>
          <w:tblLayout w:type="fixed"/>
          <w:tblCellMar>
            <w:top w:w="0" w:type="dxa"/>
            <w:left w:w="0" w:type="dxa"/>
            <w:bottom w:w="0" w:type="dxa"/>
            <w:right w:w="0" w:type="dxa"/>
          </w:tblCellMar>
        </w:tblPrEx>
        <w:trPr>
          <w:trHeight w:val="334" w:hRule="atLeast"/>
        </w:trPr>
        <w:tc>
          <w:tcPr>
            <w:tcW w:w="133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功能分类科目编码</w:t>
            </w:r>
          </w:p>
        </w:tc>
        <w:tc>
          <w:tcPr>
            <w:tcW w:w="2288"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项目（按“项”级功能分类科目）</w:t>
            </w:r>
          </w:p>
        </w:tc>
        <w:tc>
          <w:tcPr>
            <w:tcW w:w="166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4" w:type="dxa"/>
            <w:gridSpan w:val="2"/>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小计</w:t>
            </w:r>
          </w:p>
        </w:tc>
        <w:tc>
          <w:tcPr>
            <w:tcW w:w="135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其中：教育收费</w:t>
            </w:r>
          </w:p>
        </w:tc>
        <w:tc>
          <w:tcPr>
            <w:tcW w:w="13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1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34" w:hRule="atLeast"/>
        </w:trPr>
        <w:tc>
          <w:tcPr>
            <w:tcW w:w="133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28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6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4"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1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34" w:hRule="atLeast"/>
        </w:trPr>
        <w:tc>
          <w:tcPr>
            <w:tcW w:w="133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28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6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4"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1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34" w:hRule="atLeast"/>
        </w:trPr>
        <w:tc>
          <w:tcPr>
            <w:tcW w:w="133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28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6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4"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35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1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38" w:hRule="atLeast"/>
        </w:trPr>
        <w:tc>
          <w:tcPr>
            <w:tcW w:w="362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合计</w:t>
            </w:r>
          </w:p>
        </w:tc>
        <w:tc>
          <w:tcPr>
            <w:tcW w:w="16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color w:val="000000"/>
                <w:sz w:val="21"/>
                <w:szCs w:val="21"/>
                <w:lang w:bidi="ar"/>
              </w:rPr>
              <w:t>4,428.79</w:t>
            </w:r>
            <w:r>
              <w:rPr>
                <w:rFonts w:hint="default" w:ascii="Times New Roman" w:hAnsi="Times New Roman" w:cs="Times New Roman"/>
                <w:b/>
                <w:bCs/>
                <w:color w:val="000000"/>
                <w:sz w:val="21"/>
                <w:szCs w:val="21"/>
                <w:lang w:val="en-US" w:eastAsia="zh-CN" w:bidi="ar"/>
              </w:rPr>
              <w:t xml:space="preserve"> </w:t>
            </w:r>
          </w:p>
        </w:tc>
        <w:tc>
          <w:tcPr>
            <w:tcW w:w="16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color w:val="000000"/>
                <w:sz w:val="21"/>
                <w:szCs w:val="21"/>
                <w:lang w:bidi="ar"/>
              </w:rPr>
              <w:t>4,428.79</w:t>
            </w:r>
            <w:r>
              <w:rPr>
                <w:rFonts w:hint="default" w:ascii="Times New Roman" w:hAnsi="Times New Roman" w:cs="Times New Roman"/>
                <w:b/>
                <w:bCs/>
                <w:color w:val="000000"/>
                <w:sz w:val="21"/>
                <w:szCs w:val="21"/>
                <w:lang w:val="en-US" w:eastAsia="zh-CN" w:bidi="ar"/>
              </w:rPr>
              <w:t xml:space="preserve"> </w:t>
            </w:r>
          </w:p>
        </w:tc>
        <w:tc>
          <w:tcPr>
            <w:tcW w:w="13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354"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35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3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35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61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201</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一般公共服务支出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7.97</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7.97</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20104</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发展与改革事务</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7.97</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7.97</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2010499</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其他发展与改革事务支出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7.97</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7.97</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208</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社会保障和就业支出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206.61</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206.61</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20805</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行政事业单位养老支出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206.61</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206.61</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2080501</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行政单位离退休</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18.14</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18.14</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2080505</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机关事业单位基本养老保险缴费支出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33.65</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33.65</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2080506</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机关事业单位职业年金缴费支出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16.82</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16.82</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2080599</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其他行政事业单位养老支出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138.00</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138.00</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卫生健康支出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3,531.51</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3,531.51</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21001</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卫生健康管理事务</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412.78</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412.78</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2100101</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行政运行</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342.08</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342.08</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2100102</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一般行政管理事务</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50.75</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50.75</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2100199</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其他卫生健康管理事务支出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19.95</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19.95</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21002</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公立医院</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2.66</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2.66</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2100299</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其他公立医院支出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2.66</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2.66</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21003</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基层医疗卫生机构</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348.81</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348.81</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2100302</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乡镇卫生院</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348.81</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348.81</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21004</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公共卫生</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1,490.33</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1,490.33</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2100408</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基本公共卫生服务</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107.86</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107.86</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2100410</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突发公共卫生事件应急处理</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1,382.47</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1,382.47</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21007</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计划生育事务</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684.78</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684.78</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2100717</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计划生育服务</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675.00</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675.00</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2100799</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其他计划生育事务支出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9.78</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9.78</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21011</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行政事业单位医疗</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14.34</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14.34</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2101101</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行政单位医疗</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14.34</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14.34</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21099</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其他卫生健康支出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577.81</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577.81</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2109999</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其他卫生健康支出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577.81</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577.81</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213</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农林水支出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654.56</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654.56</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21305</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巩固脱贫攻坚成果衔接乡村振兴</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654.56</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654.56</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2130599</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其他巩固脱贫攻坚成果衔接乡村振兴支出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654.56</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654.56</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221</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住房保障支出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28.13</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28.13</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22102</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住房改革支出</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28.13</w:t>
            </w:r>
            <w:r>
              <w:rPr>
                <w:rFonts w:hint="default" w:ascii="Times New Roman" w:hAnsi="Times New Roman" w:cs="Times New Roman"/>
                <w:b/>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28.13</w:t>
            </w:r>
            <w:r>
              <w:rPr>
                <w:rFonts w:hint="default" w:ascii="Times New Roman" w:hAnsi="Times New Roman" w:cs="Times New Roman"/>
                <w:b/>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48" w:hRule="atLeast"/>
        </w:trPr>
        <w:tc>
          <w:tcPr>
            <w:tcW w:w="13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2210201</w:t>
            </w:r>
          </w:p>
        </w:tc>
        <w:tc>
          <w:tcPr>
            <w:tcW w:w="228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住房公积金</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28.13</w:t>
            </w:r>
            <w:r>
              <w:rPr>
                <w:rFonts w:hint="default" w:ascii="Times New Roman" w:hAnsi="Times New Roman" w:cs="Times New Roman"/>
                <w:color w:val="000000"/>
                <w:sz w:val="21"/>
                <w:szCs w:val="21"/>
                <w:lang w:val="en-US" w:eastAsia="zh-CN" w:bidi="ar"/>
              </w:rPr>
              <w:t xml:space="preserve"> </w:t>
            </w:r>
          </w:p>
        </w:tc>
        <w:tc>
          <w:tcPr>
            <w:tcW w:w="1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28.13</w:t>
            </w: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bl>
    <w:p>
      <w:pPr>
        <w:ind w:left="630" w:hanging="630" w:hangingChars="300"/>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备注：1.本表反映单位本年度取得的各项收入情况。</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2.本套报表金额单位转换时可能存在尾数误差。</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p>
    <w:p>
      <w:pP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page"/>
      </w:r>
    </w:p>
    <w:p>
      <w:pPr>
        <w:ind w:left="630" w:hanging="630" w:hangingChars="300"/>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pPr>
    </w:p>
    <w:tbl>
      <w:tblPr>
        <w:tblStyle w:val="12"/>
        <w:tblW w:w="15322" w:type="dxa"/>
        <w:tblInd w:w="0" w:type="dxa"/>
        <w:shd w:val="clear" w:color="auto" w:fill="auto"/>
        <w:tblLayout w:type="fixed"/>
        <w:tblCellMar>
          <w:top w:w="0" w:type="dxa"/>
          <w:left w:w="0" w:type="dxa"/>
          <w:bottom w:w="0" w:type="dxa"/>
          <w:right w:w="0" w:type="dxa"/>
        </w:tblCellMar>
      </w:tblPr>
      <w:tblGrid>
        <w:gridCol w:w="1438"/>
        <w:gridCol w:w="2437"/>
        <w:gridCol w:w="1907"/>
        <w:gridCol w:w="1907"/>
        <w:gridCol w:w="1906"/>
        <w:gridCol w:w="1907"/>
        <w:gridCol w:w="1906"/>
        <w:gridCol w:w="1914"/>
      </w:tblGrid>
      <w:tr>
        <w:tblPrEx>
          <w:shd w:val="clear" w:color="auto" w:fill="auto"/>
          <w:tblLayout w:type="fixed"/>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40"/>
                <w:szCs w:val="40"/>
                <w:u w:val="none"/>
              </w:rPr>
            </w:pPr>
            <w:r>
              <w:rPr>
                <w:rFonts w:hint="default" w:ascii="Times New Roman" w:hAnsi="Times New Roman" w:eastAsia="宋体" w:cs="Times New Roman"/>
                <w:b/>
                <w:i w:val="0"/>
                <w:color w:val="000000"/>
                <w:kern w:val="0"/>
                <w:sz w:val="44"/>
                <w:szCs w:val="44"/>
                <w:u w:val="none"/>
                <w:lang w:val="en-US" w:eastAsia="zh-CN" w:bidi="ar"/>
              </w:rPr>
              <w:t>支出决算表</w:t>
            </w:r>
          </w:p>
        </w:tc>
      </w:tr>
      <w:tr>
        <w:tblPrEx>
          <w:tblLayout w:type="fixed"/>
          <w:tblCellMar>
            <w:top w:w="0" w:type="dxa"/>
            <w:left w:w="0" w:type="dxa"/>
            <w:bottom w:w="0" w:type="dxa"/>
            <w:right w:w="0" w:type="dxa"/>
          </w:tblCellMar>
        </w:tblPrEx>
        <w:trPr>
          <w:trHeight w:val="342" w:hRule="atLeast"/>
        </w:trPr>
        <w:tc>
          <w:tcPr>
            <w:tcW w:w="3875"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r>
              <w:rPr>
                <w:rFonts w:hint="default" w:ascii="Times New Roman" w:hAnsi="Times New Roman" w:cs="Times New Roman" w:eastAsiaTheme="minorEastAsia"/>
                <w:sz w:val="24"/>
                <w:szCs w:val="24"/>
                <w:lang w:eastAsia="zh-CN"/>
              </w:rPr>
              <w:t>公开单位</w:t>
            </w:r>
            <w:r>
              <w:rPr>
                <w:rFonts w:hint="default" w:ascii="Times New Roman" w:hAnsi="Times New Roman" w:cs="Times New Roman" w:eastAsiaTheme="minorEastAsia"/>
                <w:color w:val="000000"/>
                <w:sz w:val="24"/>
                <w:szCs w:val="24"/>
                <w:lang w:bidi="ar"/>
              </w:rPr>
              <w:t xml:space="preserve">： </w:t>
            </w:r>
            <w:r>
              <w:rPr>
                <w:rFonts w:hint="default" w:ascii="Times New Roman" w:hAnsi="Times New Roman" w:cs="Times New Roman"/>
                <w:color w:val="000000"/>
                <w:sz w:val="24"/>
                <w:u w:color="auto"/>
              </w:rPr>
              <w:t xml:space="preserve">重庆市秀山土家族苗族自治县卫生健康委员会（本级） </w:t>
            </w:r>
          </w:p>
        </w:tc>
        <w:tc>
          <w:tcPr>
            <w:tcW w:w="19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9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90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9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90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914"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公开03表</w:t>
            </w:r>
          </w:p>
        </w:tc>
      </w:tr>
      <w:tr>
        <w:tblPrEx>
          <w:tblLayout w:type="fixed"/>
          <w:tblCellMar>
            <w:top w:w="0" w:type="dxa"/>
            <w:left w:w="0" w:type="dxa"/>
            <w:bottom w:w="0" w:type="dxa"/>
            <w:right w:w="0" w:type="dxa"/>
          </w:tblCellMar>
        </w:tblPrEx>
        <w:trPr>
          <w:trHeight w:val="342" w:hRule="atLeast"/>
        </w:trPr>
        <w:tc>
          <w:tcPr>
            <w:tcW w:w="3875"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9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9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90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9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90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914"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单位：</w:t>
            </w:r>
            <w:r>
              <w:rPr>
                <w:rFonts w:hint="default" w:ascii="Times New Roman" w:hAnsi="Times New Roman" w:eastAsia="宋体" w:cs="Times New Roman"/>
                <w:sz w:val="24"/>
                <w:szCs w:val="24"/>
              </w:rPr>
              <w:t>万元</w:t>
            </w:r>
          </w:p>
        </w:tc>
      </w:tr>
      <w:tr>
        <w:tblPrEx>
          <w:tblLayout w:type="fixed"/>
          <w:tblCellMar>
            <w:top w:w="0" w:type="dxa"/>
            <w:left w:w="0" w:type="dxa"/>
            <w:bottom w:w="0" w:type="dxa"/>
            <w:right w:w="0" w:type="dxa"/>
          </w:tblCellMar>
        </w:tblPrEx>
        <w:trPr>
          <w:trHeight w:val="362" w:hRule="atLeast"/>
        </w:trPr>
        <w:tc>
          <w:tcPr>
            <w:tcW w:w="3875"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w:t>
            </w:r>
          </w:p>
        </w:tc>
        <w:tc>
          <w:tcPr>
            <w:tcW w:w="19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本年支出合计</w:t>
            </w:r>
          </w:p>
        </w:tc>
        <w:tc>
          <w:tcPr>
            <w:tcW w:w="19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基本支出</w:t>
            </w:r>
          </w:p>
        </w:tc>
        <w:tc>
          <w:tcPr>
            <w:tcW w:w="190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项目支出</w:t>
            </w:r>
          </w:p>
        </w:tc>
        <w:tc>
          <w:tcPr>
            <w:tcW w:w="19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上缴上级支出</w:t>
            </w:r>
          </w:p>
        </w:tc>
        <w:tc>
          <w:tcPr>
            <w:tcW w:w="190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经营支出</w:t>
            </w:r>
          </w:p>
        </w:tc>
        <w:tc>
          <w:tcPr>
            <w:tcW w:w="191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对附属单位补助支出</w:t>
            </w:r>
          </w:p>
        </w:tc>
      </w:tr>
      <w:tr>
        <w:tblPrEx>
          <w:tblLayout w:type="fixed"/>
          <w:tblCellMar>
            <w:top w:w="0" w:type="dxa"/>
            <w:left w:w="0" w:type="dxa"/>
            <w:bottom w:w="0" w:type="dxa"/>
            <w:right w:w="0" w:type="dxa"/>
          </w:tblCellMar>
        </w:tblPrEx>
        <w:trPr>
          <w:trHeight w:val="338" w:hRule="atLeast"/>
        </w:trPr>
        <w:tc>
          <w:tcPr>
            <w:tcW w:w="143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功能分类科目编码</w:t>
            </w:r>
          </w:p>
        </w:tc>
        <w:tc>
          <w:tcPr>
            <w:tcW w:w="2437"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项目（按“项”级功能分类科目）</w:t>
            </w: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1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38" w:hRule="atLeast"/>
        </w:trPr>
        <w:tc>
          <w:tcPr>
            <w:tcW w:w="143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437"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1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38" w:hRule="atLeast"/>
        </w:trPr>
        <w:tc>
          <w:tcPr>
            <w:tcW w:w="143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437"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1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38" w:hRule="atLeast"/>
        </w:trPr>
        <w:tc>
          <w:tcPr>
            <w:tcW w:w="143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437"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0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1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62" w:hRule="atLeast"/>
        </w:trPr>
        <w:tc>
          <w:tcPr>
            <w:tcW w:w="387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合计</w:t>
            </w:r>
          </w:p>
        </w:tc>
        <w:tc>
          <w:tcPr>
            <w:tcW w:w="19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color w:val="000000"/>
                <w:sz w:val="21"/>
                <w:szCs w:val="21"/>
                <w:lang w:bidi="ar"/>
              </w:rPr>
              <w:t>7,443.55</w:t>
            </w:r>
            <w:r>
              <w:rPr>
                <w:rFonts w:hint="default" w:ascii="Times New Roman" w:hAnsi="Times New Roman" w:cs="Times New Roman"/>
                <w:b/>
                <w:bCs/>
                <w:color w:val="000000"/>
                <w:sz w:val="21"/>
                <w:szCs w:val="21"/>
                <w:lang w:val="en-US" w:eastAsia="zh-CN" w:bidi="ar"/>
              </w:rPr>
              <w:t xml:space="preserve"> </w:t>
            </w:r>
          </w:p>
        </w:tc>
        <w:tc>
          <w:tcPr>
            <w:tcW w:w="19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color w:val="000000"/>
                <w:sz w:val="21"/>
                <w:szCs w:val="21"/>
                <w:lang w:bidi="ar"/>
              </w:rPr>
              <w:t>3,102.24</w:t>
            </w:r>
            <w:r>
              <w:rPr>
                <w:rFonts w:hint="default" w:ascii="Times New Roman" w:hAnsi="Times New Roman" w:cs="Times New Roman"/>
                <w:b/>
                <w:bCs/>
                <w:color w:val="000000"/>
                <w:sz w:val="21"/>
                <w:szCs w:val="21"/>
                <w:lang w:val="en-US" w:eastAsia="zh-CN" w:bidi="ar"/>
              </w:rPr>
              <w:t xml:space="preserve"> </w:t>
            </w:r>
          </w:p>
        </w:tc>
        <w:tc>
          <w:tcPr>
            <w:tcW w:w="19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color w:val="000000"/>
                <w:sz w:val="21"/>
                <w:szCs w:val="21"/>
                <w:lang w:bidi="ar"/>
              </w:rPr>
              <w:t>4,341.30</w:t>
            </w:r>
            <w:r>
              <w:rPr>
                <w:rFonts w:hint="default" w:ascii="Times New Roman" w:hAnsi="Times New Roman" w:cs="Times New Roman"/>
                <w:b/>
                <w:bCs/>
                <w:color w:val="000000"/>
                <w:sz w:val="21"/>
                <w:szCs w:val="21"/>
                <w:lang w:val="en-US" w:eastAsia="zh-CN" w:bidi="ar"/>
              </w:rPr>
              <w:t xml:space="preserve"> </w:t>
            </w:r>
          </w:p>
        </w:tc>
        <w:tc>
          <w:tcPr>
            <w:tcW w:w="19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9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9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201</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一般公共服务支出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7.97</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7.97</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20104</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发展与改革事务</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7.97</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7.97</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2010499</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其他发展与改革事务支出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7.97</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7.97</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208</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社会保障和就业支出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206.61</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206.61</w:t>
            </w:r>
            <w:r>
              <w:rPr>
                <w:rFonts w:hint="default" w:ascii="Times New Roman" w:hAnsi="Times New Roman" w:cs="Times New Roman"/>
                <w:b/>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20805</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行政事业单位养老支出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206.61</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206.61</w:t>
            </w:r>
            <w:r>
              <w:rPr>
                <w:rFonts w:hint="default" w:ascii="Times New Roman" w:hAnsi="Times New Roman" w:cs="Times New Roman"/>
                <w:b/>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2080501</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行政单位离退休</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18.14</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18.14</w:t>
            </w: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2080505</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机关事业单位基本养老保险缴费支出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33.65</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33.65</w:t>
            </w: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2080506</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机关事业单位职业年金缴费支出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16.82</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16.82</w:t>
            </w: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2080599</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其他行政事业单位养老支出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138.00</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138.00</w:t>
            </w: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卫生健康支出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6,546.27</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2,867.50</w:t>
            </w:r>
            <w:r>
              <w:rPr>
                <w:rFonts w:hint="default" w:ascii="Times New Roman" w:hAnsi="Times New Roman" w:cs="Times New Roman"/>
                <w:b/>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3,678.77</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21001</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卫生健康管理事务</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2,906.23</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2,838.09</w:t>
            </w:r>
            <w:r>
              <w:rPr>
                <w:rFonts w:hint="default" w:ascii="Times New Roman" w:hAnsi="Times New Roman" w:cs="Times New Roman"/>
                <w:b/>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68.15</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2100101</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行政运行</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367.16</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367.16</w:t>
            </w: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2100102</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一般行政管理事务</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50.75</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50.75</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2100199</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其他卫生健康管理事务支出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2,488.33</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2,470.93</w:t>
            </w: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17.40</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21002</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公立医院</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2.66</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2.66</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2100299</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其他公立医院支出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2.66</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2.66</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21003</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基层医疗卫生机构</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348.81</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348.81</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2100302</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乡镇卫生院</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348.81</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348.81</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21004</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公共卫生</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2,011.63</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2,011.63</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2100408</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基本公共卫生服务</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344.48</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344.48</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2100410</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突发公共卫生事件应急处理</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1,667.14</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1,667.14</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21007</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计划生育事务</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684.78</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684.78</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2100717</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计划生育服务</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675.00</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675.00</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2100799</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其他计划生育事务支出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9.78</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9.78</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21011</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行政事业单位医疗</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14.34</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14.34</w:t>
            </w:r>
            <w:r>
              <w:rPr>
                <w:rFonts w:hint="default" w:ascii="Times New Roman" w:hAnsi="Times New Roman" w:cs="Times New Roman"/>
                <w:b/>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2101101</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行政单位医疗</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14.34</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14.34</w:t>
            </w: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21099</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其他卫生健康支出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577.81</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15.07</w:t>
            </w:r>
            <w:r>
              <w:rPr>
                <w:rFonts w:hint="default" w:ascii="Times New Roman" w:hAnsi="Times New Roman" w:cs="Times New Roman"/>
                <w:b/>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562.75</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2109999</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其他卫生健康支出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577.81</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15.07</w:t>
            </w: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562.75</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213</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农林水支出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654.56</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654.56</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21305</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巩固脱贫攻坚成果衔接乡村振兴</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654.56</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654.56</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2130599</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其他巩固脱贫攻坚成果衔接乡村振兴支出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654.56</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654.56</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221</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住房保障支出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28.13</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28.13</w:t>
            </w:r>
            <w:r>
              <w:rPr>
                <w:rFonts w:hint="default" w:ascii="Times New Roman" w:hAnsi="Times New Roman" w:cs="Times New Roman"/>
                <w:b/>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22102</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住房改革支出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28.13</w:t>
            </w:r>
            <w:r>
              <w:rPr>
                <w:rFonts w:hint="default" w:ascii="Times New Roman" w:hAnsi="Times New Roman" w:cs="Times New Roman"/>
                <w:b/>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b/>
                <w:color w:val="000000"/>
                <w:sz w:val="21"/>
                <w:szCs w:val="21"/>
                <w:lang w:bidi="ar"/>
              </w:rPr>
              <w:t>28.13</w:t>
            </w:r>
            <w:r>
              <w:rPr>
                <w:rFonts w:hint="default" w:ascii="Times New Roman" w:hAnsi="Times New Roman" w:cs="Times New Roman"/>
                <w:b/>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82" w:hRule="atLeast"/>
        </w:trPr>
        <w:tc>
          <w:tcPr>
            <w:tcW w:w="14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2210201</w:t>
            </w:r>
          </w:p>
        </w:tc>
        <w:tc>
          <w:tcPr>
            <w:tcW w:w="24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住房公积金</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28.13</w:t>
            </w: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color w:val="000000"/>
                <w:sz w:val="21"/>
                <w:szCs w:val="21"/>
                <w:lang w:bidi="ar"/>
              </w:rPr>
              <w:t>28.13</w:t>
            </w: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c>
          <w:tcPr>
            <w:tcW w:w="1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color w:val="000000"/>
                <w:sz w:val="21"/>
                <w:szCs w:val="21"/>
                <w:lang w:val="en-US" w:eastAsia="zh-CN" w:bidi="ar"/>
              </w:rPr>
              <w:t xml:space="preserve"> </w:t>
            </w:r>
          </w:p>
        </w:tc>
      </w:tr>
    </w:tbl>
    <w:p>
      <w:pP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备注：1.本表反映单位本年度各项支出情况。</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 xml:space="preserve">      2.本套报表金额单位转换时可能存在尾数误差。</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sz w:val="21"/>
          <w:szCs w:val="21"/>
        </w:rPr>
        <w:br w:type="textWrapping"/>
      </w:r>
    </w:p>
    <w:p>
      <w:pP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page"/>
      </w:r>
    </w:p>
    <w:p>
      <w:pP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pPr>
    </w:p>
    <w:tbl>
      <w:tblPr>
        <w:tblStyle w:val="12"/>
        <w:tblW w:w="15322" w:type="dxa"/>
        <w:tblInd w:w="0" w:type="dxa"/>
        <w:shd w:val="clear" w:color="auto" w:fill="auto"/>
        <w:tblLayout w:type="fixed"/>
        <w:tblCellMar>
          <w:top w:w="0" w:type="dxa"/>
          <w:left w:w="0" w:type="dxa"/>
          <w:bottom w:w="0" w:type="dxa"/>
          <w:right w:w="0" w:type="dxa"/>
        </w:tblCellMar>
      </w:tblPr>
      <w:tblGrid>
        <w:gridCol w:w="2788"/>
        <w:gridCol w:w="1832"/>
        <w:gridCol w:w="2571"/>
        <w:gridCol w:w="2023"/>
        <w:gridCol w:w="2023"/>
        <w:gridCol w:w="2022"/>
        <w:gridCol w:w="2063"/>
      </w:tblGrid>
      <w:tr>
        <w:tblPrEx>
          <w:shd w:val="clear" w:color="auto" w:fill="auto"/>
          <w:tblLayout w:type="fixed"/>
          <w:tblCellMar>
            <w:top w:w="0" w:type="dxa"/>
            <w:left w:w="0" w:type="dxa"/>
            <w:bottom w:w="0" w:type="dxa"/>
            <w:right w:w="0" w:type="dxa"/>
          </w:tblCellMar>
        </w:tblPrEx>
        <w:trPr>
          <w:trHeight w:val="9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40"/>
                <w:szCs w:val="40"/>
                <w:u w:val="none"/>
              </w:rPr>
            </w:pPr>
            <w:r>
              <w:rPr>
                <w:rFonts w:hint="default" w:ascii="Times New Roman" w:hAnsi="Times New Roman" w:eastAsia="宋体" w:cs="Times New Roman"/>
                <w:b/>
                <w:i w:val="0"/>
                <w:color w:val="000000"/>
                <w:kern w:val="0"/>
                <w:sz w:val="44"/>
                <w:szCs w:val="44"/>
                <w:u w:val="none"/>
                <w:lang w:val="en-US" w:eastAsia="zh-CN" w:bidi="ar"/>
              </w:rPr>
              <w:t>财政拨款收入支出决算总表</w:t>
            </w:r>
          </w:p>
        </w:tc>
      </w:tr>
      <w:tr>
        <w:tblPrEx>
          <w:tblLayout w:type="fixed"/>
          <w:tblCellMar>
            <w:top w:w="0" w:type="dxa"/>
            <w:left w:w="0" w:type="dxa"/>
            <w:bottom w:w="0" w:type="dxa"/>
            <w:right w:w="0" w:type="dxa"/>
          </w:tblCellMar>
        </w:tblPrEx>
        <w:trPr>
          <w:trHeight w:val="90" w:hRule="atLeast"/>
        </w:trPr>
        <w:tc>
          <w:tcPr>
            <w:tcW w:w="462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r>
              <w:rPr>
                <w:rFonts w:hint="default" w:ascii="Times New Roman" w:hAnsi="Times New Roman" w:cs="Times New Roman" w:eastAsiaTheme="minorEastAsia"/>
                <w:sz w:val="24"/>
                <w:szCs w:val="24"/>
                <w:lang w:eastAsia="zh-CN"/>
              </w:rPr>
              <w:t>公开单位</w:t>
            </w:r>
            <w:r>
              <w:rPr>
                <w:rFonts w:hint="default" w:ascii="Times New Roman" w:hAnsi="Times New Roman" w:cs="Times New Roman" w:eastAsiaTheme="minorEastAsia"/>
                <w:color w:val="000000"/>
                <w:sz w:val="24"/>
                <w:szCs w:val="24"/>
                <w:lang w:bidi="ar"/>
              </w:rPr>
              <w:t xml:space="preserve">： </w:t>
            </w:r>
            <w:r>
              <w:rPr>
                <w:rFonts w:hint="default" w:ascii="Times New Roman" w:hAnsi="Times New Roman" w:cs="Times New Roman"/>
                <w:color w:val="000000"/>
                <w:sz w:val="24"/>
                <w:u w:color="auto"/>
              </w:rPr>
              <w:t>重庆市秀山土家族苗族自治县卫生健康委员会（本级）</w:t>
            </w:r>
          </w:p>
        </w:tc>
        <w:tc>
          <w:tcPr>
            <w:tcW w:w="257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02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02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02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063"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公开04表</w:t>
            </w:r>
          </w:p>
        </w:tc>
      </w:tr>
      <w:tr>
        <w:tblPrEx>
          <w:tblLayout w:type="fixed"/>
          <w:tblCellMar>
            <w:top w:w="0" w:type="dxa"/>
            <w:left w:w="0" w:type="dxa"/>
            <w:bottom w:w="0" w:type="dxa"/>
            <w:right w:w="0" w:type="dxa"/>
          </w:tblCellMar>
        </w:tblPrEx>
        <w:trPr>
          <w:trHeight w:val="90" w:hRule="atLeast"/>
        </w:trPr>
        <w:tc>
          <w:tcPr>
            <w:tcW w:w="462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257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202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202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202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2063"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单位：</w:t>
            </w:r>
            <w:r>
              <w:rPr>
                <w:rFonts w:hint="default" w:ascii="Times New Roman" w:hAnsi="Times New Roman" w:eastAsia="宋体" w:cs="Times New Roman"/>
                <w:sz w:val="24"/>
                <w:szCs w:val="24"/>
              </w:rPr>
              <w:t>万元</w:t>
            </w:r>
          </w:p>
        </w:tc>
      </w:tr>
      <w:tr>
        <w:tblPrEx>
          <w:tblLayout w:type="fixed"/>
          <w:tblCellMar>
            <w:top w:w="0" w:type="dxa"/>
            <w:left w:w="0" w:type="dxa"/>
            <w:bottom w:w="0" w:type="dxa"/>
            <w:right w:w="0" w:type="dxa"/>
          </w:tblCellMar>
        </w:tblPrEx>
        <w:trPr>
          <w:trHeight w:val="90" w:hRule="atLeast"/>
        </w:trPr>
        <w:tc>
          <w:tcPr>
            <w:tcW w:w="462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收     入</w:t>
            </w:r>
          </w:p>
        </w:tc>
        <w:tc>
          <w:tcPr>
            <w:tcW w:w="10702"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支     出</w:t>
            </w:r>
          </w:p>
        </w:tc>
      </w:tr>
      <w:tr>
        <w:tblPrEx>
          <w:tblLayout w:type="fixed"/>
          <w:tblCellMar>
            <w:top w:w="0" w:type="dxa"/>
            <w:left w:w="0" w:type="dxa"/>
            <w:bottom w:w="0" w:type="dxa"/>
            <w:right w:w="0" w:type="dxa"/>
          </w:tblCellMar>
        </w:tblPrEx>
        <w:trPr>
          <w:trHeight w:val="90" w:hRule="atLeast"/>
        </w:trPr>
        <w:tc>
          <w:tcPr>
            <w:tcW w:w="27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决算数</w:t>
            </w:r>
          </w:p>
        </w:tc>
        <w:tc>
          <w:tcPr>
            <w:tcW w:w="257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功能分类科目</w:t>
            </w:r>
          </w:p>
        </w:tc>
        <w:tc>
          <w:tcPr>
            <w:tcW w:w="8131"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决算数</w:t>
            </w:r>
          </w:p>
        </w:tc>
      </w:tr>
      <w:tr>
        <w:tblPrEx>
          <w:tblLayout w:type="fixed"/>
          <w:tblCellMar>
            <w:top w:w="0" w:type="dxa"/>
            <w:left w:w="0" w:type="dxa"/>
            <w:bottom w:w="0" w:type="dxa"/>
            <w:right w:w="0" w:type="dxa"/>
          </w:tblCellMar>
        </w:tblPrEx>
        <w:trPr>
          <w:trHeight w:val="90" w:hRule="atLeast"/>
        </w:trPr>
        <w:tc>
          <w:tcPr>
            <w:tcW w:w="27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57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小计</w:t>
            </w:r>
          </w:p>
        </w:tc>
        <w:tc>
          <w:tcPr>
            <w:tcW w:w="20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一般公共预算财政拨款</w:t>
            </w:r>
          </w:p>
        </w:tc>
        <w:tc>
          <w:tcPr>
            <w:tcW w:w="202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政府性基金预算财政拨款</w:t>
            </w:r>
          </w:p>
        </w:tc>
        <w:tc>
          <w:tcPr>
            <w:tcW w:w="206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国有资本经营预算财政拨款</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一、一般公共预算财政拨款</w:t>
            </w: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4,428.79</w:t>
            </w:r>
            <w:r>
              <w:rPr>
                <w:rFonts w:hint="default" w:ascii="Times New Roman" w:hAnsi="Times New Roman" w:cs="Times New Roman"/>
                <w:color w:val="000000"/>
                <w:sz w:val="21"/>
                <w:szCs w:val="21"/>
                <w:lang w:val="en-US" w:eastAsia="zh-CN" w:bidi="ar"/>
              </w:rPr>
              <w:t xml:space="preserve"> </w:t>
            </w: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一、一般公共服务支出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7.97</w:t>
            </w: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7.97</w:t>
            </w: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二、政府性基金预算财政拨款</w:t>
            </w: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二、外交支出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三、国有资本经营预算财政拨款</w:t>
            </w: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三、国防支出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四、公共安全支出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五、教育支出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六、科学技术支出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七、文化旅游体育与传媒支出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八、社会保障和就业支出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206.61</w:t>
            </w: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206.61</w:t>
            </w: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九、卫生健康支出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6,546.27</w:t>
            </w: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6,546.27</w:t>
            </w: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十、节能环保支出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十一、城乡社区支出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十二、农林水支出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654.56</w:t>
            </w: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654.56</w:t>
            </w: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十三、交通运输支出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十四、资源勘探工业信息等支出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十五、商业服务业等支出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十六、金融支出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十七、援助其他地区支出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十八、自然资源海洋气象等支出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十九、住房保障支出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28.13</w:t>
            </w: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28.13</w:t>
            </w: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二十、粮油物资储备支出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二十一、国有资本经营预算支出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二十二、灾害防治及应急管理支出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二十三、其他支出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0"/>
                <w:szCs w:val="20"/>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二十四、债务还本支出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0"/>
                <w:szCs w:val="20"/>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二十五、债务付息支出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0"/>
                <w:szCs w:val="20"/>
                <w:u w:val="none"/>
              </w:rPr>
            </w:pP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二十六、抗疫特别国债安排的支出</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本年收入合计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4,428.79</w:t>
            </w:r>
            <w:r>
              <w:rPr>
                <w:rFonts w:hint="default" w:ascii="Times New Roman" w:hAnsi="Times New Roman" w:cs="Times New Roman"/>
                <w:color w:val="000000"/>
                <w:sz w:val="21"/>
                <w:szCs w:val="21"/>
                <w:lang w:val="en-US" w:eastAsia="zh-CN" w:bidi="ar"/>
              </w:rPr>
              <w:t xml:space="preserve"> </w:t>
            </w: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本年支出合计</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7,443.55</w:t>
            </w: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7,443.55</w:t>
            </w: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年初财政拨款结转和结余</w:t>
            </w: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3,016.45</w:t>
            </w:r>
            <w:r>
              <w:rPr>
                <w:rFonts w:hint="default" w:ascii="Times New Roman" w:hAnsi="Times New Roman" w:cs="Times New Roman"/>
                <w:color w:val="000000"/>
                <w:sz w:val="21"/>
                <w:szCs w:val="21"/>
                <w:lang w:val="en-US" w:eastAsia="zh-CN" w:bidi="ar"/>
              </w:rPr>
              <w:t xml:space="preserve"> </w:t>
            </w: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年末财政拨款结转和结余</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1.70</w:t>
            </w: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1.70</w:t>
            </w: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一般公共预算财政拨款</w:t>
            </w: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3,016.45</w:t>
            </w:r>
            <w:r>
              <w:rPr>
                <w:rFonts w:hint="default" w:ascii="Times New Roman" w:hAnsi="Times New Roman" w:cs="Times New Roman"/>
                <w:color w:val="000000"/>
                <w:sz w:val="21"/>
                <w:szCs w:val="21"/>
                <w:lang w:val="en-US" w:eastAsia="zh-CN" w:bidi="ar"/>
              </w:rPr>
              <w:t xml:space="preserve"> </w:t>
            </w:r>
          </w:p>
        </w:tc>
        <w:tc>
          <w:tcPr>
            <w:tcW w:w="257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政府性基金预算财政拨款</w:t>
            </w: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0"/>
                <w:szCs w:val="20"/>
                <w:u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0"/>
                <w:szCs w:val="20"/>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0"/>
                <w:szCs w:val="20"/>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国有资本经营预算财政拨款</w:t>
            </w: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0"/>
                <w:szCs w:val="20"/>
                <w:u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0"/>
                <w:szCs w:val="20"/>
                <w:u w:val="none"/>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0"/>
                <w:szCs w:val="20"/>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r>
      <w:tr>
        <w:tblPrEx>
          <w:tblLayout w:type="fixed"/>
          <w:tblCellMar>
            <w:top w:w="0" w:type="dxa"/>
            <w:left w:w="0" w:type="dxa"/>
            <w:bottom w:w="0" w:type="dxa"/>
            <w:right w:w="0" w:type="dxa"/>
          </w:tblCellMar>
        </w:tblPrEx>
        <w:trPr>
          <w:trHeight w:val="90" w:hRule="atLeast"/>
        </w:trPr>
        <w:tc>
          <w:tcPr>
            <w:tcW w:w="2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总计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7,445.24</w:t>
            </w:r>
            <w:r>
              <w:rPr>
                <w:rFonts w:hint="default" w:ascii="Times New Roman" w:hAnsi="Times New Roman" w:cs="Times New Roman"/>
                <w:color w:val="000000"/>
                <w:sz w:val="21"/>
                <w:szCs w:val="21"/>
                <w:lang w:val="en-US" w:eastAsia="zh-CN" w:bidi="ar"/>
              </w:rPr>
              <w:t xml:space="preserve"> </w:t>
            </w:r>
          </w:p>
        </w:tc>
        <w:tc>
          <w:tcPr>
            <w:tcW w:w="257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总计</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7,445.24</w:t>
            </w:r>
            <w:r>
              <w:rPr>
                <w:rFonts w:hint="default" w:ascii="Times New Roman" w:hAnsi="Times New Roman" w:cs="Times New Roman"/>
                <w:color w:val="000000"/>
                <w:sz w:val="21"/>
                <w:szCs w:val="21"/>
                <w:lang w:val="en-US" w:eastAsia="zh-CN" w:bidi="ar"/>
              </w:rPr>
              <w:t xml:space="preserve"> </w:t>
            </w:r>
          </w:p>
        </w:tc>
        <w:tc>
          <w:tcPr>
            <w:tcW w:w="20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7,445.24</w:t>
            </w:r>
            <w:r>
              <w:rPr>
                <w:rFonts w:hint="default" w:ascii="Times New Roman" w:hAnsi="Times New Roman" w:cs="Times New Roman"/>
                <w:color w:val="000000"/>
                <w:sz w:val="21"/>
                <w:szCs w:val="21"/>
                <w:lang w:val="en-US" w:eastAsia="zh-CN" w:bidi="ar"/>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2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bl>
    <w:p>
      <w:pP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备注：1.本表反映单位本年度一般公共预算财政拨款、政府性基金预算财政拨款及国有资本经营预算财政拨款的总收支和年末结转结余情况。</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 xml:space="preserve">      2.本套报表金额单位转换时可能存在尾数误差。</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sz w:val="21"/>
          <w:szCs w:val="21"/>
        </w:rPr>
        <w:br w:type="textWrapping"/>
      </w:r>
    </w:p>
    <w:p>
      <w:pPr>
        <w:rPr>
          <w:rFonts w:hint="default" w:ascii="Times New Roman" w:hAnsi="Times New Roman" w:eastAsia="宋体" w:cs="Times New Roman"/>
          <w:sz w:val="21"/>
          <w:szCs w:val="21"/>
        </w:rPr>
      </w:pPr>
      <w:r>
        <w:rPr>
          <w:rFonts w:hint="default" w:ascii="Times New Roman" w:hAnsi="Times New Roman" w:eastAsia="宋体" w:cs="Times New Roman"/>
          <w:sz w:val="21"/>
          <w:szCs w:val="21"/>
        </w:rPr>
        <w:br w:type="page"/>
      </w:r>
    </w:p>
    <w:tbl>
      <w:tblPr>
        <w:tblStyle w:val="12"/>
        <w:tblW w:w="15322" w:type="dxa"/>
        <w:tblInd w:w="0" w:type="dxa"/>
        <w:shd w:val="clear" w:color="auto" w:fill="auto"/>
        <w:tblLayout w:type="fixed"/>
        <w:tblCellMar>
          <w:top w:w="0" w:type="dxa"/>
          <w:left w:w="0" w:type="dxa"/>
          <w:bottom w:w="0" w:type="dxa"/>
          <w:right w:w="0" w:type="dxa"/>
        </w:tblCellMar>
      </w:tblPr>
      <w:tblGrid>
        <w:gridCol w:w="1851"/>
        <w:gridCol w:w="3539"/>
        <w:gridCol w:w="3310"/>
        <w:gridCol w:w="3309"/>
        <w:gridCol w:w="1"/>
        <w:gridCol w:w="3312"/>
      </w:tblGrid>
      <w:tr>
        <w:tblPrEx>
          <w:shd w:val="clear" w:color="auto" w:fill="auto"/>
          <w:tblLayout w:type="fixed"/>
          <w:tblCellMar>
            <w:top w:w="0" w:type="dxa"/>
            <w:left w:w="0" w:type="dxa"/>
            <w:bottom w:w="0" w:type="dxa"/>
            <w:right w:w="0" w:type="dxa"/>
          </w:tblCellMar>
        </w:tblPrEx>
        <w:trPr>
          <w:trHeight w:val="510" w:hRule="atLeast"/>
        </w:trPr>
        <w:tc>
          <w:tcPr>
            <w:tcW w:w="15322" w:type="dxa"/>
            <w:gridSpan w:val="6"/>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40"/>
                <w:szCs w:val="40"/>
                <w:u w:val="none"/>
              </w:rPr>
            </w:pPr>
            <w:r>
              <w:rPr>
                <w:rFonts w:hint="default" w:ascii="Times New Roman" w:hAnsi="Times New Roman" w:eastAsia="宋体" w:cs="Times New Roman"/>
                <w:b/>
                <w:i w:val="0"/>
                <w:color w:val="000000"/>
                <w:kern w:val="0"/>
                <w:sz w:val="44"/>
                <w:szCs w:val="44"/>
                <w:u w:val="none"/>
                <w:lang w:val="en-US" w:eastAsia="zh-CN" w:bidi="ar"/>
              </w:rPr>
              <w:t>一般公共预算财政拨款支出决算表</w:t>
            </w:r>
          </w:p>
        </w:tc>
      </w:tr>
      <w:tr>
        <w:tblPrEx>
          <w:tblLayout w:type="fixed"/>
          <w:tblCellMar>
            <w:top w:w="0" w:type="dxa"/>
            <w:left w:w="0" w:type="dxa"/>
            <w:bottom w:w="0" w:type="dxa"/>
            <w:right w:w="0" w:type="dxa"/>
          </w:tblCellMar>
        </w:tblPrEx>
        <w:trPr>
          <w:trHeight w:val="255" w:hRule="atLeast"/>
        </w:trPr>
        <w:tc>
          <w:tcPr>
            <w:tcW w:w="539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r>
              <w:rPr>
                <w:rFonts w:hint="default" w:ascii="Times New Roman" w:hAnsi="Times New Roman" w:cs="Times New Roman" w:eastAsiaTheme="minorEastAsia"/>
                <w:sz w:val="24"/>
                <w:szCs w:val="24"/>
                <w:lang w:eastAsia="zh-CN"/>
              </w:rPr>
              <w:t>公开单位</w:t>
            </w:r>
            <w:r>
              <w:rPr>
                <w:rFonts w:hint="default" w:ascii="Times New Roman" w:hAnsi="Times New Roman" w:cs="Times New Roman" w:eastAsiaTheme="minorEastAsia"/>
                <w:color w:val="000000"/>
                <w:sz w:val="24"/>
                <w:szCs w:val="24"/>
                <w:lang w:bidi="ar"/>
              </w:rPr>
              <w:t xml:space="preserve">： </w:t>
            </w:r>
            <w:r>
              <w:rPr>
                <w:rFonts w:hint="default" w:ascii="Times New Roman" w:hAnsi="Times New Roman" w:cs="Times New Roman"/>
                <w:color w:val="000000"/>
                <w:sz w:val="24"/>
                <w:u w:color="auto"/>
              </w:rPr>
              <w:t>重庆市秀山土家族苗族自治县卫生健康委员会（本级）</w:t>
            </w:r>
          </w:p>
        </w:tc>
        <w:tc>
          <w:tcPr>
            <w:tcW w:w="3310"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3310"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3312"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公开05表</w:t>
            </w:r>
          </w:p>
        </w:tc>
      </w:tr>
      <w:tr>
        <w:tblPrEx>
          <w:tblLayout w:type="fixed"/>
          <w:tblCellMar>
            <w:top w:w="0" w:type="dxa"/>
            <w:left w:w="0" w:type="dxa"/>
            <w:bottom w:w="0" w:type="dxa"/>
            <w:right w:w="0" w:type="dxa"/>
          </w:tblCellMar>
        </w:tblPrEx>
        <w:trPr>
          <w:trHeight w:val="285" w:hRule="atLeast"/>
        </w:trPr>
        <w:tc>
          <w:tcPr>
            <w:tcW w:w="539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3310"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3310"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3312"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单位：</w:t>
            </w:r>
            <w:r>
              <w:rPr>
                <w:rFonts w:hint="default" w:ascii="Times New Roman" w:hAnsi="Times New Roman" w:eastAsia="宋体" w:cs="Times New Roman"/>
                <w:sz w:val="24"/>
                <w:szCs w:val="24"/>
              </w:rPr>
              <w:t>万元</w:t>
            </w:r>
          </w:p>
        </w:tc>
      </w:tr>
      <w:tr>
        <w:tblPrEx>
          <w:tblLayout w:type="fixed"/>
          <w:tblCellMar>
            <w:top w:w="0" w:type="dxa"/>
            <w:left w:w="0" w:type="dxa"/>
            <w:bottom w:w="0" w:type="dxa"/>
            <w:right w:w="0" w:type="dxa"/>
          </w:tblCellMar>
        </w:tblPrEx>
        <w:trPr>
          <w:trHeight w:val="308" w:hRule="atLeast"/>
        </w:trPr>
        <w:tc>
          <w:tcPr>
            <w:tcW w:w="539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w:t>
            </w:r>
          </w:p>
        </w:tc>
        <w:tc>
          <w:tcPr>
            <w:tcW w:w="9932" w:type="dxa"/>
            <w:gridSpan w:val="4"/>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本年支出</w:t>
            </w:r>
          </w:p>
        </w:tc>
      </w:tr>
      <w:tr>
        <w:tblPrEx>
          <w:tblLayout w:type="fixed"/>
          <w:tblCellMar>
            <w:top w:w="0" w:type="dxa"/>
            <w:left w:w="0" w:type="dxa"/>
            <w:bottom w:w="0" w:type="dxa"/>
            <w:right w:w="0" w:type="dxa"/>
          </w:tblCellMar>
        </w:tblPrEx>
        <w:trPr>
          <w:trHeight w:val="308" w:hRule="atLeast"/>
        </w:trPr>
        <w:tc>
          <w:tcPr>
            <w:tcW w:w="1851"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功能分类科目编码</w:t>
            </w:r>
          </w:p>
        </w:tc>
        <w:tc>
          <w:tcPr>
            <w:tcW w:w="353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项目（按“项”级功能分类科目）</w:t>
            </w:r>
          </w:p>
        </w:tc>
        <w:tc>
          <w:tcPr>
            <w:tcW w:w="331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合计</w:t>
            </w:r>
          </w:p>
        </w:tc>
        <w:tc>
          <w:tcPr>
            <w:tcW w:w="330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基本支出</w:t>
            </w:r>
          </w:p>
        </w:tc>
        <w:tc>
          <w:tcPr>
            <w:tcW w:w="3313"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项目支出</w:t>
            </w:r>
          </w:p>
        </w:tc>
      </w:tr>
      <w:tr>
        <w:tblPrEx>
          <w:tblLayout w:type="fixed"/>
          <w:tblCellMar>
            <w:top w:w="0" w:type="dxa"/>
            <w:left w:w="0" w:type="dxa"/>
            <w:bottom w:w="0" w:type="dxa"/>
            <w:right w:w="0" w:type="dxa"/>
          </w:tblCellMar>
        </w:tblPrEx>
        <w:trPr>
          <w:trHeight w:val="278" w:hRule="atLeast"/>
        </w:trPr>
        <w:tc>
          <w:tcPr>
            <w:tcW w:w="185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53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31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30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313"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615" w:hRule="atLeast"/>
        </w:trPr>
        <w:tc>
          <w:tcPr>
            <w:tcW w:w="185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53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31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30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313"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08" w:hRule="atLeast"/>
        </w:trPr>
        <w:tc>
          <w:tcPr>
            <w:tcW w:w="5390"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合计</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color w:val="000000"/>
                <w:sz w:val="21"/>
                <w:szCs w:val="21"/>
                <w:lang w:bidi="ar"/>
              </w:rPr>
              <w:t>7,443.55</w:t>
            </w:r>
            <w:r>
              <w:rPr>
                <w:rFonts w:hint="default" w:ascii="Times New Roman" w:hAnsi="Times New Roman" w:cs="Times New Roman"/>
                <w:b/>
                <w:bCs/>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color w:val="000000"/>
                <w:sz w:val="21"/>
                <w:szCs w:val="21"/>
                <w:lang w:bidi="ar"/>
              </w:rPr>
              <w:t>3,102.24</w:t>
            </w:r>
            <w:r>
              <w:rPr>
                <w:rFonts w:hint="default" w:ascii="Times New Roman" w:hAnsi="Times New Roman" w:cs="Times New Roman"/>
                <w:b/>
                <w:bCs/>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color w:val="000000"/>
                <w:sz w:val="21"/>
                <w:szCs w:val="21"/>
                <w:lang w:bidi="ar"/>
              </w:rPr>
              <w:t>4,341.30</w:t>
            </w:r>
            <w:r>
              <w:rPr>
                <w:rFonts w:hint="default" w:ascii="Times New Roman" w:hAnsi="Times New Roman" w:cs="Times New Roman"/>
                <w:b/>
                <w:bCs/>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201</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一般公共服务支出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7.97</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7.97</w:t>
            </w:r>
            <w:r>
              <w:rPr>
                <w:rFonts w:hint="default" w:ascii="Times New Roman" w:hAnsi="Times New Roman" w:cs="Times New Roman"/>
                <w:b/>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20104</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发展与改革事务</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7.97</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7.97</w:t>
            </w:r>
            <w:r>
              <w:rPr>
                <w:rFonts w:hint="default" w:ascii="Times New Roman" w:hAnsi="Times New Roman" w:cs="Times New Roman"/>
                <w:b/>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2010499</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其他发展与改革事务支出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7.97</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7.97</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208</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社会保障和就业支出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206.61</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206.61</w:t>
            </w:r>
            <w:r>
              <w:rPr>
                <w:rFonts w:hint="default" w:ascii="Times New Roman" w:hAnsi="Times New Roman" w:cs="Times New Roman"/>
                <w:b/>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20805</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行政事业单位养老支出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206.61</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206.61</w:t>
            </w:r>
            <w:r>
              <w:rPr>
                <w:rFonts w:hint="default" w:ascii="Times New Roman" w:hAnsi="Times New Roman" w:cs="Times New Roman"/>
                <w:b/>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2080501</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行政单位离退休</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18.14</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18.14</w:t>
            </w: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2080505</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机关事业单位基本养老保险缴费支出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33.65</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33.65</w:t>
            </w: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2080506</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机关事业单位职业年金缴费支出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16.82</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16.82</w:t>
            </w: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2080599</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其他行政事业单位养老支出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138.00</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138.00</w:t>
            </w: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卫生健康支出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6,546.27</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2,867.50</w:t>
            </w:r>
            <w:r>
              <w:rPr>
                <w:rFonts w:hint="default" w:ascii="Times New Roman" w:hAnsi="Times New Roman" w:cs="Times New Roman"/>
                <w:b/>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3,678.77</w:t>
            </w:r>
            <w:r>
              <w:rPr>
                <w:rFonts w:hint="default" w:ascii="Times New Roman" w:hAnsi="Times New Roman" w:cs="Times New Roman"/>
                <w:b/>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21001</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卫生健康管理事务</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2,906.23</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2,838.09</w:t>
            </w:r>
            <w:r>
              <w:rPr>
                <w:rFonts w:hint="default" w:ascii="Times New Roman" w:hAnsi="Times New Roman" w:cs="Times New Roman"/>
                <w:b/>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68.15</w:t>
            </w:r>
            <w:r>
              <w:rPr>
                <w:rFonts w:hint="default" w:ascii="Times New Roman" w:hAnsi="Times New Roman" w:cs="Times New Roman"/>
                <w:b/>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2100101</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行政运行</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367.16</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367.16</w:t>
            </w: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2100102</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一般行政管理事务</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50.75</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50.75</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2100199</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其他卫生健康管理事务支出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2,488.33</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2,470.93</w:t>
            </w: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17.40</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21002</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公立医院</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2.66</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2.66</w:t>
            </w:r>
            <w:r>
              <w:rPr>
                <w:rFonts w:hint="default" w:ascii="Times New Roman" w:hAnsi="Times New Roman" w:cs="Times New Roman"/>
                <w:b/>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2100299</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其他公立医院支出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2.66</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2.66</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21003</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基层医疗卫生机构</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348.81</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348.81</w:t>
            </w:r>
            <w:r>
              <w:rPr>
                <w:rFonts w:hint="default" w:ascii="Times New Roman" w:hAnsi="Times New Roman" w:cs="Times New Roman"/>
                <w:b/>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2100302</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乡镇卫生院</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348.81</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348.81</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21004</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公共卫生</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2,011.63</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2,011.63</w:t>
            </w:r>
            <w:r>
              <w:rPr>
                <w:rFonts w:hint="default" w:ascii="Times New Roman" w:hAnsi="Times New Roman" w:cs="Times New Roman"/>
                <w:b/>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2100408</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基本公共卫生服务</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344.48</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344.48</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2100410</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突发公共卫生事件应急处理</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1,667.14</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1,667.14</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21007</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计划生育事务</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684.78</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684.78</w:t>
            </w:r>
            <w:r>
              <w:rPr>
                <w:rFonts w:hint="default" w:ascii="Times New Roman" w:hAnsi="Times New Roman" w:cs="Times New Roman"/>
                <w:b/>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2100717</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计划生育服务</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675.00</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675.00</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2100799</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其他计划生育事务支出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9.78</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9.78</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21011</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行政事业单位医疗</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14.34</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14.34</w:t>
            </w:r>
            <w:r>
              <w:rPr>
                <w:rFonts w:hint="default" w:ascii="Times New Roman" w:hAnsi="Times New Roman" w:cs="Times New Roman"/>
                <w:b/>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2101101</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行政单位医疗</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14.34</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14.34</w:t>
            </w: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21099</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其他卫生健康支出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577.81</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15.07</w:t>
            </w:r>
            <w:r>
              <w:rPr>
                <w:rFonts w:hint="default" w:ascii="Times New Roman" w:hAnsi="Times New Roman" w:cs="Times New Roman"/>
                <w:b/>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562.75</w:t>
            </w:r>
            <w:r>
              <w:rPr>
                <w:rFonts w:hint="default" w:ascii="Times New Roman" w:hAnsi="Times New Roman" w:cs="Times New Roman"/>
                <w:b/>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2109999</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其他卫生健康支出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577.81</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15.07</w:t>
            </w: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562.75</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213</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农林水支出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654.56</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654.56</w:t>
            </w:r>
            <w:r>
              <w:rPr>
                <w:rFonts w:hint="default" w:ascii="Times New Roman" w:hAnsi="Times New Roman" w:cs="Times New Roman"/>
                <w:b/>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21305</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巩固脱贫攻坚成果衔接乡村振兴</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654.56</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654.56</w:t>
            </w:r>
            <w:r>
              <w:rPr>
                <w:rFonts w:hint="default" w:ascii="Times New Roman" w:hAnsi="Times New Roman" w:cs="Times New Roman"/>
                <w:b/>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2130599</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其他巩固脱贫攻坚成果衔接乡村振兴支出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654.56</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654.56</w:t>
            </w: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221</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住房保障支出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28.13</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28.13</w:t>
            </w:r>
            <w:r>
              <w:rPr>
                <w:rFonts w:hint="default" w:ascii="Times New Roman" w:hAnsi="Times New Roman" w:cs="Times New Roman"/>
                <w:b/>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22102</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color w:val="000000"/>
                <w:sz w:val="21"/>
                <w:szCs w:val="21"/>
                <w:lang w:bidi="ar"/>
              </w:rPr>
              <w:t>住房改革支出</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28.13</w:t>
            </w:r>
            <w:r>
              <w:rPr>
                <w:rFonts w:hint="default" w:ascii="Times New Roman" w:hAnsi="Times New Roman" w:cs="Times New Roman"/>
                <w:b/>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bCs w:val="0"/>
                <w:color w:val="000000"/>
                <w:sz w:val="21"/>
                <w:szCs w:val="21"/>
                <w:lang w:bidi="ar"/>
              </w:rPr>
              <w:t>28.13</w:t>
            </w:r>
            <w:r>
              <w:rPr>
                <w:rFonts w:hint="default" w:ascii="Times New Roman" w:hAnsi="Times New Roman" w:cs="Times New Roman"/>
                <w:b/>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185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2210201</w:t>
            </w:r>
          </w:p>
        </w:tc>
        <w:tc>
          <w:tcPr>
            <w:tcW w:w="35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color w:val="000000"/>
                <w:sz w:val="21"/>
                <w:szCs w:val="21"/>
                <w:lang w:bidi="ar"/>
              </w:rPr>
              <w:t>住房公积金</w:t>
            </w:r>
          </w:p>
        </w:tc>
        <w:tc>
          <w:tcPr>
            <w:tcW w:w="331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28.13</w:t>
            </w:r>
            <w:r>
              <w:rPr>
                <w:rFonts w:hint="default" w:ascii="Times New Roman" w:hAnsi="Times New Roman" w:cs="Times New Roman"/>
                <w:b w:val="0"/>
                <w:bCs w:val="0"/>
                <w:color w:val="000000"/>
                <w:sz w:val="21"/>
                <w:szCs w:val="21"/>
                <w:lang w:val="en-US" w:eastAsia="zh-CN" w:bidi="ar"/>
              </w:rPr>
              <w:t xml:space="preserve"> </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eastAsia="宋体" w:cs="Times New Roman"/>
                <w:b w:val="0"/>
                <w:bCs w:val="0"/>
                <w:color w:val="000000"/>
                <w:sz w:val="21"/>
                <w:szCs w:val="21"/>
                <w:lang w:bidi="ar"/>
              </w:rPr>
              <w:t>28.13</w:t>
            </w:r>
            <w:r>
              <w:rPr>
                <w:rFonts w:hint="default" w:ascii="Times New Roman" w:hAnsi="Times New Roman" w:cs="Times New Roman"/>
                <w:b w:val="0"/>
                <w:bCs w:val="0"/>
                <w:color w:val="000000"/>
                <w:sz w:val="21"/>
                <w:szCs w:val="21"/>
                <w:lang w:val="en-US" w:eastAsia="zh-CN" w:bidi="ar"/>
              </w:rPr>
              <w:t xml:space="preserve"> </w:t>
            </w:r>
          </w:p>
        </w:tc>
        <w:tc>
          <w:tcPr>
            <w:tcW w:w="331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val="0"/>
                <w:bCs w:val="0"/>
                <w:color w:val="000000"/>
                <w:sz w:val="21"/>
                <w:szCs w:val="21"/>
                <w:lang w:val="en-US" w:eastAsia="zh-CN" w:bidi="ar"/>
              </w:rPr>
              <w:t xml:space="preserve"> </w:t>
            </w:r>
          </w:p>
        </w:tc>
      </w:tr>
    </w:tbl>
    <w:p>
      <w:pP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备注：1.本表反映单位本年度一般公共预算财政拨款支出情况。</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 xml:space="preserve">      2.本套报表金额单位转换时可能存在尾数误差。</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sz w:val="21"/>
          <w:szCs w:val="21"/>
        </w:rPr>
        <w:br w:type="textWrapping"/>
      </w:r>
    </w:p>
    <w:p>
      <w:pPr>
        <w:numPr>
          <w:ilvl w:val="0"/>
          <w:numId w:val="0"/>
        </w:numPr>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br w:type="page"/>
      </w:r>
    </w:p>
    <w:tbl>
      <w:tblPr>
        <w:tblStyle w:val="12"/>
        <w:tblW w:w="15322" w:type="dxa"/>
        <w:tblInd w:w="0" w:type="dxa"/>
        <w:shd w:val="clear" w:color="auto" w:fill="auto"/>
        <w:tblLayout w:type="fixed"/>
        <w:tblCellMar>
          <w:top w:w="0" w:type="dxa"/>
          <w:left w:w="0" w:type="dxa"/>
          <w:bottom w:w="0" w:type="dxa"/>
          <w:right w:w="0" w:type="dxa"/>
        </w:tblCellMar>
      </w:tblPr>
      <w:tblGrid>
        <w:gridCol w:w="886"/>
        <w:gridCol w:w="2404"/>
        <w:gridCol w:w="1945"/>
        <w:gridCol w:w="772"/>
        <w:gridCol w:w="1602"/>
        <w:gridCol w:w="1889"/>
        <w:gridCol w:w="1"/>
        <w:gridCol w:w="1037"/>
        <w:gridCol w:w="3070"/>
        <w:gridCol w:w="1"/>
        <w:gridCol w:w="1715"/>
      </w:tblGrid>
      <w:tr>
        <w:tblPrEx>
          <w:shd w:val="clear" w:color="auto" w:fill="auto"/>
          <w:tblLayout w:type="fixed"/>
          <w:tblCellMar>
            <w:top w:w="0" w:type="dxa"/>
            <w:left w:w="0" w:type="dxa"/>
            <w:bottom w:w="0" w:type="dxa"/>
            <w:right w:w="0" w:type="dxa"/>
          </w:tblCellMar>
        </w:tblPrEx>
        <w:trPr>
          <w:trHeight w:val="590" w:hRule="atLeast"/>
        </w:trPr>
        <w:tc>
          <w:tcPr>
            <w:tcW w:w="15322" w:type="dxa"/>
            <w:gridSpan w:val="11"/>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40"/>
                <w:szCs w:val="40"/>
                <w:u w:val="none"/>
              </w:rPr>
            </w:pPr>
            <w:r>
              <w:rPr>
                <w:rFonts w:hint="default" w:ascii="Times New Roman" w:hAnsi="Times New Roman" w:eastAsia="宋体" w:cs="Times New Roman"/>
                <w:b/>
                <w:i w:val="0"/>
                <w:color w:val="000000"/>
                <w:kern w:val="0"/>
                <w:sz w:val="44"/>
                <w:szCs w:val="44"/>
                <w:u w:val="none"/>
                <w:lang w:val="en-US" w:eastAsia="zh-CN" w:bidi="ar"/>
              </w:rPr>
              <w:t>一般公共预算财政拨款基本支出决算表</w:t>
            </w:r>
          </w:p>
        </w:tc>
      </w:tr>
      <w:tr>
        <w:tblPrEx>
          <w:tblLayout w:type="fixed"/>
          <w:tblCellMar>
            <w:top w:w="0" w:type="dxa"/>
            <w:left w:w="0" w:type="dxa"/>
            <w:bottom w:w="0" w:type="dxa"/>
            <w:right w:w="0" w:type="dxa"/>
          </w:tblCellMar>
        </w:tblPrEx>
        <w:trPr>
          <w:trHeight w:val="302" w:hRule="atLeast"/>
        </w:trPr>
        <w:tc>
          <w:tcPr>
            <w:tcW w:w="329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r>
              <w:rPr>
                <w:rFonts w:hint="default" w:ascii="Times New Roman" w:hAnsi="Times New Roman" w:cs="Times New Roman" w:eastAsiaTheme="minorEastAsia"/>
                <w:sz w:val="24"/>
                <w:szCs w:val="24"/>
                <w:lang w:eastAsia="zh-CN"/>
              </w:rPr>
              <w:t>公开单位</w:t>
            </w:r>
            <w:r>
              <w:rPr>
                <w:rFonts w:hint="default" w:ascii="Times New Roman" w:hAnsi="Times New Roman" w:cs="Times New Roman" w:eastAsiaTheme="minorEastAsia"/>
                <w:color w:val="000000"/>
                <w:sz w:val="24"/>
                <w:szCs w:val="24"/>
                <w:lang w:bidi="ar"/>
              </w:rPr>
              <w:t xml:space="preserve">： </w:t>
            </w:r>
            <w:r>
              <w:rPr>
                <w:rFonts w:hint="default" w:ascii="Times New Roman" w:hAnsi="Times New Roman" w:cs="Times New Roman"/>
                <w:color w:val="000000"/>
                <w:sz w:val="24"/>
                <w:u w:color="auto"/>
              </w:rPr>
              <w:t>重庆市秀山土家族苗族自治县卫生健康委员会（本级）</w:t>
            </w:r>
          </w:p>
        </w:tc>
        <w:tc>
          <w:tcPr>
            <w:tcW w:w="194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77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60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890"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03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3071"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715"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公开06表</w:t>
            </w:r>
          </w:p>
        </w:tc>
      </w:tr>
      <w:tr>
        <w:tblPrEx>
          <w:tblLayout w:type="fixed"/>
          <w:tblCellMar>
            <w:top w:w="0" w:type="dxa"/>
            <w:left w:w="0" w:type="dxa"/>
            <w:bottom w:w="0" w:type="dxa"/>
            <w:right w:w="0" w:type="dxa"/>
          </w:tblCellMar>
        </w:tblPrEx>
        <w:trPr>
          <w:trHeight w:val="302" w:hRule="atLeast"/>
        </w:trPr>
        <w:tc>
          <w:tcPr>
            <w:tcW w:w="329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94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77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60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890"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03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3071"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715"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单位：</w:t>
            </w:r>
            <w:r>
              <w:rPr>
                <w:rFonts w:hint="default" w:ascii="Times New Roman" w:hAnsi="Times New Roman" w:eastAsia="宋体" w:cs="Times New Roman"/>
                <w:sz w:val="24"/>
                <w:szCs w:val="24"/>
              </w:rPr>
              <w:t>万元</w:t>
            </w:r>
          </w:p>
        </w:tc>
      </w:tr>
      <w:tr>
        <w:tblPrEx>
          <w:tblLayout w:type="fixed"/>
          <w:tblCellMar>
            <w:top w:w="0" w:type="dxa"/>
            <w:left w:w="0" w:type="dxa"/>
            <w:bottom w:w="0" w:type="dxa"/>
            <w:right w:w="0" w:type="dxa"/>
          </w:tblCellMar>
        </w:tblPrEx>
        <w:trPr>
          <w:trHeight w:val="311" w:hRule="atLeast"/>
        </w:trPr>
        <w:tc>
          <w:tcPr>
            <w:tcW w:w="5235"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人员经费</w:t>
            </w:r>
          </w:p>
        </w:tc>
        <w:tc>
          <w:tcPr>
            <w:tcW w:w="10087" w:type="dxa"/>
            <w:gridSpan w:val="8"/>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公用经费</w:t>
            </w:r>
          </w:p>
        </w:tc>
      </w:tr>
      <w:tr>
        <w:tblPrEx>
          <w:tblLayout w:type="fixed"/>
          <w:tblCellMar>
            <w:top w:w="0" w:type="dxa"/>
            <w:left w:w="0" w:type="dxa"/>
            <w:bottom w:w="0" w:type="dxa"/>
            <w:right w:w="0" w:type="dxa"/>
          </w:tblCellMar>
        </w:tblPrEx>
        <w:trPr>
          <w:trHeight w:val="312" w:hRule="atLeast"/>
        </w:trPr>
        <w:tc>
          <w:tcPr>
            <w:tcW w:w="88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经济分类科目编码</w:t>
            </w:r>
          </w:p>
        </w:tc>
        <w:tc>
          <w:tcPr>
            <w:tcW w:w="240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经济分类科目（按“款”级功能分类科目）</w:t>
            </w:r>
          </w:p>
        </w:tc>
        <w:tc>
          <w:tcPr>
            <w:tcW w:w="194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cs="Times New Roman"/>
                <w:b/>
                <w:i w:val="0"/>
                <w:color w:val="000000"/>
                <w:kern w:val="0"/>
                <w:sz w:val="22"/>
                <w:szCs w:val="22"/>
                <w:u w:val="none"/>
                <w:lang w:val="en-US" w:eastAsia="zh-CN" w:bidi="ar"/>
              </w:rPr>
              <w:t>金额</w:t>
            </w:r>
          </w:p>
        </w:tc>
        <w:tc>
          <w:tcPr>
            <w:tcW w:w="77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经济分类科目编码</w:t>
            </w:r>
          </w:p>
        </w:tc>
        <w:tc>
          <w:tcPr>
            <w:tcW w:w="160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cs="Times New Roman"/>
                <w:b/>
                <w:i w:val="0"/>
                <w:color w:val="000000"/>
                <w:kern w:val="0"/>
                <w:sz w:val="22"/>
                <w:szCs w:val="22"/>
                <w:u w:val="none"/>
                <w:lang w:val="en-US" w:eastAsia="zh-CN" w:bidi="ar"/>
              </w:rPr>
              <w:t>金额</w:t>
            </w:r>
          </w:p>
        </w:tc>
        <w:tc>
          <w:tcPr>
            <w:tcW w:w="1038"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经济分类科目编码</w:t>
            </w:r>
          </w:p>
        </w:tc>
        <w:tc>
          <w:tcPr>
            <w:tcW w:w="307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经济分类科目（按“款”级功能分类科目）</w:t>
            </w:r>
          </w:p>
        </w:tc>
        <w:tc>
          <w:tcPr>
            <w:tcW w:w="1716"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cs="Times New Roman"/>
                <w:b/>
                <w:i w:val="0"/>
                <w:color w:val="000000"/>
                <w:kern w:val="0"/>
                <w:sz w:val="22"/>
                <w:szCs w:val="22"/>
                <w:u w:val="none"/>
                <w:lang w:val="en-US" w:eastAsia="zh-CN" w:bidi="ar"/>
              </w:rPr>
              <w:t>金额</w:t>
            </w:r>
          </w:p>
        </w:tc>
      </w:tr>
      <w:tr>
        <w:tblPrEx>
          <w:tblLayout w:type="fixed"/>
          <w:tblCellMar>
            <w:top w:w="0" w:type="dxa"/>
            <w:left w:w="0" w:type="dxa"/>
            <w:bottom w:w="0" w:type="dxa"/>
            <w:right w:w="0" w:type="dxa"/>
          </w:tblCellMar>
        </w:tblPrEx>
        <w:trPr>
          <w:trHeight w:val="799" w:hRule="atLeast"/>
        </w:trPr>
        <w:tc>
          <w:tcPr>
            <w:tcW w:w="88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240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94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77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60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038"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07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16"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工资福利支出</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384.59</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商品和服务支出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2,437.35</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资本性支出</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1.49</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30101</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基本工资</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84.29</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30201</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办公费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2.13</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31001</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房屋建筑物购建</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30102</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津贴补贴</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64.47</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30202</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印刷费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0.82</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31002</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办公设备购置</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1.49</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30103</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奖金</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95.26</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30203</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咨询费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31003</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专用设备购置</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30106</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伙食补助费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3.36</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30204</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手续费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31005</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基础设施建设</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30107</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绩效工资</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30205</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水费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0.20</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31006</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大型修缮</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33"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30108</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机关事业单位基本养老保险缴费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33.65</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30206</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电费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1.76</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31007</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信息网络及软件购置更新</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30109</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职业年金缴费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16.82</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30207</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邮电费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6.11</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31008</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物资储备</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64"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30110</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职工基本医疗保险缴费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14.34</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30208</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取暖费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31009</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土地补偿</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30111</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公务员医疗补助缴费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30209</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物业管理费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0.56</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31010</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安置补助</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33"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30112</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其他社会保障缴费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0.43</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30211</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差旅费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1.91</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31011</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地上附着物和青苗补偿</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30113</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住房公积金</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28.43</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30212</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因公出国（境）费用</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31012</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拆迁补偿</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30114</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医疗费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3.84</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30213</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维修（护）费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31013</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公务用车购置</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30199</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其他工资福利支出</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39.70</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30214</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租赁费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1.59</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31019</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其他交通工具购置</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对个人和家庭的补助</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278.81</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30215</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会议费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31021</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文物和陈列品购置</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30301</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离休费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30216</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培训费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1.01</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31022</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无形资产购置</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30302</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退休费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30217</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公务接待费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0.41</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31099</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其他资本性支出</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30303</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退职（役）费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30218</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专用材料费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312</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对企业补助</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30304</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抚恤金</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52.36</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30224</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被装购置费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31201</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资本金注入</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30305</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生活补助</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209.65</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30225</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专用燃料费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31203</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政府投资基金股权投资</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30306</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救济费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30226</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劳务费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0.18</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31204</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费用补贴</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30307</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医疗费补助</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16.80</w:t>
            </w: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30227</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委托业务费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2,403.35</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31205</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利息补贴</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30308</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助学金</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30228</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工会经费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31299</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其他对企业补助</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30309</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奖励金</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30229</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福利费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399</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其他支出</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30310</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个人农业生产补贴</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30231</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公务用车运行维护费</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5.00</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39907</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国家赔偿费用支出</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30311</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代缴社会保险费</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30239</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其他交通费用</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12.35</w:t>
            </w: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39908</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对民间非营利组织和群众性自治组织补贴</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30399</w:t>
            </w: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其他对个人和家庭的补助</w:t>
            </w: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30240</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税金及附加费用</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39909</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经常性赠与</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30299</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其他商品和服务支出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39910</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资本性赠与</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307</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债务利息及费用支出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39999</w:t>
            </w: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其他支出</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30701</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国内债务付息</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30702</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国外债务付息</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30703</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国内债务发行费用</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r>
      <w:tr>
        <w:tblPrEx>
          <w:tblLayout w:type="fixed"/>
          <w:tblCellMar>
            <w:top w:w="0" w:type="dxa"/>
            <w:left w:w="0" w:type="dxa"/>
            <w:bottom w:w="0" w:type="dxa"/>
            <w:right w:w="0" w:type="dxa"/>
          </w:tblCellMar>
        </w:tblPrEx>
        <w:trPr>
          <w:trHeight w:val="311" w:hRule="atLeast"/>
        </w:trPr>
        <w:tc>
          <w:tcPr>
            <w:tcW w:w="8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40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77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30704</w:t>
            </w:r>
          </w:p>
        </w:tc>
        <w:tc>
          <w:tcPr>
            <w:tcW w:w="16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国外债务发行费用</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cs="Times New Roman"/>
                <w:color w:val="000000"/>
                <w:sz w:val="21"/>
                <w:szCs w:val="21"/>
                <w:lang w:val="en-US" w:eastAsia="zh-CN" w:bidi="ar"/>
              </w:rPr>
              <w:t xml:space="preserve"> </w:t>
            </w:r>
          </w:p>
        </w:tc>
        <w:tc>
          <w:tcPr>
            <w:tcW w:w="10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307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i w:val="0"/>
                <w:color w:val="000000"/>
                <w:sz w:val="22"/>
                <w:szCs w:val="22"/>
                <w:u w:val="none"/>
              </w:rPr>
            </w:pPr>
          </w:p>
        </w:tc>
      </w:tr>
      <w:tr>
        <w:tblPrEx>
          <w:tblLayout w:type="fixed"/>
          <w:tblCellMar>
            <w:top w:w="0" w:type="dxa"/>
            <w:left w:w="0" w:type="dxa"/>
            <w:bottom w:w="0" w:type="dxa"/>
            <w:right w:w="0" w:type="dxa"/>
          </w:tblCellMar>
        </w:tblPrEx>
        <w:trPr>
          <w:trHeight w:val="321" w:hRule="atLeast"/>
        </w:trPr>
        <w:tc>
          <w:tcPr>
            <w:tcW w:w="3290"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人员经费合计</w:t>
            </w:r>
          </w:p>
        </w:tc>
        <w:tc>
          <w:tcPr>
            <w:tcW w:w="19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663.40</w:t>
            </w:r>
            <w:r>
              <w:rPr>
                <w:rFonts w:hint="default" w:ascii="Times New Roman" w:hAnsi="Times New Roman" w:cs="Times New Roman"/>
                <w:color w:val="000000"/>
                <w:sz w:val="21"/>
                <w:szCs w:val="21"/>
                <w:lang w:val="en-US" w:eastAsia="zh-CN" w:bidi="ar"/>
              </w:rPr>
              <w:t xml:space="preserve"> </w:t>
            </w:r>
          </w:p>
        </w:tc>
        <w:tc>
          <w:tcPr>
            <w:tcW w:w="8371" w:type="dxa"/>
            <w:gridSpan w:val="6"/>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公用经费合计</w:t>
            </w:r>
          </w:p>
        </w:tc>
        <w:tc>
          <w:tcPr>
            <w:tcW w:w="171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宋体" w:cs="Times New Roman"/>
                <w:color w:val="000000"/>
                <w:sz w:val="21"/>
                <w:szCs w:val="21"/>
                <w:lang w:bidi="ar"/>
              </w:rPr>
              <w:t>2,438.84</w:t>
            </w:r>
            <w:r>
              <w:rPr>
                <w:rFonts w:hint="default" w:ascii="Times New Roman" w:hAnsi="Times New Roman" w:cs="Times New Roman"/>
                <w:color w:val="000000"/>
                <w:sz w:val="21"/>
                <w:szCs w:val="21"/>
                <w:lang w:val="en-US" w:eastAsia="zh-CN" w:bidi="ar"/>
              </w:rPr>
              <w:t xml:space="preserve"> </w:t>
            </w:r>
          </w:p>
        </w:tc>
      </w:tr>
    </w:tbl>
    <w:p>
      <w:pP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备注：1.本表反映单位本年度一般公共预算财政拨款基本支出明细情况。</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 xml:space="preserve">      2.本套报表金额单位转换时可能存在尾数误差。</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sz w:val="21"/>
          <w:szCs w:val="21"/>
        </w:rPr>
        <w:br w:type="textWrapping"/>
      </w:r>
    </w:p>
    <w:p>
      <w:pPr>
        <w:rPr>
          <w:rFonts w:hint="default" w:ascii="Times New Roman" w:hAnsi="Times New Roman" w:eastAsia="宋体" w:cs="Times New Roman"/>
          <w:sz w:val="21"/>
          <w:szCs w:val="21"/>
        </w:rPr>
      </w:pPr>
      <w:r>
        <w:rPr>
          <w:rFonts w:hint="default" w:ascii="Times New Roman" w:hAnsi="Times New Roman" w:eastAsia="宋体" w:cs="Times New Roman"/>
          <w:sz w:val="21"/>
          <w:szCs w:val="21"/>
        </w:rPr>
        <w:br w:type="page"/>
      </w:r>
    </w:p>
    <w:tbl>
      <w:tblPr>
        <w:tblStyle w:val="12"/>
        <w:tblW w:w="15322" w:type="dxa"/>
        <w:tblInd w:w="0" w:type="dxa"/>
        <w:shd w:val="clear" w:color="auto" w:fill="auto"/>
        <w:tblLayout w:type="fixed"/>
        <w:tblCellMar>
          <w:top w:w="0" w:type="dxa"/>
          <w:left w:w="0" w:type="dxa"/>
          <w:bottom w:w="0" w:type="dxa"/>
          <w:right w:w="0" w:type="dxa"/>
        </w:tblCellMar>
      </w:tblPr>
      <w:tblGrid>
        <w:gridCol w:w="1850"/>
        <w:gridCol w:w="3077"/>
        <w:gridCol w:w="1703"/>
        <w:gridCol w:w="1704"/>
        <w:gridCol w:w="1704"/>
        <w:gridCol w:w="1704"/>
        <w:gridCol w:w="1762"/>
        <w:gridCol w:w="1818"/>
      </w:tblGrid>
      <w:tr>
        <w:tblPrEx>
          <w:shd w:val="clear" w:color="auto" w:fill="auto"/>
          <w:tblLayout w:type="fixed"/>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40"/>
                <w:szCs w:val="40"/>
                <w:u w:val="none"/>
              </w:rPr>
            </w:pPr>
            <w:r>
              <w:rPr>
                <w:rFonts w:hint="default" w:ascii="Times New Roman" w:hAnsi="Times New Roman" w:eastAsia="宋体" w:cs="Times New Roman"/>
                <w:b/>
                <w:i w:val="0"/>
                <w:color w:val="000000"/>
                <w:kern w:val="0"/>
                <w:sz w:val="44"/>
                <w:szCs w:val="44"/>
                <w:u w:val="none"/>
                <w:lang w:val="en-US" w:eastAsia="zh-CN" w:bidi="ar"/>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27"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r>
              <w:rPr>
                <w:rFonts w:hint="default" w:ascii="Times New Roman" w:hAnsi="Times New Roman" w:cs="Times New Roman" w:eastAsiaTheme="minorEastAsia"/>
                <w:sz w:val="24"/>
                <w:szCs w:val="24"/>
                <w:lang w:eastAsia="zh-CN"/>
              </w:rPr>
              <w:t>公开单位</w:t>
            </w:r>
            <w:r>
              <w:rPr>
                <w:rFonts w:hint="default" w:ascii="Times New Roman" w:hAnsi="Times New Roman" w:cs="Times New Roman" w:eastAsiaTheme="minorEastAsia"/>
                <w:color w:val="000000"/>
                <w:sz w:val="24"/>
                <w:szCs w:val="24"/>
                <w:lang w:bidi="ar"/>
              </w:rPr>
              <w:t xml:space="preserve">： </w:t>
            </w:r>
            <w:r>
              <w:rPr>
                <w:rFonts w:hint="default" w:ascii="Times New Roman" w:hAnsi="Times New Roman" w:cs="Times New Roman"/>
                <w:color w:val="000000"/>
                <w:sz w:val="24"/>
                <w:u w:color="auto"/>
              </w:rPr>
              <w:t>重庆市秀山土家族苗族自治县卫生健康委员会（本级）</w:t>
            </w:r>
          </w:p>
        </w:tc>
        <w:tc>
          <w:tcPr>
            <w:tcW w:w="170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70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70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70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76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1818"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公开07表</w:t>
            </w:r>
          </w:p>
        </w:tc>
      </w:tr>
      <w:tr>
        <w:tblPrEx>
          <w:tblLayout w:type="fixed"/>
          <w:tblCellMar>
            <w:top w:w="0" w:type="dxa"/>
            <w:left w:w="0" w:type="dxa"/>
            <w:bottom w:w="0" w:type="dxa"/>
            <w:right w:w="0" w:type="dxa"/>
          </w:tblCellMar>
        </w:tblPrEx>
        <w:trPr>
          <w:trHeight w:val="329" w:hRule="atLeast"/>
        </w:trPr>
        <w:tc>
          <w:tcPr>
            <w:tcW w:w="4927"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70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70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70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70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76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1818"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单位：</w:t>
            </w:r>
            <w:r>
              <w:rPr>
                <w:rFonts w:hint="default" w:ascii="Times New Roman" w:hAnsi="Times New Roman" w:eastAsia="宋体" w:cs="Times New Roman"/>
                <w:sz w:val="24"/>
                <w:szCs w:val="24"/>
              </w:rPr>
              <w:t>万元</w:t>
            </w:r>
          </w:p>
        </w:tc>
      </w:tr>
      <w:tr>
        <w:tblPrEx>
          <w:tblLayout w:type="fixed"/>
          <w:tblCellMar>
            <w:top w:w="0" w:type="dxa"/>
            <w:left w:w="0" w:type="dxa"/>
            <w:bottom w:w="0" w:type="dxa"/>
            <w:right w:w="0" w:type="dxa"/>
          </w:tblCellMar>
        </w:tblPrEx>
        <w:trPr>
          <w:trHeight w:val="339" w:hRule="atLeast"/>
        </w:trPr>
        <w:tc>
          <w:tcPr>
            <w:tcW w:w="492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w:t>
            </w:r>
          </w:p>
        </w:tc>
        <w:tc>
          <w:tcPr>
            <w:tcW w:w="1703"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年初结转和结余</w:t>
            </w:r>
          </w:p>
        </w:tc>
        <w:tc>
          <w:tcPr>
            <w:tcW w:w="170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本年收入</w:t>
            </w:r>
          </w:p>
        </w:tc>
        <w:tc>
          <w:tcPr>
            <w:tcW w:w="5170"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本年支出</w:t>
            </w:r>
          </w:p>
        </w:tc>
        <w:tc>
          <w:tcPr>
            <w:tcW w:w="181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年末结转和结余</w:t>
            </w:r>
          </w:p>
        </w:tc>
      </w:tr>
      <w:tr>
        <w:tblPrEx>
          <w:tblLayout w:type="fixed"/>
          <w:tblCellMar>
            <w:top w:w="0" w:type="dxa"/>
            <w:left w:w="0" w:type="dxa"/>
            <w:bottom w:w="0" w:type="dxa"/>
            <w:right w:w="0" w:type="dxa"/>
          </w:tblCellMar>
        </w:tblPrEx>
        <w:trPr>
          <w:trHeight w:val="335" w:hRule="atLeast"/>
        </w:trPr>
        <w:tc>
          <w:tcPr>
            <w:tcW w:w="185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功能分类科目编码</w:t>
            </w:r>
          </w:p>
        </w:tc>
        <w:tc>
          <w:tcPr>
            <w:tcW w:w="307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项目（按“项”级功能分类科目）</w:t>
            </w:r>
          </w:p>
        </w:tc>
        <w:tc>
          <w:tcPr>
            <w:tcW w:w="1703"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0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0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合计</w:t>
            </w:r>
          </w:p>
        </w:tc>
        <w:tc>
          <w:tcPr>
            <w:tcW w:w="170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基本支出</w:t>
            </w:r>
          </w:p>
        </w:tc>
        <w:tc>
          <w:tcPr>
            <w:tcW w:w="176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项目支出</w:t>
            </w:r>
          </w:p>
        </w:tc>
        <w:tc>
          <w:tcPr>
            <w:tcW w:w="181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35" w:hRule="atLeast"/>
        </w:trPr>
        <w:tc>
          <w:tcPr>
            <w:tcW w:w="185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07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03"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0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0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0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6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81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645" w:hRule="atLeast"/>
        </w:trPr>
        <w:tc>
          <w:tcPr>
            <w:tcW w:w="185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07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03"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0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0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0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76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181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39" w:hRule="atLeast"/>
        </w:trPr>
        <w:tc>
          <w:tcPr>
            <w:tcW w:w="4927"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合计</w:t>
            </w:r>
          </w:p>
        </w:tc>
        <w:tc>
          <w:tcPr>
            <w:tcW w:w="17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7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7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7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7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18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r>
    </w:tbl>
    <w:p>
      <w:pP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备注：本表反映单位本年度政府性基金预算财政拨款收入支出及结转和结余情况。本单位无政府性基金收支，故本表无数据。</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sz w:val="21"/>
          <w:szCs w:val="21"/>
        </w:rPr>
        <w:br w:type="textWrapping"/>
      </w:r>
    </w:p>
    <w:p>
      <w:pPr>
        <w:rPr>
          <w:rFonts w:hint="default" w:ascii="Times New Roman" w:hAnsi="Times New Roman" w:eastAsia="宋体" w:cs="Times New Roman"/>
          <w:sz w:val="21"/>
          <w:szCs w:val="21"/>
        </w:rPr>
      </w:pPr>
      <w:r>
        <w:rPr>
          <w:rFonts w:hint="default" w:ascii="Times New Roman" w:hAnsi="Times New Roman" w:eastAsia="宋体" w:cs="Times New Roman"/>
          <w:sz w:val="21"/>
          <w:szCs w:val="21"/>
        </w:rPr>
        <w:br w:type="page"/>
      </w:r>
    </w:p>
    <w:tbl>
      <w:tblPr>
        <w:tblStyle w:val="12"/>
        <w:tblW w:w="15322" w:type="dxa"/>
        <w:tblInd w:w="0" w:type="dxa"/>
        <w:shd w:val="clear" w:color="auto" w:fill="auto"/>
        <w:tblLayout w:type="fixed"/>
        <w:tblCellMar>
          <w:top w:w="0" w:type="dxa"/>
          <w:left w:w="0" w:type="dxa"/>
          <w:bottom w:w="0" w:type="dxa"/>
          <w:right w:w="0" w:type="dxa"/>
        </w:tblCellMar>
      </w:tblPr>
      <w:tblGrid>
        <w:gridCol w:w="1882"/>
        <w:gridCol w:w="3048"/>
        <w:gridCol w:w="3265"/>
        <w:gridCol w:w="1"/>
        <w:gridCol w:w="3739"/>
        <w:gridCol w:w="3387"/>
      </w:tblGrid>
      <w:tr>
        <w:tblPrEx>
          <w:tblLayout w:type="fixed"/>
          <w:tblCellMar>
            <w:top w:w="0" w:type="dxa"/>
            <w:left w:w="0" w:type="dxa"/>
            <w:bottom w:w="0" w:type="dxa"/>
            <w:right w:w="0" w:type="dxa"/>
          </w:tblCellMar>
        </w:tblPrEx>
        <w:trPr>
          <w:trHeight w:val="650" w:hRule="atLeast"/>
        </w:trPr>
        <w:tc>
          <w:tcPr>
            <w:tcW w:w="15322" w:type="dxa"/>
            <w:gridSpan w:val="6"/>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40"/>
                <w:szCs w:val="40"/>
                <w:u w:val="none"/>
              </w:rPr>
            </w:pPr>
            <w:r>
              <w:rPr>
                <w:rFonts w:hint="default" w:ascii="Times New Roman" w:hAnsi="Times New Roman" w:eastAsia="宋体" w:cs="Times New Roman"/>
                <w:b/>
                <w:i w:val="0"/>
                <w:color w:val="000000"/>
                <w:kern w:val="0"/>
                <w:sz w:val="44"/>
                <w:szCs w:val="44"/>
                <w:u w:val="none"/>
                <w:lang w:val="en-US" w:eastAsia="zh-CN" w:bidi="ar"/>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3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r>
              <w:rPr>
                <w:rFonts w:hint="default" w:ascii="Times New Roman" w:hAnsi="Times New Roman" w:cs="Times New Roman" w:eastAsiaTheme="minorEastAsia"/>
                <w:sz w:val="24"/>
                <w:szCs w:val="24"/>
                <w:lang w:eastAsia="zh-CN"/>
              </w:rPr>
              <w:t>公开单位</w:t>
            </w:r>
            <w:r>
              <w:rPr>
                <w:rFonts w:hint="default" w:ascii="Times New Roman" w:hAnsi="Times New Roman" w:cs="Times New Roman" w:eastAsiaTheme="minorEastAsia"/>
                <w:color w:val="000000"/>
                <w:sz w:val="24"/>
                <w:szCs w:val="24"/>
                <w:lang w:bidi="ar"/>
              </w:rPr>
              <w:t xml:space="preserve">： </w:t>
            </w:r>
            <w:r>
              <w:rPr>
                <w:rFonts w:hint="default" w:ascii="Times New Roman" w:hAnsi="Times New Roman" w:cs="Times New Roman"/>
                <w:color w:val="000000"/>
                <w:sz w:val="24"/>
                <w:u w:color="auto"/>
              </w:rPr>
              <w:t>重庆市秀山土家族苗族自治县卫生健康委员会（本级）</w:t>
            </w:r>
          </w:p>
        </w:tc>
        <w:tc>
          <w:tcPr>
            <w:tcW w:w="326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3740"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3387"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公开08表</w:t>
            </w:r>
          </w:p>
        </w:tc>
      </w:tr>
      <w:tr>
        <w:tblPrEx>
          <w:tblLayout w:type="fixed"/>
          <w:tblCellMar>
            <w:top w:w="0" w:type="dxa"/>
            <w:left w:w="0" w:type="dxa"/>
            <w:bottom w:w="0" w:type="dxa"/>
            <w:right w:w="0" w:type="dxa"/>
          </w:tblCellMar>
        </w:tblPrEx>
        <w:trPr>
          <w:trHeight w:val="332" w:hRule="atLeast"/>
        </w:trPr>
        <w:tc>
          <w:tcPr>
            <w:tcW w:w="493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326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3740"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3387"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单位：</w:t>
            </w:r>
            <w:r>
              <w:rPr>
                <w:rFonts w:hint="default" w:ascii="Times New Roman" w:hAnsi="Times New Roman" w:eastAsia="宋体" w:cs="Times New Roman"/>
                <w:sz w:val="24"/>
                <w:szCs w:val="24"/>
              </w:rPr>
              <w:t>万元</w:t>
            </w:r>
          </w:p>
        </w:tc>
      </w:tr>
      <w:tr>
        <w:tblPrEx>
          <w:tblLayout w:type="fixed"/>
          <w:tblCellMar>
            <w:top w:w="0" w:type="dxa"/>
            <w:left w:w="0" w:type="dxa"/>
            <w:bottom w:w="0" w:type="dxa"/>
            <w:right w:w="0" w:type="dxa"/>
          </w:tblCellMar>
        </w:tblPrEx>
        <w:trPr>
          <w:trHeight w:val="422" w:hRule="atLeast"/>
        </w:trPr>
        <w:tc>
          <w:tcPr>
            <w:tcW w:w="493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w:t>
            </w:r>
          </w:p>
        </w:tc>
        <w:tc>
          <w:tcPr>
            <w:tcW w:w="10392" w:type="dxa"/>
            <w:gridSpan w:val="4"/>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功能分类科目编码</w:t>
            </w:r>
          </w:p>
        </w:tc>
        <w:tc>
          <w:tcPr>
            <w:tcW w:w="3048"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科目名称</w:t>
            </w:r>
          </w:p>
        </w:tc>
        <w:tc>
          <w:tcPr>
            <w:tcW w:w="326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合计</w:t>
            </w:r>
          </w:p>
        </w:tc>
        <w:tc>
          <w:tcPr>
            <w:tcW w:w="373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基本支出</w:t>
            </w:r>
          </w:p>
        </w:tc>
        <w:tc>
          <w:tcPr>
            <w:tcW w:w="338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04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26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73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38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04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26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73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38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312"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04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26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73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c>
          <w:tcPr>
            <w:tcW w:w="338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宋体" w:cs="Times New Roman"/>
                <w:b/>
                <w:i w:val="0"/>
                <w:color w:val="000000"/>
                <w:sz w:val="22"/>
                <w:szCs w:val="22"/>
                <w:u w:val="none"/>
              </w:rPr>
            </w:pPr>
          </w:p>
        </w:tc>
      </w:tr>
      <w:tr>
        <w:tblPrEx>
          <w:tblLayout w:type="fixed"/>
          <w:tblCellMar>
            <w:top w:w="0" w:type="dxa"/>
            <w:left w:w="0" w:type="dxa"/>
            <w:bottom w:w="0" w:type="dxa"/>
            <w:right w:w="0" w:type="dxa"/>
          </w:tblCellMar>
        </w:tblPrEx>
        <w:trPr>
          <w:trHeight w:val="611" w:hRule="atLeast"/>
        </w:trPr>
        <w:tc>
          <w:tcPr>
            <w:tcW w:w="49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合计</w:t>
            </w:r>
          </w:p>
        </w:tc>
        <w:tc>
          <w:tcPr>
            <w:tcW w:w="326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c>
          <w:tcPr>
            <w:tcW w:w="37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宋体" w:cs="Times New Roman"/>
                <w:b/>
                <w:i w:val="0"/>
                <w:color w:val="000000"/>
                <w:sz w:val="22"/>
                <w:szCs w:val="22"/>
                <w:u w:val="none"/>
              </w:rPr>
            </w:pPr>
          </w:p>
        </w:tc>
        <w:tc>
          <w:tcPr>
            <w:tcW w:w="33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宋体" w:cs="Times New Roman"/>
                <w:b/>
                <w:i w:val="0"/>
                <w:color w:val="000000"/>
                <w:sz w:val="22"/>
                <w:szCs w:val="22"/>
                <w:u w:val="none"/>
                <w:lang w:val="en-US" w:eastAsia="zh-CN"/>
              </w:rPr>
            </w:pPr>
            <w:r>
              <w:rPr>
                <w:rFonts w:hint="default" w:ascii="Times New Roman" w:hAnsi="Times New Roman" w:cs="Times New Roman"/>
                <w:b/>
                <w:bCs/>
                <w:color w:val="000000"/>
                <w:sz w:val="21"/>
                <w:szCs w:val="21"/>
                <w:lang w:val="en-US" w:eastAsia="zh-CN" w:bidi="ar"/>
              </w:rPr>
              <w:t xml:space="preserve"> </w:t>
            </w:r>
          </w:p>
        </w:tc>
      </w:tr>
    </w:tbl>
    <w:p>
      <w:pP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备注：本表反映单位本年度国有资本经营预算财政拨款支出情况。本单位无国有资本经营收支，故本表无数据。</w:t>
      </w: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br w:type="textWrapping"/>
      </w:r>
      <w:r>
        <w:rPr>
          <w:rFonts w:hint="default" w:ascii="Times New Roman" w:hAnsi="Times New Roman" w:eastAsia="宋体" w:cs="Times New Roman"/>
          <w:sz w:val="21"/>
          <w:szCs w:val="21"/>
        </w:rPr>
        <w:br w:type="textWrapping"/>
      </w:r>
    </w:p>
    <w:p>
      <w:pPr>
        <w:numPr>
          <w:ilvl w:val="0"/>
          <w:numId w:val="0"/>
        </w:numPr>
        <w:rPr>
          <w:rFonts w:hint="default" w:ascii="Times New Roman" w:hAnsi="Times New Roman" w:eastAsia="宋体" w:cs="Times New Roman"/>
          <w:sz w:val="21"/>
          <w:szCs w:val="21"/>
        </w:rPr>
      </w:pPr>
      <w:r>
        <w:rPr>
          <w:rFonts w:hint="default" w:ascii="Times New Roman" w:hAnsi="Times New Roman" w:eastAsia="宋体" w:cs="Times New Roman"/>
          <w:sz w:val="21"/>
          <w:szCs w:val="21"/>
        </w:rPr>
        <w:br w:type="page"/>
      </w:r>
    </w:p>
    <w:tbl>
      <w:tblPr>
        <w:tblStyle w:val="12"/>
        <w:tblW w:w="15322" w:type="dxa"/>
        <w:tblInd w:w="0" w:type="dxa"/>
        <w:shd w:val="clear" w:color="auto" w:fill="auto"/>
        <w:tblLayout w:type="fixed"/>
        <w:tblCellMar>
          <w:top w:w="0" w:type="dxa"/>
          <w:left w:w="0" w:type="dxa"/>
          <w:bottom w:w="0" w:type="dxa"/>
          <w:right w:w="0" w:type="dxa"/>
        </w:tblCellMar>
      </w:tblPr>
      <w:tblGrid>
        <w:gridCol w:w="3566"/>
        <w:gridCol w:w="2641"/>
        <w:gridCol w:w="2268"/>
        <w:gridCol w:w="4549"/>
        <w:gridCol w:w="2298"/>
      </w:tblGrid>
      <w:tr>
        <w:tblPrEx>
          <w:shd w:val="clear" w:color="auto" w:fill="auto"/>
          <w:tblLayout w:type="fixed"/>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40"/>
                <w:szCs w:val="40"/>
                <w:u w:val="none"/>
              </w:rPr>
            </w:pPr>
            <w:r>
              <w:rPr>
                <w:rFonts w:hint="default" w:ascii="Times New Roman" w:hAnsi="Times New Roman" w:eastAsia="宋体" w:cs="Times New Roman"/>
                <w:b/>
                <w:i w:val="0"/>
                <w:color w:val="000000"/>
                <w:kern w:val="0"/>
                <w:sz w:val="44"/>
                <w:szCs w:val="44"/>
                <w:u w:val="none"/>
                <w:lang w:val="en-US" w:eastAsia="zh-CN" w:bidi="ar"/>
              </w:rPr>
              <w:t>机构运行信息表</w:t>
            </w:r>
          </w:p>
        </w:tc>
      </w:tr>
      <w:tr>
        <w:tblPrEx>
          <w:tblLayout w:type="fixed"/>
          <w:tblCellMar>
            <w:top w:w="0" w:type="dxa"/>
            <w:left w:w="0" w:type="dxa"/>
            <w:bottom w:w="0" w:type="dxa"/>
            <w:right w:w="0" w:type="dxa"/>
          </w:tblCellMar>
        </w:tblPrEx>
        <w:trPr>
          <w:trHeight w:val="255" w:hRule="atLeast"/>
        </w:trPr>
        <w:tc>
          <w:tcPr>
            <w:tcW w:w="356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641" w:type="dxa"/>
            <w:tcBorders>
              <w:top w:val="nil"/>
              <w:left w:val="nil"/>
              <w:bottom w:val="nil"/>
              <w:right w:val="nil"/>
            </w:tcBorders>
            <w:shd w:val="clear" w:color="auto" w:fill="auto"/>
            <w:tcMar>
              <w:top w:w="15" w:type="dxa"/>
              <w:left w:w="15" w:type="dxa"/>
              <w:right w:w="15" w:type="dxa"/>
            </w:tcMar>
            <w:vAlign w:val="bottom"/>
          </w:tcPr>
          <w:p>
            <w:pPr>
              <w:jc w:val="center"/>
              <w:rPr>
                <w:rFonts w:hint="default" w:ascii="Times New Roman" w:hAnsi="Times New Roman" w:eastAsia="宋体" w:cs="Times New Roman"/>
                <w:i w:val="0"/>
                <w:color w:val="000000"/>
                <w:sz w:val="20"/>
                <w:szCs w:val="20"/>
                <w:u w:val="none"/>
              </w:rPr>
            </w:pPr>
          </w:p>
        </w:tc>
        <w:tc>
          <w:tcPr>
            <w:tcW w:w="2268" w:type="dxa"/>
            <w:tcBorders>
              <w:top w:val="nil"/>
              <w:left w:val="nil"/>
              <w:bottom w:val="nil"/>
              <w:right w:val="nil"/>
            </w:tcBorders>
            <w:shd w:val="clear" w:color="auto" w:fill="auto"/>
            <w:tcMar>
              <w:top w:w="15" w:type="dxa"/>
              <w:left w:w="15" w:type="dxa"/>
              <w:right w:w="15" w:type="dxa"/>
            </w:tcMar>
            <w:vAlign w:val="bottom"/>
          </w:tcPr>
          <w:p>
            <w:pPr>
              <w:jc w:val="right"/>
              <w:rPr>
                <w:rFonts w:hint="default" w:ascii="Times New Roman" w:hAnsi="Times New Roman" w:eastAsia="宋体" w:cs="Times New Roman"/>
                <w:i w:val="0"/>
                <w:color w:val="000000"/>
                <w:sz w:val="20"/>
                <w:szCs w:val="20"/>
                <w:u w:val="none"/>
              </w:rPr>
            </w:pPr>
          </w:p>
        </w:tc>
        <w:tc>
          <w:tcPr>
            <w:tcW w:w="454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0"/>
                <w:szCs w:val="20"/>
                <w:u w:val="none"/>
              </w:rPr>
            </w:pPr>
          </w:p>
        </w:tc>
        <w:tc>
          <w:tcPr>
            <w:tcW w:w="2298" w:type="dxa"/>
            <w:tcBorders>
              <w:top w:val="nil"/>
              <w:left w:val="nil"/>
              <w:bottom w:val="nil"/>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公开09表</w:t>
            </w:r>
          </w:p>
        </w:tc>
      </w:tr>
      <w:tr>
        <w:tblPrEx>
          <w:tblLayout w:type="fixed"/>
          <w:tblCellMar>
            <w:top w:w="0" w:type="dxa"/>
            <w:left w:w="0" w:type="dxa"/>
            <w:bottom w:w="0" w:type="dxa"/>
            <w:right w:w="0" w:type="dxa"/>
          </w:tblCellMar>
        </w:tblPrEx>
        <w:trPr>
          <w:trHeight w:val="285" w:hRule="atLeast"/>
        </w:trPr>
        <w:tc>
          <w:tcPr>
            <w:tcW w:w="3566"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2"/>
                <w:szCs w:val="22"/>
                <w:u w:val="none"/>
              </w:rPr>
            </w:pPr>
            <w:r>
              <w:rPr>
                <w:rFonts w:hint="default" w:ascii="Times New Roman" w:hAnsi="Times New Roman" w:cs="Times New Roman" w:eastAsiaTheme="minorEastAsia"/>
                <w:sz w:val="24"/>
                <w:szCs w:val="24"/>
                <w:lang w:eastAsia="zh-CN"/>
              </w:rPr>
              <w:t>公开单位</w:t>
            </w:r>
            <w:r>
              <w:rPr>
                <w:rFonts w:hint="default" w:ascii="Times New Roman" w:hAnsi="Times New Roman" w:cs="Times New Roman" w:eastAsiaTheme="minorEastAsia"/>
                <w:color w:val="000000"/>
                <w:sz w:val="24"/>
                <w:szCs w:val="24"/>
                <w:lang w:bidi="ar"/>
              </w:rPr>
              <w:t xml:space="preserve">： </w:t>
            </w:r>
            <w:r>
              <w:rPr>
                <w:rFonts w:hint="default" w:ascii="Times New Roman" w:hAnsi="Times New Roman" w:cs="Times New Roman"/>
                <w:color w:val="000000"/>
                <w:sz w:val="24"/>
                <w:u w:color="auto"/>
              </w:rPr>
              <w:t>重庆市秀山土家族苗族自治县卫生健康委员会（本级）</w:t>
            </w:r>
          </w:p>
        </w:tc>
        <w:tc>
          <w:tcPr>
            <w:tcW w:w="2641" w:type="dxa"/>
            <w:tcBorders>
              <w:top w:val="nil"/>
              <w:left w:val="nil"/>
              <w:bottom w:val="single" w:color="auto" w:sz="4" w:space="0"/>
              <w:right w:val="nil"/>
            </w:tcBorders>
            <w:shd w:val="clear" w:color="auto" w:fill="auto"/>
            <w:tcMar>
              <w:top w:w="15" w:type="dxa"/>
              <w:left w:w="15" w:type="dxa"/>
              <w:right w:w="15" w:type="dxa"/>
            </w:tcMar>
            <w:vAlign w:val="bottom"/>
          </w:tcPr>
          <w:p>
            <w:pPr>
              <w:jc w:val="center"/>
              <w:rPr>
                <w:rFonts w:hint="default" w:ascii="Times New Roman" w:hAnsi="Times New Roman" w:eastAsia="宋体" w:cs="Times New Roman"/>
                <w:i w:val="0"/>
                <w:color w:val="000000"/>
                <w:sz w:val="22"/>
                <w:szCs w:val="22"/>
                <w:u w:val="none"/>
              </w:rPr>
            </w:pPr>
          </w:p>
        </w:tc>
        <w:tc>
          <w:tcPr>
            <w:tcW w:w="2268" w:type="dxa"/>
            <w:tcBorders>
              <w:top w:val="nil"/>
              <w:left w:val="nil"/>
              <w:bottom w:val="single" w:color="auto" w:sz="4" w:space="0"/>
              <w:right w:val="nil"/>
            </w:tcBorders>
            <w:shd w:val="clear" w:color="auto" w:fill="auto"/>
            <w:tcMar>
              <w:top w:w="15" w:type="dxa"/>
              <w:left w:w="15" w:type="dxa"/>
              <w:right w:w="15" w:type="dxa"/>
            </w:tcMar>
            <w:vAlign w:val="bottom"/>
          </w:tcPr>
          <w:p>
            <w:pPr>
              <w:jc w:val="right"/>
              <w:rPr>
                <w:rFonts w:hint="default" w:ascii="Times New Roman" w:hAnsi="Times New Roman" w:eastAsia="宋体" w:cs="Times New Roman"/>
                <w:i w:val="0"/>
                <w:color w:val="000000"/>
                <w:sz w:val="22"/>
                <w:szCs w:val="22"/>
                <w:u w:val="none"/>
              </w:rPr>
            </w:pPr>
          </w:p>
        </w:tc>
        <w:tc>
          <w:tcPr>
            <w:tcW w:w="4549" w:type="dxa"/>
            <w:tcBorders>
              <w:top w:val="nil"/>
              <w:left w:val="nil"/>
              <w:bottom w:val="single" w:color="auto" w:sz="4" w:space="0"/>
              <w:right w:val="nil"/>
            </w:tcBorders>
            <w:shd w:val="clear" w:color="auto" w:fill="auto"/>
            <w:tcMar>
              <w:top w:w="15" w:type="dxa"/>
              <w:left w:w="15" w:type="dxa"/>
              <w:right w:w="15" w:type="dxa"/>
            </w:tcMar>
            <w:vAlign w:val="bottom"/>
          </w:tcPr>
          <w:p>
            <w:pPr>
              <w:rPr>
                <w:rFonts w:hint="default" w:ascii="Times New Roman" w:hAnsi="Times New Roman" w:eastAsia="宋体" w:cs="Times New Roman"/>
                <w:i w:val="0"/>
                <w:color w:val="000000"/>
                <w:sz w:val="22"/>
                <w:szCs w:val="22"/>
                <w:u w:val="none"/>
              </w:rPr>
            </w:pPr>
          </w:p>
        </w:tc>
        <w:tc>
          <w:tcPr>
            <w:tcW w:w="2298"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单位：</w:t>
            </w:r>
            <w:r>
              <w:rPr>
                <w:rFonts w:hint="default" w:ascii="Times New Roman" w:hAnsi="Times New Roman" w:eastAsia="宋体" w:cs="Times New Roman"/>
                <w:sz w:val="24"/>
                <w:szCs w:val="24"/>
              </w:rPr>
              <w:t>万元</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  目</w:t>
            </w:r>
          </w:p>
        </w:tc>
        <w:tc>
          <w:tcPr>
            <w:tcW w:w="26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预算数</w:t>
            </w:r>
          </w:p>
        </w:tc>
        <w:tc>
          <w:tcPr>
            <w:tcW w:w="226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决算数</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项  目</w:t>
            </w:r>
          </w:p>
        </w:tc>
        <w:tc>
          <w:tcPr>
            <w:tcW w:w="229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决算数</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一、“三公”经费支出</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四、机关运行经费</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2,438.84</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（一）支出合计</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6.46</w:t>
            </w:r>
            <w:r>
              <w:rPr>
                <w:rFonts w:hint="default" w:ascii="Times New Roman" w:hAnsi="Times New Roman" w:cs="Times New Roman"/>
                <w:color w:val="000000"/>
                <w:sz w:val="21"/>
                <w:szCs w:val="21"/>
                <w:lang w:val="en-US" w:eastAsia="zh-CN" w:bidi="ar"/>
              </w:rPr>
              <w:t xml:space="preserve"> </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6.46</w:t>
            </w: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（一）行政单位</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2,438.84</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1．因公出国（境）费</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（二）参照公务员法管理事业单位</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2．公务用车购置及运行维护费</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5.00</w:t>
            </w:r>
            <w:r>
              <w:rPr>
                <w:rFonts w:hint="default" w:ascii="Times New Roman" w:hAnsi="Times New Roman" w:cs="Times New Roman"/>
                <w:color w:val="000000"/>
                <w:sz w:val="21"/>
                <w:szCs w:val="21"/>
                <w:lang w:val="en-US" w:eastAsia="zh-CN" w:bidi="ar"/>
              </w:rPr>
              <w:t xml:space="preserve"> </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5.00</w:t>
            </w: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五、资产信息</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（1）公务用车购置费</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（一）车辆数合计（辆）</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1</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（2）公务用车运行维护费</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5.00</w:t>
            </w:r>
            <w:r>
              <w:rPr>
                <w:rFonts w:hint="default" w:ascii="Times New Roman" w:hAnsi="Times New Roman" w:cs="Times New Roman"/>
                <w:color w:val="000000"/>
                <w:sz w:val="21"/>
                <w:szCs w:val="21"/>
                <w:lang w:val="en-US" w:eastAsia="zh-CN" w:bidi="ar"/>
              </w:rPr>
              <w:t xml:space="preserve"> </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5.00</w:t>
            </w: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1．副部（省）级及以上领导用车</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3．公务接待费</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1.46</w:t>
            </w:r>
            <w:r>
              <w:rPr>
                <w:rFonts w:hint="default" w:ascii="Times New Roman" w:hAnsi="Times New Roman" w:cs="Times New Roman"/>
                <w:color w:val="000000"/>
                <w:sz w:val="21"/>
                <w:szCs w:val="21"/>
                <w:lang w:val="en-US" w:eastAsia="zh-CN" w:bidi="ar"/>
              </w:rPr>
              <w:t xml:space="preserve"> </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1.46</w:t>
            </w: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2．主要领导干部用车</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（1）国内接待费</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1.46</w:t>
            </w: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3．机要通信用车</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其中：外事接待费</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4．应急保障用车</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1</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（2）国（境）外接待费</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5．执法执勤用车</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（二）相关统计数</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45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6．特种专业技术用车</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1．因公出国（境）团组数（个）</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7．离退休干部用车</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2．因公出国（境）人次数（人）</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8．其他用车</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3．公务用车购置数（辆）</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（二）单价100万元（含）以上设备（不含车辆）</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4．公务用车保有量（辆）</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1</w:t>
            </w: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六、政府采购支出信息</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5．国内公务接待批次（个）</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12</w:t>
            </w: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（一）政府采购支出合计</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437.70</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其中：外事接待批次（个）</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1．政府采购货物支出</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350.10</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6．国内公务接待人次（人）</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145</w:t>
            </w: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2．政府采购工程支出</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其中：外事接待人次（人）</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3．政府采购服务支出</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87.60</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7．国（境）外公务接待批次（个）</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（二）政府采购授予中小企业合同金额</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437.70</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8．国（境）外公务接待人次（人）</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其中：授予小微企业合同金额</w:t>
            </w: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437.70</w:t>
            </w:r>
            <w:r>
              <w:rPr>
                <w:rFonts w:hint="default" w:ascii="Times New Roman" w:hAnsi="Times New Roman" w:cs="Times New Roman"/>
                <w:color w:val="000000"/>
                <w:sz w:val="21"/>
                <w:szCs w:val="21"/>
                <w:lang w:val="en-US" w:eastAsia="zh-CN" w:bidi="ar"/>
              </w:rPr>
              <w:t xml:space="preserve"> </w:t>
            </w: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二、会议费</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jc w:val="right"/>
              <w:rPr>
                <w:rFonts w:hint="default" w:ascii="Times New Roman" w:hAnsi="Times New Roman" w:eastAsia="宋体" w:cs="Times New Roman"/>
                <w:i w:val="0"/>
                <w:color w:val="000000"/>
                <w:sz w:val="20"/>
                <w:szCs w:val="20"/>
                <w:u w:val="none"/>
              </w:rPr>
            </w:pPr>
          </w:p>
        </w:tc>
      </w:tr>
      <w:tr>
        <w:tblPrEx>
          <w:tblLayout w:type="fixed"/>
          <w:tblCellMar>
            <w:top w:w="0" w:type="dxa"/>
            <w:left w:w="0" w:type="dxa"/>
            <w:bottom w:w="0" w:type="dxa"/>
            <w:right w:w="0" w:type="dxa"/>
          </w:tblCellMar>
        </w:tblPrEx>
        <w:trPr>
          <w:trHeight w:val="308" w:hRule="atLeast"/>
        </w:trPr>
        <w:tc>
          <w:tcPr>
            <w:tcW w:w="35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三、培训费</w:t>
            </w:r>
          </w:p>
        </w:tc>
        <w:tc>
          <w:tcPr>
            <w:tcW w:w="26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w:t>
            </w:r>
          </w:p>
        </w:tc>
        <w:tc>
          <w:tcPr>
            <w:tcW w:w="22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wordWrap w:val="0"/>
              <w:jc w:val="right"/>
              <w:textAlignment w:val="bottom"/>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color w:val="000000"/>
                <w:sz w:val="21"/>
                <w:szCs w:val="21"/>
                <w:lang w:bidi="ar"/>
              </w:rPr>
              <w:t>3.15</w:t>
            </w:r>
            <w:r>
              <w:rPr>
                <w:rFonts w:hint="default" w:ascii="Times New Roman" w:hAnsi="Times New Roman" w:cs="Times New Roman"/>
                <w:color w:val="000000"/>
                <w:sz w:val="21"/>
                <w:szCs w:val="21"/>
                <w:lang w:val="en-US" w:eastAsia="zh-CN" w:bidi="ar"/>
              </w:rPr>
              <w:t xml:space="preserve"> </w:t>
            </w:r>
          </w:p>
        </w:tc>
        <w:tc>
          <w:tcPr>
            <w:tcW w:w="45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jc w:val="left"/>
              <w:rPr>
                <w:rFonts w:hint="default" w:ascii="Times New Roman" w:hAnsi="Times New Roman" w:eastAsia="宋体" w:cs="Times New Roman"/>
                <w:i w:val="0"/>
                <w:color w:val="000000"/>
                <w:sz w:val="22"/>
                <w:szCs w:val="22"/>
                <w:u w:val="none"/>
              </w:rPr>
            </w:pPr>
          </w:p>
        </w:tc>
        <w:tc>
          <w:tcPr>
            <w:tcW w:w="22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jc w:val="right"/>
              <w:rPr>
                <w:rFonts w:hint="default" w:ascii="Times New Roman" w:hAnsi="Times New Roman" w:eastAsia="宋体" w:cs="Times New Roman"/>
                <w:i w:val="0"/>
                <w:color w:val="000000"/>
                <w:sz w:val="20"/>
                <w:szCs w:val="20"/>
                <w:u w:val="none"/>
              </w:rPr>
            </w:pPr>
          </w:p>
        </w:tc>
      </w:tr>
    </w:tbl>
    <w:p>
      <w:pP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auto"/>
          <w:kern w:val="0"/>
          <w:sz w:val="21"/>
          <w:szCs w:val="21"/>
          <w:u w:val="none"/>
          <w:shd w:val="clear" w:color="auto" w:fill="auto"/>
          <w:lang w:val="en-US" w:eastAsia="zh-CN" w:bidi="ar"/>
        </w:rPr>
        <w:t>备注：1.本表反映单位本年度财政拨款“三公”经费支出预决算情况。其中，预算数为“三公”经费全年预算数，反映按规定程序调整后的预算数；决算数为包括本年度财政拨款和以前年度结转资金安排的实际支出。2.本套报表金额单位转换时可能存在尾数误差。</w:t>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default"/>
      </w:rPr>
    </w:pPr>
    <w: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28</w:t>
                    </w:r>
                    <w:r>
                      <w:fldChar w:fldCharType="end"/>
                    </w:r>
                    <w:r>
                      <w:t xml:space="preserve"> </w:t>
                    </w:r>
                  </w:p>
                </w:txbxContent>
              </v:textbox>
            </v:shape>
          </w:pict>
        </mc:Fallback>
      </mc:AlternateContent>
    </w:r>
    <w: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39A02"/>
    <w:multiLevelType w:val="singleLevel"/>
    <w:tmpl w:val="C5339A0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550ABE"/>
    <w:rsid w:val="007B419D"/>
    <w:rsid w:val="009B67B8"/>
    <w:rsid w:val="00B03CCD"/>
    <w:rsid w:val="00F73F90"/>
    <w:rsid w:val="01474EBF"/>
    <w:rsid w:val="01F3521E"/>
    <w:rsid w:val="022A1278"/>
    <w:rsid w:val="03B87EA0"/>
    <w:rsid w:val="03E3214F"/>
    <w:rsid w:val="040F7D16"/>
    <w:rsid w:val="044C50BA"/>
    <w:rsid w:val="04EE3CFF"/>
    <w:rsid w:val="05BC6D49"/>
    <w:rsid w:val="06194FF1"/>
    <w:rsid w:val="062327CC"/>
    <w:rsid w:val="06A2550B"/>
    <w:rsid w:val="06E660EE"/>
    <w:rsid w:val="06F80EE2"/>
    <w:rsid w:val="07001CCA"/>
    <w:rsid w:val="075678DB"/>
    <w:rsid w:val="079D7CC7"/>
    <w:rsid w:val="07EC2947"/>
    <w:rsid w:val="08051BCA"/>
    <w:rsid w:val="086018C1"/>
    <w:rsid w:val="086C12F4"/>
    <w:rsid w:val="08705944"/>
    <w:rsid w:val="08BA052C"/>
    <w:rsid w:val="08DB07BA"/>
    <w:rsid w:val="0969353F"/>
    <w:rsid w:val="098305D0"/>
    <w:rsid w:val="0A3317EA"/>
    <w:rsid w:val="0A5C4B69"/>
    <w:rsid w:val="0A86124A"/>
    <w:rsid w:val="0AB54CC0"/>
    <w:rsid w:val="0B9335CE"/>
    <w:rsid w:val="0BF2311A"/>
    <w:rsid w:val="0C7927C4"/>
    <w:rsid w:val="0C9B098C"/>
    <w:rsid w:val="0D673E11"/>
    <w:rsid w:val="0DDA54E4"/>
    <w:rsid w:val="0E3A5F83"/>
    <w:rsid w:val="0E970F88"/>
    <w:rsid w:val="0F836721"/>
    <w:rsid w:val="0FA25D96"/>
    <w:rsid w:val="107B59E5"/>
    <w:rsid w:val="10EC0126"/>
    <w:rsid w:val="10F70B9A"/>
    <w:rsid w:val="111445C7"/>
    <w:rsid w:val="114278C6"/>
    <w:rsid w:val="1158083A"/>
    <w:rsid w:val="11643A4B"/>
    <w:rsid w:val="11ED0F98"/>
    <w:rsid w:val="11F03528"/>
    <w:rsid w:val="12C921C4"/>
    <w:rsid w:val="12DB0141"/>
    <w:rsid w:val="13871C70"/>
    <w:rsid w:val="13A71CB4"/>
    <w:rsid w:val="13AF1D43"/>
    <w:rsid w:val="13CE1647"/>
    <w:rsid w:val="13E14DBA"/>
    <w:rsid w:val="13FD55AB"/>
    <w:rsid w:val="14200702"/>
    <w:rsid w:val="163A6CEE"/>
    <w:rsid w:val="173708E3"/>
    <w:rsid w:val="17C32A90"/>
    <w:rsid w:val="17C374FC"/>
    <w:rsid w:val="182E4AB6"/>
    <w:rsid w:val="18744B89"/>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DE33B4F"/>
    <w:rsid w:val="1E374ACB"/>
    <w:rsid w:val="1E640195"/>
    <w:rsid w:val="1ECF0A66"/>
    <w:rsid w:val="1EF67CA4"/>
    <w:rsid w:val="1F020D3A"/>
    <w:rsid w:val="1F2C5189"/>
    <w:rsid w:val="1F4B0B02"/>
    <w:rsid w:val="1FBB35CD"/>
    <w:rsid w:val="1FCD26AF"/>
    <w:rsid w:val="20642787"/>
    <w:rsid w:val="21556F04"/>
    <w:rsid w:val="22403BD3"/>
    <w:rsid w:val="22D7175E"/>
    <w:rsid w:val="24B92327"/>
    <w:rsid w:val="24C14514"/>
    <w:rsid w:val="2533755C"/>
    <w:rsid w:val="25791755"/>
    <w:rsid w:val="25823201"/>
    <w:rsid w:val="26396DF4"/>
    <w:rsid w:val="26887AC9"/>
    <w:rsid w:val="27167136"/>
    <w:rsid w:val="271B442C"/>
    <w:rsid w:val="27B23302"/>
    <w:rsid w:val="29310A5F"/>
    <w:rsid w:val="29C37A35"/>
    <w:rsid w:val="2A076083"/>
    <w:rsid w:val="2A73162E"/>
    <w:rsid w:val="2B167953"/>
    <w:rsid w:val="2B200583"/>
    <w:rsid w:val="2B8209DE"/>
    <w:rsid w:val="2C636760"/>
    <w:rsid w:val="2C6762A3"/>
    <w:rsid w:val="2F063615"/>
    <w:rsid w:val="2FCA4B37"/>
    <w:rsid w:val="2FE029D7"/>
    <w:rsid w:val="2FF06E00"/>
    <w:rsid w:val="30586FEC"/>
    <w:rsid w:val="315F0B22"/>
    <w:rsid w:val="31D84415"/>
    <w:rsid w:val="32285F6F"/>
    <w:rsid w:val="32770556"/>
    <w:rsid w:val="32792840"/>
    <w:rsid w:val="329C0913"/>
    <w:rsid w:val="32AA0460"/>
    <w:rsid w:val="3337290D"/>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252C62"/>
    <w:rsid w:val="3B36794F"/>
    <w:rsid w:val="3B3E48E1"/>
    <w:rsid w:val="3B6F6EE0"/>
    <w:rsid w:val="3C566AD6"/>
    <w:rsid w:val="3C594871"/>
    <w:rsid w:val="3C6A5B02"/>
    <w:rsid w:val="3D2757A1"/>
    <w:rsid w:val="3D3D4FC4"/>
    <w:rsid w:val="3DDF3AB1"/>
    <w:rsid w:val="3E135D4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CB699A"/>
    <w:rsid w:val="465B470D"/>
    <w:rsid w:val="469D6AD4"/>
    <w:rsid w:val="471E6C84"/>
    <w:rsid w:val="4748792B"/>
    <w:rsid w:val="475D719D"/>
    <w:rsid w:val="47674801"/>
    <w:rsid w:val="48225EF7"/>
    <w:rsid w:val="4850234A"/>
    <w:rsid w:val="488F422B"/>
    <w:rsid w:val="48E36915"/>
    <w:rsid w:val="48EB6572"/>
    <w:rsid w:val="495C4A24"/>
    <w:rsid w:val="497135DF"/>
    <w:rsid w:val="4A263DF2"/>
    <w:rsid w:val="4A6F6675"/>
    <w:rsid w:val="4A741CEE"/>
    <w:rsid w:val="4B135857"/>
    <w:rsid w:val="4B7951CB"/>
    <w:rsid w:val="4B7C315C"/>
    <w:rsid w:val="4DAC4ACA"/>
    <w:rsid w:val="4DBE01D2"/>
    <w:rsid w:val="4DFA6A98"/>
    <w:rsid w:val="4EBB7B31"/>
    <w:rsid w:val="4F0C6BA3"/>
    <w:rsid w:val="4F186D58"/>
    <w:rsid w:val="4F5E3048"/>
    <w:rsid w:val="50E66CA9"/>
    <w:rsid w:val="50F06B6E"/>
    <w:rsid w:val="51BA1554"/>
    <w:rsid w:val="51D21804"/>
    <w:rsid w:val="51F43800"/>
    <w:rsid w:val="52234D33"/>
    <w:rsid w:val="522F6E0C"/>
    <w:rsid w:val="52463BA1"/>
    <w:rsid w:val="52F163D4"/>
    <w:rsid w:val="531A2DB4"/>
    <w:rsid w:val="536A349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61771A"/>
    <w:rsid w:val="578867FC"/>
    <w:rsid w:val="57F8438E"/>
    <w:rsid w:val="57FF79BE"/>
    <w:rsid w:val="5842572D"/>
    <w:rsid w:val="59D577F4"/>
    <w:rsid w:val="5A3B59D6"/>
    <w:rsid w:val="5ABF489F"/>
    <w:rsid w:val="5AD134D8"/>
    <w:rsid w:val="5AF12411"/>
    <w:rsid w:val="5B0A7832"/>
    <w:rsid w:val="5C263CE4"/>
    <w:rsid w:val="5C417367"/>
    <w:rsid w:val="5C5D2777"/>
    <w:rsid w:val="5CF66BF3"/>
    <w:rsid w:val="5D290C69"/>
    <w:rsid w:val="5D3876A0"/>
    <w:rsid w:val="5E753239"/>
    <w:rsid w:val="5F2D4A41"/>
    <w:rsid w:val="60C74F6C"/>
    <w:rsid w:val="61025A59"/>
    <w:rsid w:val="613D5BBC"/>
    <w:rsid w:val="61536C39"/>
    <w:rsid w:val="62944DD7"/>
    <w:rsid w:val="6319381F"/>
    <w:rsid w:val="63361DD9"/>
    <w:rsid w:val="63B64F15"/>
    <w:rsid w:val="63C25DC5"/>
    <w:rsid w:val="63C62057"/>
    <w:rsid w:val="64571EF5"/>
    <w:rsid w:val="64AF4705"/>
    <w:rsid w:val="64FB113D"/>
    <w:rsid w:val="656152C6"/>
    <w:rsid w:val="6587477F"/>
    <w:rsid w:val="658C3A08"/>
    <w:rsid w:val="65C031CA"/>
    <w:rsid w:val="65CE6852"/>
    <w:rsid w:val="66267C04"/>
    <w:rsid w:val="663F505A"/>
    <w:rsid w:val="66EE5541"/>
    <w:rsid w:val="67924660"/>
    <w:rsid w:val="68407834"/>
    <w:rsid w:val="6883293E"/>
    <w:rsid w:val="688412AD"/>
    <w:rsid w:val="689570E4"/>
    <w:rsid w:val="68C84942"/>
    <w:rsid w:val="68EB1B71"/>
    <w:rsid w:val="69800263"/>
    <w:rsid w:val="69CD45C1"/>
    <w:rsid w:val="6A6C7940"/>
    <w:rsid w:val="6AAD2300"/>
    <w:rsid w:val="6B474EF5"/>
    <w:rsid w:val="6C0A5AC5"/>
    <w:rsid w:val="6C560CAE"/>
    <w:rsid w:val="6C576495"/>
    <w:rsid w:val="6C8D123E"/>
    <w:rsid w:val="6D6316BC"/>
    <w:rsid w:val="6D903FF5"/>
    <w:rsid w:val="6DA955B8"/>
    <w:rsid w:val="6DE346AB"/>
    <w:rsid w:val="6DE5391A"/>
    <w:rsid w:val="6E651F39"/>
    <w:rsid w:val="6EFD1324"/>
    <w:rsid w:val="6F5A53AC"/>
    <w:rsid w:val="6FAC003D"/>
    <w:rsid w:val="6FE55E12"/>
    <w:rsid w:val="6FFB2E76"/>
    <w:rsid w:val="705548D2"/>
    <w:rsid w:val="708F6F7F"/>
    <w:rsid w:val="70D94BD3"/>
    <w:rsid w:val="70ED1085"/>
    <w:rsid w:val="711307B7"/>
    <w:rsid w:val="71C34D91"/>
    <w:rsid w:val="72DB435C"/>
    <w:rsid w:val="72E2613A"/>
    <w:rsid w:val="72F771F4"/>
    <w:rsid w:val="73934AD2"/>
    <w:rsid w:val="74080D66"/>
    <w:rsid w:val="750837F0"/>
    <w:rsid w:val="75473868"/>
    <w:rsid w:val="754758CF"/>
    <w:rsid w:val="764F62AB"/>
    <w:rsid w:val="765C45EC"/>
    <w:rsid w:val="768A7619"/>
    <w:rsid w:val="772B1B71"/>
    <w:rsid w:val="772E1EBA"/>
    <w:rsid w:val="781926BC"/>
    <w:rsid w:val="78D15A65"/>
    <w:rsid w:val="796D60A4"/>
    <w:rsid w:val="79A031D5"/>
    <w:rsid w:val="7A1525F7"/>
    <w:rsid w:val="7B420052"/>
    <w:rsid w:val="7BD06A28"/>
    <w:rsid w:val="7C3A7C0B"/>
    <w:rsid w:val="7C5248E4"/>
    <w:rsid w:val="7C566698"/>
    <w:rsid w:val="7C5866A3"/>
    <w:rsid w:val="7D7406BB"/>
    <w:rsid w:val="7DE94331"/>
    <w:rsid w:val="7E65343F"/>
    <w:rsid w:val="7F3B2C8C"/>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footer"/>
    <w:basedOn w:val="1"/>
    <w:next w:val="6"/>
    <w:qFormat/>
    <w:uiPriority w:val="0"/>
    <w:pPr>
      <w:tabs>
        <w:tab w:val="center" w:pos="4153"/>
        <w:tab w:val="right" w:pos="8306"/>
      </w:tabs>
      <w:snapToGrid w:val="0"/>
    </w:pPr>
    <w:rPr>
      <w:sz w:val="18"/>
      <w:szCs w:val="18"/>
    </w:rPr>
  </w:style>
  <w:style w:type="paragraph" w:customStyle="1" w:styleId="6">
    <w:name w:val="索引 51"/>
    <w:basedOn w:val="1"/>
    <w:next w:val="1"/>
    <w:qFormat/>
    <w:uiPriority w:val="0"/>
    <w:pPr>
      <w:ind w:left="1680"/>
    </w:p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hint="default"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9795</Words>
  <Characters>24154</Characters>
  <Lines>161</Lines>
  <Paragraphs>45</Paragraphs>
  <TotalTime>2</TotalTime>
  <ScaleCrop>false</ScaleCrop>
  <LinksUpToDate>false</LinksUpToDate>
  <CharactersWithSpaces>24644</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龚盼</cp:lastModifiedBy>
  <dcterms:modified xsi:type="dcterms:W3CDTF">2024-10-09T06:34:45Z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