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sz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sz w:val="32"/>
          <w:lang w:val="en-US" w:eastAsia="zh-CN"/>
        </w:rPr>
        <w:t>附件</w:t>
      </w:r>
    </w:p>
    <w:tbl>
      <w:tblPr>
        <w:tblStyle w:val="4"/>
        <w:tblW w:w="13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2260"/>
        <w:gridCol w:w="748"/>
        <w:gridCol w:w="658"/>
        <w:gridCol w:w="793"/>
        <w:gridCol w:w="628"/>
        <w:gridCol w:w="643"/>
        <w:gridCol w:w="703"/>
        <w:gridCol w:w="1602"/>
        <w:gridCol w:w="643"/>
        <w:gridCol w:w="613"/>
        <w:gridCol w:w="673"/>
        <w:gridCol w:w="838"/>
        <w:gridCol w:w="838"/>
        <w:gridCol w:w="644"/>
        <w:gridCol w:w="424"/>
        <w:gridCol w:w="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565" w:type="dxa"/>
            <w:gridSpan w:val="17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尘毒危害专项执法工作联合检查情况汇总表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565" w:type="dxa"/>
            <w:gridSpan w:val="17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填报单位：                                                       联合检查部门：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 号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行业领域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尘毒危害 的用人单 位数量(家)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实际联合检查 次数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(次</w:t>
            </w:r>
            <w:r>
              <w:rPr>
                <w:rStyle w:val="7"/>
                <w:rFonts w:hint="default" w:ascii="Times New Roman" w:hAnsi="Times New Roman" w:eastAsia="方正黑体_GBK" w:cs="Times New Roman"/>
                <w:lang w:val="en-US" w:eastAsia="zh-CN" w:bidi="ar"/>
              </w:rPr>
              <w:t>)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实际联合检查用人单位数量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(家)</w:t>
            </w:r>
          </w:p>
        </w:tc>
        <w:tc>
          <w:tcPr>
            <w:tcW w:w="86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下达执法文书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(份)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责令限期改正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(项</w:t>
            </w:r>
            <w:r>
              <w:rPr>
                <w:rStyle w:val="7"/>
                <w:rFonts w:hint="default" w:ascii="Times New Roman" w:hAnsi="Times New Roman" w:eastAsia="方正黑体_GBK" w:cs="Times New Roman"/>
                <w:lang w:val="en-US" w:eastAsia="zh-CN" w:bidi="ar"/>
              </w:rPr>
              <w:t>)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查处案件数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被立案查处的单位名称及具体违法情形（具体情形填备注序号）</w:t>
            </w:r>
          </w:p>
        </w:tc>
        <w:tc>
          <w:tcPr>
            <w:tcW w:w="4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查处案件数</w:t>
            </w:r>
          </w:p>
        </w:tc>
        <w:tc>
          <w:tcPr>
            <w:tcW w:w="8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提请 关闭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</w:t>
            </w:r>
          </w:p>
        </w:tc>
        <w:tc>
          <w:tcPr>
            <w:tcW w:w="3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已结案</w:t>
            </w:r>
          </w:p>
        </w:tc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告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罚款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 停止 作业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(家</w:t>
            </w:r>
            <w:r>
              <w:rPr>
                <w:rStyle w:val="7"/>
                <w:rFonts w:hint="default" w:ascii="Times New Roman" w:hAnsi="Times New Roman" w:eastAsia="方正黑体_GBK" w:cs="Times New Roman"/>
                <w:lang w:val="en-US" w:eastAsia="zh-CN" w:bidi="ar"/>
              </w:rPr>
              <w:t>)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(件)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(万元)</w:t>
            </w: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矿山</w:t>
            </w:r>
          </w:p>
        </w:tc>
        <w:tc>
          <w:tcPr>
            <w:tcW w:w="7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其中：井工煤矿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露天煤矿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非煤地下矿山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非煤露天矿山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冶金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其中：黑色金属冶炼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有色金属冶炼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化工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其中：炼油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化工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建材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其中：石材加工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水泥生产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陶瓷制造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耐火材料制造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其他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8" w:type="dxa"/>
          <w:trHeight w:val="495" w:hRule="atLeast"/>
        </w:trPr>
        <w:tc>
          <w:tcPr>
            <w:tcW w:w="13127" w:type="dxa"/>
            <w:gridSpan w:val="16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                        联系电话：                  审核人：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2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  <w:t>备注：1.查处案件数=未结案数+已结案数。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right="0" w:rightChars="0" w:firstLine="720" w:firstLineChars="3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sz w:val="24"/>
          <w:szCs w:val="24"/>
          <w:lang w:val="en-US" w:eastAsia="zh-CN"/>
        </w:rPr>
        <w:t>违法情形：①新建、扩建、改建建设项目和技术改造、技术引进项目，未按照规定进行职业病危害预评价、职业病防护设施设计和职业病危害控制效果评价。②未按照规定及时、如实申报产生职业病危害项目。③未对工作场所职业病危害因素进行定期检测；工作场所职业病危害因素检测不合格，未采取相应治理措施的。④未按照规定组织上岗前、在岗期间和离岗时的职业健康检查；没有为劳动者建立职业健康监护档案。⑤企业主要负责人、职业健康管理人员未接受职业健康培训；企业未按照规定组织劳动者进行职业健康培训。⑥劳动合同签订、职业危害情况告知、工伤保险参保、高温津贴发放。⑦工会组织依法对职业病防治工作进行监督及相关工作开展情况。⑧其他违法行为。</w:t>
      </w:r>
    </w:p>
    <w:p>
      <w:pPr>
        <w:pStyle w:val="5"/>
        <w:numPr>
          <w:ilvl w:val="0"/>
          <w:numId w:val="0"/>
        </w:numPr>
        <w:rPr>
          <w:rFonts w:hint="default"/>
          <w:lang w:val="en-US" w:eastAsia="zh-CN"/>
        </w:rPr>
        <w:sectPr>
          <w:pgSz w:w="16821" w:h="11900" w:orient="landscape"/>
          <w:pgMar w:top="2098" w:right="1474" w:bottom="1984" w:left="1587" w:header="720" w:footer="720" w:gutter="0"/>
          <w:pgNumType w:fmt="numberInDash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����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C052A"/>
    <w:rsid w:val="3BE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font31"/>
    <w:basedOn w:val="3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7">
    <w:name w:val="font9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ascii="��������_GBK" w:hAnsi="��������_GBK" w:eastAsia="��������_GBK" w:cs="��������_GBK"/>
      <w:color w:val="000000"/>
      <w:sz w:val="24"/>
      <w:szCs w:val="24"/>
      <w:u w:val="none"/>
    </w:rPr>
  </w:style>
  <w:style w:type="character" w:customStyle="1" w:styleId="9">
    <w:name w:val="font111"/>
    <w:basedOn w:val="3"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2020-06-17T03:36:00Z</dcterms:created>
  <dc:creator>Administrator</dc:creator>
  <cp:lastModifiedBy>Administrator</cp:lastModifiedBy>
  <dcterms:modified xsi:type="dcterms:W3CDTF">2020-06-17T03:37:35Z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