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hint="eastAsia" w:ascii="方正小标宋_GBK" w:hAnsi="方正小标宋_GBK" w:eastAsia="方正小标宋_GBK" w:cs="方正小标宋_GBK"/>
          <w:b w:val="0"/>
          <w:bCs w:val="0"/>
          <w:sz w:val="44"/>
          <w:szCs w:val="44"/>
        </w:rPr>
        <w:t>秀山土家族苗族自治县民意调查中心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年度决算</w:t>
      </w:r>
      <w:r>
        <w:rPr>
          <w:rFonts w:hint="eastAsia" w:ascii="方正小标宋_GBK" w:hAnsi="方正小标宋_GBK" w:eastAsia="方正小标宋_GBK" w:cs="方正小标宋_GBK"/>
          <w:b w:val="0"/>
          <w:bCs w:val="0"/>
          <w:sz w:val="44"/>
          <w:szCs w:val="44"/>
          <w:lang w:eastAsia="zh-CN"/>
        </w:rPr>
        <w:t>公开</w:t>
      </w:r>
      <w:r>
        <w:rPr>
          <w:rFonts w:hint="eastAsia" w:ascii="方正小标宋_GBK" w:hAnsi="方正小标宋_GBK" w:eastAsia="方正小标宋_GBK" w:cs="方正小标宋_GBK"/>
          <w:b w:val="0"/>
          <w:bCs w:val="0"/>
          <w:sz w:val="44"/>
          <w:szCs w:val="44"/>
        </w:rPr>
        <w:t>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7"/>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一、</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（一）职能职责</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围绕市委、市政府安排的重点工作和县委、县政府的决策部署，定期不定期开展民意调查；接受县委、县政府组成部门的委托开展专项调查；负责民意调查结果的研究分析，撰写民意调查报告，为县委、县政府提供决策咨询；指导各乡镇（街道）开展民意调查工作；做好与市民意调查中心的衔接协调工作。</w:t>
      </w:r>
    </w:p>
    <w:p>
      <w:pPr>
        <w:widowControl w:val="0"/>
        <w:autoSpaceDE w:val="0"/>
        <w:spacing w:line="52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2.承办县政府交办的其他事项。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7"/>
          <w:rFonts w:hint="eastAsia" w:ascii="方正楷体_GBK" w:hAnsi="方正楷体_GBK" w:eastAsia="方正楷体_GBK" w:cs="方正楷体_GBK"/>
          <w:b w:val="0"/>
          <w:bCs/>
          <w:sz w:val="32"/>
          <w:szCs w:val="32"/>
          <w:shd w:val="clear" w:color="auto" w:fill="FFFFFF"/>
        </w:rPr>
        <w:t>（二）机构设置</w:t>
      </w:r>
    </w:p>
    <w:p>
      <w:pPr>
        <w:autoSpaceDE w:val="0"/>
        <w:spacing w:line="520" w:lineRule="exact"/>
        <w:ind w:firstLine="640" w:firstLineChars="200"/>
        <w:jc w:val="both"/>
        <w:rPr>
          <w:rFonts w:hint="default" w:ascii="Times New Roman" w:hAnsi="Times New Roman" w:eastAsia="方正仿宋_GBK"/>
        </w:rPr>
      </w:pPr>
      <w:r>
        <w:rPr>
          <w:rFonts w:hint="default" w:ascii="Times New Roman" w:hAnsi="Times New Roman" w:eastAsia="方正仿宋_GBK"/>
          <w:sz w:val="32"/>
          <w:szCs w:val="32"/>
        </w:rPr>
        <w:t>重庆市秀山县统计局为县政府工作部门，内设办公室，综合核算科，工业投资科，贸易服务科4个职能科室，下设社会经济调查队、民调中心2个事业单位。其中秀山县民调中心为2019年机构改革从秀山县机关工委下属事业单位调整为我单位下属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二、</w:t>
      </w:r>
      <w:r>
        <w:rPr>
          <w:rStyle w:val="7"/>
          <w:rFonts w:hint="eastAsia" w:ascii="方正黑体_GBK" w:hAnsi="方正黑体_GBK" w:eastAsia="方正黑体_GBK" w:cs="方正黑体_GBK"/>
          <w:b w:val="0"/>
          <w:bCs/>
          <w:sz w:val="32"/>
          <w:szCs w:val="32"/>
          <w:shd w:val="clear" w:color="auto" w:fill="FFFFFF"/>
          <w:lang w:eastAsia="zh-CN"/>
        </w:rPr>
        <w:t>单位</w:t>
      </w:r>
      <w:r>
        <w:rPr>
          <w:rStyle w:val="7"/>
          <w:rFonts w:hint="eastAsia" w:ascii="方正黑体_GBK" w:hAnsi="方正黑体_GBK" w:eastAsia="方正黑体_GBK" w:cs="方正黑体_GBK"/>
          <w:b w:val="0"/>
          <w:bCs/>
          <w:sz w:val="32"/>
          <w:szCs w:val="32"/>
          <w:shd w:val="clear" w:color="auto" w:fill="FFFFFF"/>
        </w:rPr>
        <w:t>决算</w:t>
      </w:r>
      <w:r>
        <w:rPr>
          <w:rStyle w:val="7"/>
          <w:rFonts w:hint="eastAsia" w:ascii="方正黑体_GBK" w:hAnsi="方正黑体_GBK" w:eastAsia="方正黑体_GBK" w:cs="方正黑体_GBK"/>
          <w:b w:val="0"/>
          <w:bCs/>
          <w:sz w:val="32"/>
          <w:szCs w:val="32"/>
          <w:shd w:val="clear" w:color="auto" w:fill="FFFFFF"/>
          <w:lang w:eastAsia="zh-CN"/>
        </w:rPr>
        <w:t>收支</w:t>
      </w:r>
      <w:r>
        <w:rPr>
          <w:rStyle w:val="7"/>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178.45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收、支与2023年度相比，增加2.42万元，增长1.4%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做其他收入，导致收、支增加。</w:t>
      </w:r>
    </w:p>
    <w:p>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2</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165.70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2024年单位减少1名工作人员。</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165.70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12.76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hint="eastAsia" w:ascii="Times New Roman" w:hAnsi="Times New Roman" w:eastAsia="方正仿宋_GBK"/>
          <w:sz w:val="32"/>
          <w:szCs w:val="32"/>
          <w:shd w:val="clear" w:color="auto" w:fill="FFFFFF"/>
          <w:lang w:val="en-US" w:eastAsia="zh-CN"/>
        </w:rPr>
        <w:t>3</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178.45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与2023年度相比，增加15.17万元，增长9.3%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w:t>
      </w:r>
      <w:r>
        <w:rPr>
          <w:rFonts w:ascii="方正仿宋_GBK" w:hAnsi="方正仿宋_GBK" w:eastAsia="方正仿宋_GBK" w:cs="方正仿宋_GBK"/>
          <w:sz w:val="32"/>
          <w:szCs w:val="32"/>
          <w:shd w:val="clear" w:color="auto" w:fill="FFFFFF"/>
        </w:rPr>
        <w:t>中：基本支出</w:t>
      </w:r>
      <w:r>
        <w:rPr>
          <w:rFonts w:hint="default" w:ascii="Times New Roman" w:hAnsi="Times New Roman" w:eastAsia="方正仿宋_GBK"/>
          <w:sz w:val="32"/>
          <w:szCs w:val="32"/>
          <w:shd w:val="clear" w:color="auto" w:fill="FFFFFF"/>
        </w:rPr>
        <w:t>168.45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eastAsia" w:ascii="Times New Roman" w:hAnsi="Times New Roman" w:eastAsia="方正仿宋_GBK"/>
          <w:sz w:val="32"/>
          <w:szCs w:val="32"/>
          <w:shd w:val="clear" w:color="auto" w:fill="FFFFFF"/>
          <w:lang w:val="en-US" w:eastAsia="zh-CN"/>
        </w:rPr>
        <w:t>4</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与2023年度相比，减少12.76万元，下降100.0%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w:t>
      </w:r>
      <w:r>
        <w:rPr>
          <w:rFonts w:hint="default" w:ascii="Times New Roman" w:hAnsi="Times New Roman" w:eastAsia="方正仿宋_GBK" w:cs="Times New Roman"/>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178.45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财政拨款收、支总计各增加2.42万元，增长1.4%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做其他收入，导致收、支增加。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7"/>
          <w:rFonts w:hint="default" w:ascii="Times New Roman" w:hAnsi="Times New Roman" w:eastAsia="方正仿宋_GBK"/>
          <w:sz w:val="32"/>
          <w:szCs w:val="32"/>
          <w:shd w:val="clear" w:color="auto" w:fill="FFFFFF"/>
        </w:rPr>
        <w:t>1</w:t>
      </w:r>
      <w:r>
        <w:rPr>
          <w:rStyle w:val="7"/>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165.70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2024年单位减少1名工作人员。</w:t>
      </w:r>
      <w:r>
        <w:rPr>
          <w:rFonts w:hint="default" w:ascii="Times New Roman" w:hAnsi="Times New Roman" w:eastAsia="方正仿宋_GBK"/>
          <w:sz w:val="32"/>
          <w:szCs w:val="32"/>
          <w:shd w:val="clear" w:color="auto" w:fill="FFFFFF"/>
        </w:rPr>
        <w:t>较年初预算数减少1.51万元，下降0.9%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2024年单位减少1名工作人员</w:t>
      </w:r>
      <w:r>
        <w:rPr>
          <w:rFonts w:hint="eastAsia" w:ascii="Times New Roman" w:hAnsi="Times New Roman" w:eastAsia="方正仿宋_GBK" w:cs="Times New Roman"/>
          <w:color w:val="auto"/>
          <w:sz w:val="32"/>
          <w:szCs w:val="32"/>
          <w:shd w:val="clear" w:color="auto" w:fill="FFFFFF"/>
          <w:lang w:val="en-US" w:eastAsia="zh-CN"/>
        </w:rPr>
        <w:t>；2024年调整基数补缴事业人员养老保险和职业年金。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12.76</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2</w:t>
      </w:r>
      <w:r>
        <w:rPr>
          <w:rStyle w:val="7"/>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178.45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与2023年度相比，增加15.17万元，增长9.3%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做其他收入，导致支出增加。</w:t>
      </w:r>
      <w:r>
        <w:rPr>
          <w:rFonts w:hint="default" w:ascii="Times New Roman" w:hAnsi="Times New Roman" w:eastAsia="方正仿宋_GBK"/>
          <w:sz w:val="32"/>
          <w:szCs w:val="32"/>
          <w:shd w:val="clear" w:color="auto" w:fill="FFFFFF"/>
        </w:rPr>
        <w:t>较年初预算数增加11.24万元，增长6.7%</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做其他收入，导致支出增加。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较年初预算数增加5.91万元，增长4.4%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2024年调整基数补缴事业人员养老保险和职业年金。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较年初预算数增加7.01万元，增长42.4%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2024年调整基数补缴事业人员养老保险和职业年金。</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较年初预算数减少0.90万元，下降10.0%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2024年单位减少1名工作人员</w:t>
      </w:r>
      <w:r>
        <w:rPr>
          <w:rFonts w:hint="eastAsia" w:ascii="Times New Roman" w:hAnsi="Times New Roman" w:eastAsia="方正仿宋_GBK" w:cs="Times New Roman"/>
          <w:color w:val="auto"/>
          <w:sz w:val="32"/>
          <w:szCs w:val="32"/>
          <w:shd w:val="clear" w:color="auto" w:fill="FFFFFF"/>
          <w:lang w:val="en-US"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较年初预算数减少0.78万元，下降9.4%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2024年单位减少1名工作人员</w:t>
      </w:r>
      <w:r>
        <w:rPr>
          <w:rFonts w:hint="eastAsia" w:ascii="Times New Roman" w:hAnsi="Times New Roman" w:eastAsia="方正仿宋_GBK" w:cs="Times New Roman"/>
          <w:color w:val="auto"/>
          <w:sz w:val="32"/>
          <w:szCs w:val="32"/>
          <w:shd w:val="clear" w:color="auto" w:fill="FFFFFF"/>
          <w:lang w:val="en-US" w:eastAsia="zh-CN"/>
        </w:rPr>
        <w:t>。</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本单位无此项支出。</w:t>
      </w:r>
    </w:p>
    <w:p>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7"/>
          <w:rFonts w:hint="default" w:ascii="Times New Roman" w:hAnsi="Times New Roman" w:eastAsia="方正仿宋_GBK"/>
          <w:sz w:val="32"/>
          <w:szCs w:val="32"/>
          <w:shd w:val="clear" w:color="auto" w:fill="FFFFFF"/>
        </w:rPr>
        <w:t>3</w:t>
      </w:r>
      <w:r>
        <w:rPr>
          <w:rStyle w:val="7"/>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与2023年度相比，减少12.76万元，下降100.0%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bookmarkStart w:id="0" w:name="_GoBack"/>
      <w:bookmarkEnd w:id="0"/>
      <w:r>
        <w:rPr>
          <w:rFonts w:hint="eastAsia" w:ascii="方正仿宋_GBK" w:hAnsi="方正仿宋_GBK" w:eastAsia="方正仿宋_GBK" w:cs="方正仿宋_GBK"/>
          <w:sz w:val="32"/>
          <w:szCs w:val="32"/>
          <w:shd w:val="clear" w:color="auto" w:fill="FFFFFF"/>
          <w:lang w:eastAsia="zh-CN"/>
        </w:rPr>
        <w:t>因做账不一致，</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168.45</w:t>
      </w:r>
      <w:r>
        <w:rPr>
          <w:rFonts w:ascii="方正仿宋_GBK" w:hAnsi="方正仿宋_GBK" w:eastAsia="方正仿宋_GBK" w:cs="方正仿宋_GBK"/>
          <w:sz w:val="32"/>
          <w:szCs w:val="32"/>
          <w:shd w:val="clear" w:color="auto" w:fill="FFFFFF"/>
        </w:rPr>
        <w:t>万元。其中：</w:t>
      </w:r>
    </w:p>
    <w:p>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158.57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与2023年度相比，增加18.94万元，增长13.6%</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2024年调整基数补缴事业人员养老保险和职业年金；</w:t>
      </w:r>
      <w:r>
        <w:rPr>
          <w:rFonts w:hint="eastAsia" w:ascii="方正仿宋_GBK" w:hAnsi="方正仿宋_GBK" w:eastAsia="方正仿宋_GBK" w:cs="方正仿宋_GBK"/>
          <w:sz w:val="32"/>
          <w:szCs w:val="32"/>
          <w:shd w:val="clear" w:color="auto" w:fill="FFFFFF"/>
          <w:lang w:eastAsia="zh-CN"/>
        </w:rPr>
        <w:t>因做账不一致，超额绩效清算未及时发放，</w:t>
      </w:r>
      <w:r>
        <w:rPr>
          <w:rFonts w:hint="default" w:ascii="Times New Roman" w:hAnsi="Times New Roman" w:eastAsia="方正仿宋_GBK" w:cs="Times New Roman"/>
          <w:sz w:val="32"/>
          <w:szCs w:val="32"/>
          <w:shd w:val="clear" w:color="auto" w:fill="FFFFFF"/>
          <w:lang w:val="en-US" w:eastAsia="zh-CN"/>
        </w:rPr>
        <w:t>2023年</w:t>
      </w:r>
      <w:r>
        <w:rPr>
          <w:rFonts w:hint="eastAsia" w:ascii="Times New Roman" w:hAnsi="Times New Roman" w:eastAsia="方正仿宋_GBK" w:cs="Times New Roman"/>
          <w:sz w:val="32"/>
          <w:szCs w:val="32"/>
          <w:shd w:val="clear" w:color="auto" w:fill="FFFFFF"/>
          <w:lang w:val="en-US" w:eastAsia="zh-CN"/>
        </w:rPr>
        <w:t>做资金</w:t>
      </w:r>
      <w:r>
        <w:rPr>
          <w:rFonts w:hint="default" w:ascii="Times New Roman" w:hAnsi="Times New Roman" w:eastAsia="方正仿宋_GBK" w:cs="Times New Roman"/>
          <w:sz w:val="32"/>
          <w:szCs w:val="32"/>
          <w:shd w:val="clear" w:color="auto" w:fill="FFFFFF"/>
          <w:lang w:val="en-US" w:eastAsia="zh-CN"/>
        </w:rPr>
        <w:t>结转结余，2024年</w:t>
      </w:r>
      <w:r>
        <w:rPr>
          <w:rFonts w:hint="eastAsia" w:ascii="Times New Roman" w:hAnsi="Times New Roman" w:eastAsia="方正仿宋_GBK" w:cs="Times New Roman"/>
          <w:sz w:val="32"/>
          <w:szCs w:val="32"/>
          <w:shd w:val="clear" w:color="auto" w:fill="FFFFFF"/>
          <w:lang w:val="en-US" w:eastAsia="zh-CN"/>
        </w:rPr>
        <w:t>做其他收入，导致人员经费增速变动大。</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shd w:val="clear" w:color="auto" w:fill="FFFFFF"/>
        </w:rPr>
        <w:t>基本工资、津贴补贴、住房公积金等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9.88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与2023年度相比，减少3.76万元，下降27.6%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预算减少。</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办公费、印刷费、物业管理费及差旅费等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b w:val="0"/>
          <w:bCs w:val="0"/>
          <w:sz w:val="32"/>
          <w:szCs w:val="32"/>
          <w:shd w:val="clear" w:color="auto" w:fill="FFFFFF"/>
        </w:rPr>
      </w:pPr>
      <w:r>
        <w:rPr>
          <w:rFonts w:hint="default" w:ascii="Times New Roman" w:hAnsi="Times New Roman" w:eastAsia="方正仿宋_GBK"/>
          <w:b w:val="0"/>
          <w:bCs w:val="0"/>
          <w:sz w:val="32"/>
          <w:szCs w:val="32"/>
          <w:shd w:val="clear" w:color="auto" w:fill="FFFFFF"/>
        </w:rPr>
        <w:t>本</w:t>
      </w:r>
      <w:r>
        <w:rPr>
          <w:rFonts w:hint="eastAsia" w:ascii="Times New Roman" w:hAnsi="Times New Roman" w:eastAsia="方正仿宋_GBK"/>
          <w:b w:val="0"/>
          <w:bCs w:val="0"/>
          <w:sz w:val="32"/>
          <w:szCs w:val="32"/>
          <w:shd w:val="clear" w:color="auto" w:fill="FFFFFF"/>
          <w:lang w:eastAsia="zh-CN"/>
        </w:rPr>
        <w:t>单位</w:t>
      </w:r>
      <w:r>
        <w:rPr>
          <w:rFonts w:hint="default" w:ascii="Times New Roman" w:hAnsi="Times New Roman" w:eastAsia="方正仿宋_GBK"/>
          <w:b w:val="0"/>
          <w:bCs w:val="0"/>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三、</w:t>
      </w:r>
      <w:r>
        <w:rPr>
          <w:rStyle w:val="7"/>
          <w:rFonts w:hint="eastAsia" w:ascii="方正黑体_GBK" w:hAnsi="方正黑体_GBK" w:eastAsia="方正黑体_GBK" w:cs="方正黑体_GBK"/>
          <w:b w:val="0"/>
          <w:bCs/>
          <w:sz w:val="32"/>
          <w:szCs w:val="32"/>
          <w:shd w:val="clear" w:color="auto" w:fill="FFFFFF"/>
          <w:lang w:eastAsia="zh-CN"/>
        </w:rPr>
        <w:t>财政拨款</w:t>
      </w:r>
      <w:r>
        <w:rPr>
          <w:rStyle w:val="7"/>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shd w:val="clear" w:color="auto" w:fill="FFFFFF"/>
        <w:spacing w:beforeAutospacing="0" w:afterAutospacing="0" w:line="520" w:lineRule="exact"/>
        <w:ind w:firstLine="640" w:firstLineChars="200"/>
        <w:jc w:val="both"/>
        <w:rPr>
          <w:rFonts w:hint="default" w:ascii="方正仿宋_GBK" w:hAnsi="方正仿宋_GBK" w:eastAsia="方正仿宋_GBK" w:cs="方正仿宋_GBK"/>
          <w:b w:val="0"/>
          <w:bCs w:val="0"/>
          <w:sz w:val="32"/>
          <w:szCs w:val="32"/>
        </w:rPr>
      </w:pPr>
      <w:r>
        <w:rPr>
          <w:rFonts w:hint="default" w:ascii="Times New Roman" w:hAnsi="Times New Roman" w:eastAsia="方正仿宋_GBK"/>
          <w:b w:val="0"/>
          <w:bCs w:val="0"/>
          <w:sz w:val="32"/>
          <w:szCs w:val="32"/>
          <w:shd w:val="clear" w:color="auto" w:fill="FFFFFF"/>
        </w:rPr>
        <w:t>本单位202</w:t>
      </w:r>
      <w:r>
        <w:rPr>
          <w:rFonts w:hint="eastAsia" w:ascii="Times New Roman" w:hAnsi="Times New Roman" w:eastAsia="方正仿宋_GBK"/>
          <w:b w:val="0"/>
          <w:bCs w:val="0"/>
          <w:sz w:val="32"/>
          <w:szCs w:val="32"/>
          <w:shd w:val="clear" w:color="auto" w:fill="FFFFFF"/>
          <w:lang w:val="en-US" w:eastAsia="zh-CN"/>
        </w:rPr>
        <w:t>4</w:t>
      </w:r>
      <w:r>
        <w:rPr>
          <w:rFonts w:hint="default" w:ascii="Times New Roman" w:hAnsi="Times New Roman" w:eastAsia="方正仿宋_GBK"/>
          <w:b w:val="0"/>
          <w:bCs w:val="0"/>
          <w:sz w:val="32"/>
          <w:szCs w:val="32"/>
          <w:shd w:val="clear" w:color="auto" w:fill="FFFFFF"/>
        </w:rPr>
        <w:t>年度无“三公”经费财政拨款支出</w:t>
      </w:r>
      <w:r>
        <w:rPr>
          <w:rFonts w:hint="eastAsia" w:ascii="Times New Roman" w:hAnsi="Times New Roman" w:eastAsia="方正仿宋_GBK"/>
          <w:b w:val="0"/>
          <w:bCs w:val="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default" w:ascii="Times New Roman" w:hAnsi="Times New Roman" w:eastAsia="方正仿宋_GBK"/>
          <w:b w:val="0"/>
          <w:bCs w:val="0"/>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shd w:val="clear" w:color="auto" w:fill="FFFFFF"/>
        <w:spacing w:beforeAutospacing="0" w:afterAutospacing="0" w:line="520" w:lineRule="exact"/>
        <w:ind w:firstLine="640" w:firstLineChars="200"/>
        <w:jc w:val="both"/>
        <w:rPr>
          <w:rFonts w:hint="eastAsia" w:ascii="方正仿宋_GBK" w:hAnsi="方正仿宋_GBK"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本单位202</w:t>
      </w:r>
      <w:r>
        <w:rPr>
          <w:rFonts w:hint="eastAsia" w:ascii="Times New Roman" w:hAnsi="Times New Roman" w:eastAsia="方正仿宋_GBK"/>
          <w:b w:val="0"/>
          <w:bCs w:val="0"/>
          <w:sz w:val="32"/>
          <w:szCs w:val="32"/>
          <w:shd w:val="clear" w:color="auto" w:fill="FFFFFF"/>
          <w:lang w:val="en-US" w:eastAsia="zh-CN"/>
        </w:rPr>
        <w:t>4</w:t>
      </w:r>
      <w:r>
        <w:rPr>
          <w:rFonts w:hint="default" w:ascii="Times New Roman" w:hAnsi="Times New Roman" w:eastAsia="方正仿宋_GBK"/>
          <w:b w:val="0"/>
          <w:bCs w:val="0"/>
          <w:sz w:val="32"/>
          <w:szCs w:val="32"/>
          <w:shd w:val="clear" w:color="auto" w:fill="FFFFFF"/>
        </w:rPr>
        <w:t>年度无“三公”经费财政拨款支出</w:t>
      </w:r>
      <w:r>
        <w:rPr>
          <w:rFonts w:hint="eastAsia" w:ascii="Times New Roman" w:hAnsi="Times New Roman" w:eastAsia="方正仿宋_GBK"/>
          <w:b w:val="0"/>
          <w:bCs w:val="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shd w:val="clear" w:color="auto" w:fill="FFFFFF"/>
        <w:spacing w:beforeAutospacing="0" w:afterAutospacing="0" w:line="520" w:lineRule="exact"/>
        <w:ind w:firstLine="640" w:firstLineChars="200"/>
        <w:jc w:val="both"/>
        <w:rPr>
          <w:rFonts w:hint="eastAsia" w:ascii="方正仿宋_GBK" w:hAnsi="方正仿宋_GBK" w:eastAsia="方正仿宋_GBK" w:cs="方正仿宋_GBK"/>
          <w:b w:val="0"/>
          <w:bCs w:val="0"/>
          <w:sz w:val="32"/>
          <w:szCs w:val="32"/>
          <w:lang w:eastAsia="zh-CN"/>
        </w:rPr>
      </w:pPr>
      <w:r>
        <w:rPr>
          <w:rFonts w:hint="default" w:ascii="Times New Roman" w:hAnsi="Times New Roman" w:eastAsia="方正仿宋_GBK"/>
          <w:b w:val="0"/>
          <w:bCs w:val="0"/>
          <w:sz w:val="32"/>
          <w:szCs w:val="32"/>
          <w:shd w:val="clear" w:color="auto" w:fill="FFFFFF"/>
        </w:rPr>
        <w:t>本单位202</w:t>
      </w:r>
      <w:r>
        <w:rPr>
          <w:rFonts w:hint="eastAsia" w:ascii="Times New Roman" w:hAnsi="Times New Roman" w:eastAsia="方正仿宋_GBK"/>
          <w:b w:val="0"/>
          <w:bCs w:val="0"/>
          <w:sz w:val="32"/>
          <w:szCs w:val="32"/>
          <w:shd w:val="clear" w:color="auto" w:fill="FFFFFF"/>
          <w:lang w:val="en-US" w:eastAsia="zh-CN"/>
        </w:rPr>
        <w:t>4</w:t>
      </w:r>
      <w:r>
        <w:rPr>
          <w:rFonts w:hint="default" w:ascii="Times New Roman" w:hAnsi="Times New Roman" w:eastAsia="方正仿宋_GBK"/>
          <w:b w:val="0"/>
          <w:bCs w:val="0"/>
          <w:sz w:val="32"/>
          <w:szCs w:val="32"/>
          <w:shd w:val="clear" w:color="auto" w:fill="FFFFFF"/>
        </w:rPr>
        <w:t>年度无“三公”经费财政拨款支出</w:t>
      </w:r>
      <w:r>
        <w:rPr>
          <w:rFonts w:hint="eastAsia" w:ascii="Times New Roman" w:hAnsi="Times New Roman" w:eastAsia="方正仿宋_GBK"/>
          <w:b w:val="0"/>
          <w:bCs w:val="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万元，增长</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7"/>
          <w:rFonts w:hint="eastAsia" w:ascii="方正黑体_GBK" w:hAnsi="方正黑体_GBK" w:eastAsia="方正黑体_GBK" w:cs="方正黑体_GBK"/>
          <w:b w:val="0"/>
          <w:bCs/>
          <w:sz w:val="32"/>
          <w:szCs w:val="32"/>
          <w:shd w:val="clear" w:color="auto" w:fill="FFFFFF"/>
        </w:rPr>
      </w:pPr>
      <w:r>
        <w:rPr>
          <w:rStyle w:val="7"/>
          <w:rFonts w:hint="eastAsia" w:ascii="方正黑体_GBK" w:hAnsi="方正黑体_GBK" w:eastAsia="方正黑体_GBK" w:cs="方正黑体_GBK"/>
          <w:b w:val="0"/>
          <w:bCs/>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无预算安排。</w:t>
      </w:r>
      <w:r>
        <w:rPr>
          <w:rFonts w:ascii="方正仿宋_GBK" w:hAnsi="方正仿宋_GBK" w:eastAsia="方正仿宋_GBK" w:cs="方正仿宋_GBK"/>
          <w:b w:val="0"/>
          <w:bCs w:val="0"/>
          <w:color w:val="auto"/>
          <w:sz w:val="32"/>
          <w:szCs w:val="32"/>
          <w:shd w:val="clear" w:color="auto" w:fill="FFFFFF"/>
        </w:rPr>
        <w:t>本年度培训费支出</w:t>
      </w:r>
      <w:r>
        <w:rPr>
          <w:rFonts w:hint="default" w:ascii="Times New Roman" w:hAnsi="Times New Roman" w:eastAsia="方正仿宋_GBK"/>
          <w:b w:val="0"/>
          <w:bCs w:val="0"/>
          <w:color w:val="auto"/>
          <w:sz w:val="32"/>
          <w:szCs w:val="32"/>
          <w:shd w:val="clear" w:color="auto" w:fill="FFFFFF"/>
        </w:rPr>
        <w:t>0.49</w:t>
      </w:r>
      <w:r>
        <w:rPr>
          <w:rFonts w:ascii="方正仿宋_GBK" w:hAnsi="方正仿宋_GBK" w:eastAsia="方正仿宋_GBK" w:cs="方正仿宋_GBK"/>
          <w:b w:val="0"/>
          <w:bCs w:val="0"/>
          <w:color w:val="auto"/>
          <w:sz w:val="32"/>
          <w:szCs w:val="32"/>
          <w:shd w:val="clear" w:color="auto" w:fill="FFFFFF"/>
        </w:rPr>
        <w:t>万元，</w:t>
      </w:r>
      <w:r>
        <w:rPr>
          <w:rFonts w:hint="default" w:ascii="Times New Roman" w:hAnsi="Times New Roman" w:eastAsia="方正仿宋_GBK"/>
          <w:b w:val="0"/>
          <w:bCs w:val="0"/>
          <w:color w:val="auto"/>
          <w:sz w:val="32"/>
          <w:szCs w:val="32"/>
          <w:shd w:val="clear" w:color="auto" w:fill="FFFFFF"/>
        </w:rPr>
        <w:t>与2023年度相比，减少0.06万元，下降10.9%</w:t>
      </w:r>
      <w:r>
        <w:rPr>
          <w:rFonts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预算安排减少</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与2023年度相比，增加0.26万元，增长650.0%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预算安排增加。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autoSpaceDE w:val="0"/>
        <w:spacing w:line="52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sz w:val="32"/>
          <w:szCs w:val="32"/>
          <w:shd w:val="clear" w:color="auto" w:fill="FFFFFF"/>
        </w:rPr>
        <w:t>年度无机关运行经费财政拨款支出。</w:t>
      </w:r>
    </w:p>
    <w:p>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r>
        <w:rPr>
          <w:rFonts w:hint="default" w:ascii="Times New Roman" w:hAnsi="Times New Roman" w:eastAsia="方正仿宋_GBK"/>
          <w:sz w:val="32"/>
          <w:szCs w:val="32"/>
        </w:rPr>
        <w:t>因我局有三个账套，该账套下我单位没有资产纳入部门决算报表。</w:t>
      </w:r>
    </w:p>
    <w:p>
      <w:pPr>
        <w:pStyle w:val="5"/>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5"/>
        <w:snapToGrid w:val="0"/>
        <w:spacing w:before="0" w:beforeAutospacing="0" w:after="0" w:afterAutospacing="0" w:line="520" w:lineRule="exact"/>
        <w:ind w:firstLine="640" w:firstLineChars="200"/>
        <w:jc w:val="both"/>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黑体_GBK"/>
          <w:b w:val="0"/>
          <w:sz w:val="32"/>
          <w:szCs w:val="32"/>
          <w:shd w:val="clear" w:color="auto" w:fill="FFFFFF"/>
        </w:rPr>
        <w:t>五、预算绩效管理情况说明</w:t>
      </w:r>
    </w:p>
    <w:p>
      <w:pPr>
        <w:pStyle w:val="5"/>
        <w:snapToGrid w:val="0"/>
        <w:spacing w:before="0" w:beforeAutospacing="0" w:after="0" w:afterAutospacing="0" w:line="520" w:lineRule="exact"/>
        <w:ind w:firstLine="640" w:firstLineChars="200"/>
        <w:jc w:val="both"/>
        <w:rPr>
          <w:rStyle w:val="7"/>
          <w:rFonts w:hint="default" w:ascii="Times New Roman" w:hAnsi="Times New Roman" w:eastAsia="方正楷体_GBK"/>
          <w:b w:val="0"/>
          <w:sz w:val="32"/>
          <w:szCs w:val="32"/>
        </w:rPr>
      </w:pPr>
      <w:r>
        <w:rPr>
          <w:rStyle w:val="7"/>
          <w:rFonts w:hint="default" w:ascii="Times New Roman" w:hAnsi="Times New Roman" w:eastAsia="方正楷体_GBK"/>
          <w:b w:val="0"/>
          <w:sz w:val="32"/>
          <w:szCs w:val="32"/>
        </w:rPr>
        <w:t>（一）单位自评情况</w:t>
      </w:r>
    </w:p>
    <w:p>
      <w:pPr>
        <w:pStyle w:val="5"/>
        <w:snapToGrid w:val="0"/>
        <w:spacing w:before="0" w:beforeAutospacing="0" w:after="0" w:afterAutospacing="0" w:line="520" w:lineRule="exact"/>
        <w:ind w:firstLine="640" w:firstLineChars="200"/>
        <w:jc w:val="both"/>
        <w:rPr>
          <w:rFonts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根据预算绩效管理要求，我单位对部门整体和1个二级项目开展了绩效自评，涉及财政拨款项目支出资金10万元。</w:t>
      </w:r>
    </w:p>
    <w:p>
      <w:pPr>
        <w:pStyle w:val="5"/>
        <w:snapToGrid w:val="0"/>
        <w:spacing w:before="0" w:beforeAutospacing="0" w:after="0" w:afterAutospacing="0" w:line="520" w:lineRule="exact"/>
        <w:ind w:firstLine="640" w:firstLineChars="200"/>
        <w:jc w:val="both"/>
        <w:rPr>
          <w:rFonts w:ascii="Times New Roman" w:hAnsi="Times New Roman" w:eastAsia="方正仿宋_GBK"/>
          <w:sz w:val="32"/>
          <w:szCs w:val="32"/>
          <w:shd w:val="clear" w:color="auto" w:fill="FFFFFF"/>
        </w:rPr>
      </w:pPr>
    </w:p>
    <w:p>
      <w:pPr>
        <w:pStyle w:val="10"/>
        <w:spacing w:before="0" w:beforeAutospacing="0"/>
        <w:jc w:val="center"/>
        <w:rPr>
          <w:rFonts w:hint="eastAsia" w:cs="方正仿宋_GBK"/>
          <w:b/>
          <w:sz w:val="32"/>
          <w:szCs w:val="32"/>
          <w:shd w:val="clear" w:color="auto" w:fill="FFFFFF"/>
        </w:rPr>
      </w:pPr>
      <w:r>
        <w:rPr>
          <w:rFonts w:hint="eastAsia" w:cs="方正仿宋_GBK"/>
          <w:b/>
          <w:sz w:val="32"/>
          <w:szCs w:val="32"/>
          <w:shd w:val="clear" w:color="auto" w:fill="FFFFFF"/>
        </w:rPr>
        <w:t>民调中心</w:t>
      </w:r>
      <w:r>
        <w:rPr>
          <w:rFonts w:ascii="Times New Roman" w:hAnsi="Times New Roman"/>
          <w:b/>
          <w:sz w:val="32"/>
          <w:szCs w:val="32"/>
          <w:shd w:val="clear" w:color="auto" w:fill="FFFFFF"/>
        </w:rPr>
        <w:t>202</w:t>
      </w:r>
      <w:r>
        <w:rPr>
          <w:rFonts w:hint="eastAsia" w:ascii="Times New Roman" w:hAnsi="Times New Roman"/>
          <w:b/>
          <w:sz w:val="32"/>
          <w:szCs w:val="32"/>
          <w:shd w:val="clear" w:color="auto" w:fill="FFFFFF"/>
          <w:lang w:val="en-US" w:eastAsia="zh-CN"/>
        </w:rPr>
        <w:t>4</w:t>
      </w:r>
      <w:r>
        <w:rPr>
          <w:rFonts w:hint="eastAsia" w:cs="方正仿宋_GBK"/>
          <w:b/>
          <w:sz w:val="32"/>
          <w:szCs w:val="32"/>
          <w:shd w:val="clear" w:color="auto" w:fill="FFFFFF"/>
        </w:rPr>
        <w:t>年度项目支出绩效自评情况表（一级项目）</w:t>
      </w:r>
    </w:p>
    <w:tbl>
      <w:tblPr>
        <w:tblStyle w:val="8"/>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698"/>
        <w:gridCol w:w="1843"/>
        <w:gridCol w:w="658"/>
        <w:gridCol w:w="876"/>
        <w:gridCol w:w="876"/>
        <w:gridCol w:w="795"/>
        <w:gridCol w:w="876"/>
        <w:gridCol w:w="756"/>
        <w:gridCol w:w="756"/>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序号</w:t>
            </w:r>
          </w:p>
        </w:tc>
        <w:tc>
          <w:tcPr>
            <w:tcW w:w="69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项目名称</w:t>
            </w: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指标名称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指标性质</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指标值</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计量单位</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指标权重</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全年完成值</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指标</w:t>
            </w:r>
            <w:r>
              <w:rPr>
                <w:rFonts w:hint="default" w:ascii="Times New Roman" w:hAnsi="Times New Roman"/>
                <w:b w:val="0"/>
                <w:bCs/>
                <w:color w:val="000000"/>
                <w:sz w:val="18"/>
                <w:szCs w:val="18"/>
              </w:rPr>
              <w:t xml:space="preserve"> </w:t>
            </w:r>
            <w:r>
              <w:rPr>
                <w:rFonts w:hint="default" w:ascii="Times New Roman"/>
                <w:b w:val="0"/>
                <w:bCs/>
                <w:color w:val="000000"/>
                <w:sz w:val="18"/>
                <w:szCs w:val="18"/>
              </w:rPr>
              <w:t>得分</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说明</w:t>
            </w:r>
          </w:p>
        </w:tc>
        <w:tc>
          <w:tcPr>
            <w:tcW w:w="662"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restart"/>
            <w:shd w:val="clear" w:color="auto" w:fill="auto"/>
            <w:vAlign w:val="center"/>
          </w:tcPr>
          <w:p>
            <w:pPr>
              <w:jc w:val="center"/>
              <w:rPr>
                <w:rFonts w:hint="default" w:ascii="Times New Roman" w:hAnsi="Times New Roman"/>
                <w:b w:val="0"/>
                <w:bCs/>
                <w:color w:val="000000"/>
                <w:sz w:val="18"/>
                <w:szCs w:val="18"/>
              </w:rPr>
            </w:pPr>
            <w:r>
              <w:rPr>
                <w:rFonts w:ascii="Times New Roman" w:hAnsi="Times New Roman"/>
                <w:b w:val="0"/>
                <w:bCs/>
                <w:color w:val="000000"/>
                <w:sz w:val="18"/>
                <w:szCs w:val="18"/>
              </w:rPr>
              <w:t>1</w:t>
            </w:r>
          </w:p>
        </w:tc>
        <w:tc>
          <w:tcPr>
            <w:tcW w:w="698"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民调经费</w:t>
            </w: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年度预算执行率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r>
              <w:rPr>
                <w:rFonts w:hint="default" w:ascii="Times New Roman"/>
                <w:b w:val="0"/>
                <w:bCs/>
                <w:color w:val="000000"/>
                <w:sz w:val="18"/>
                <w:szCs w:val="18"/>
              </w:rPr>
              <w:t>　</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restart"/>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调查使用座机数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台</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民意调查次数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次</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民意调查样本有效数</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民调任务按计划完成率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民调场地租赁</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15000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年</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15000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民调系统软件服务费</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12000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年</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12000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有效样本薪酬</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7</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元</w:t>
            </w:r>
            <w:r>
              <w:rPr>
                <w:rFonts w:hint="default" w:ascii="Times New Roman" w:hAnsi="Times New Roman"/>
                <w:b w:val="0"/>
                <w:bCs/>
                <w:color w:val="000000"/>
                <w:sz w:val="18"/>
                <w:szCs w:val="18"/>
              </w:rPr>
              <w:t>/</w:t>
            </w:r>
            <w:r>
              <w:rPr>
                <w:rFonts w:hint="default" w:ascii="Times New Roman"/>
                <w:b w:val="0"/>
                <w:bCs/>
                <w:color w:val="000000"/>
                <w:sz w:val="18"/>
                <w:szCs w:val="18"/>
              </w:rPr>
              <w:t>个</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7</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民调成果利用率</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25</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25</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544" w:type="dxa"/>
            <w:vMerge w:val="continue"/>
            <w:shd w:val="clear" w:color="auto" w:fill="auto"/>
            <w:vAlign w:val="center"/>
          </w:tcPr>
          <w:p>
            <w:pPr>
              <w:rPr>
                <w:rFonts w:hint="default" w:ascii="Times New Roman" w:hAnsi="Times New Roman"/>
                <w:b w:val="0"/>
                <w:bCs/>
                <w:color w:val="000000"/>
                <w:sz w:val="18"/>
                <w:szCs w:val="18"/>
              </w:rPr>
            </w:pPr>
          </w:p>
        </w:tc>
        <w:tc>
          <w:tcPr>
            <w:tcW w:w="698" w:type="dxa"/>
            <w:vMerge w:val="continue"/>
            <w:shd w:val="clear" w:color="auto" w:fill="auto"/>
            <w:vAlign w:val="center"/>
          </w:tcPr>
          <w:p>
            <w:pPr>
              <w:rPr>
                <w:rFonts w:hint="default" w:ascii="Times New Roman" w:hAnsi="Times New Roman"/>
                <w:b w:val="0"/>
                <w:bCs/>
                <w:color w:val="000000"/>
                <w:sz w:val="18"/>
                <w:szCs w:val="18"/>
              </w:rPr>
            </w:pPr>
          </w:p>
        </w:tc>
        <w:tc>
          <w:tcPr>
            <w:tcW w:w="1843"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委托民调单位满意度</w:t>
            </w:r>
          </w:p>
        </w:tc>
        <w:tc>
          <w:tcPr>
            <w:tcW w:w="658"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w:t>
            </w:r>
          </w:p>
        </w:tc>
        <w:tc>
          <w:tcPr>
            <w:tcW w:w="795"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87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90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hAnsi="Times New Roman"/>
                <w:b w:val="0"/>
                <w:bCs/>
                <w:color w:val="000000"/>
                <w:sz w:val="18"/>
                <w:szCs w:val="18"/>
              </w:rPr>
              <w:t>10</w:t>
            </w:r>
          </w:p>
        </w:tc>
        <w:tc>
          <w:tcPr>
            <w:tcW w:w="756" w:type="dxa"/>
            <w:shd w:val="clear" w:color="auto" w:fill="auto"/>
            <w:vAlign w:val="center"/>
          </w:tcPr>
          <w:p>
            <w:pPr>
              <w:jc w:val="center"/>
              <w:rPr>
                <w:rFonts w:hint="default" w:ascii="Times New Roman" w:hAnsi="Times New Roman"/>
                <w:b w:val="0"/>
                <w:bCs/>
                <w:color w:val="000000"/>
                <w:sz w:val="18"/>
                <w:szCs w:val="18"/>
              </w:rPr>
            </w:pPr>
            <w:r>
              <w:rPr>
                <w:rFonts w:hint="default" w:ascii="Times New Roman"/>
                <w:b w:val="0"/>
                <w:bCs/>
                <w:color w:val="000000"/>
                <w:sz w:val="18"/>
                <w:szCs w:val="18"/>
              </w:rPr>
              <w:t>　</w:t>
            </w:r>
          </w:p>
        </w:tc>
        <w:tc>
          <w:tcPr>
            <w:tcW w:w="662" w:type="dxa"/>
            <w:vMerge w:val="continue"/>
            <w:vAlign w:val="center"/>
          </w:tcPr>
          <w:p>
            <w:pPr>
              <w:rPr>
                <w:rFonts w:hint="default" w:ascii="Times New Roman" w:hAnsi="Times New Roman"/>
                <w:b w:val="0"/>
                <w:bCs/>
                <w:color w:val="000000"/>
                <w:sz w:val="18"/>
                <w:szCs w:val="18"/>
              </w:rPr>
            </w:pPr>
          </w:p>
        </w:tc>
      </w:tr>
    </w:tbl>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p>
    <w:p>
      <w:pPr>
        <w:pStyle w:val="5"/>
        <w:snapToGrid w:val="0"/>
        <w:spacing w:before="0" w:beforeAutospacing="0" w:after="0" w:afterAutospacing="0" w:line="520" w:lineRule="exact"/>
        <w:ind w:firstLine="640" w:firstLineChars="200"/>
        <w:jc w:val="both"/>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（二）单位绩效评价情况</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对民调经费开展了绩效评价，涉及财政拨款项目资金10万元，评价得分90分，评价等次为合格。</w:t>
      </w:r>
    </w:p>
    <w:p>
      <w:pPr>
        <w:pStyle w:val="5"/>
        <w:snapToGrid w:val="0"/>
        <w:spacing w:before="0" w:beforeAutospacing="0" w:after="0" w:afterAutospacing="0" w:line="520" w:lineRule="exact"/>
        <w:ind w:firstLine="640" w:firstLineChars="200"/>
        <w:jc w:val="both"/>
        <w:rPr>
          <w:rFonts w:hint="default" w:ascii="Times New Roman" w:hAnsi="Times New Roman" w:eastAsia="方正楷体_GBK"/>
          <w:sz w:val="32"/>
          <w:szCs w:val="32"/>
          <w:shd w:val="clear" w:color="auto" w:fill="FFFFFF"/>
        </w:rPr>
      </w:pPr>
      <w:r>
        <w:rPr>
          <w:rFonts w:hint="default" w:ascii="Times New Roman" w:hAnsi="Times New Roman" w:eastAsia="方正楷体_GBK"/>
          <w:sz w:val="32"/>
          <w:szCs w:val="32"/>
          <w:shd w:val="clear" w:color="auto" w:fill="FFFFFF"/>
        </w:rPr>
        <w:t>（三）财政绩效评价情况</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w:t>
      </w:r>
      <w:r>
        <w:rPr>
          <w:rFonts w:hint="default" w:ascii="Times New Roman" w:hAnsi="Times New Roman" w:eastAsia="方正仿宋_GBK"/>
          <w:bCs/>
          <w:sz w:val="32"/>
          <w:szCs w:val="32"/>
          <w:shd w:val="clear" w:color="auto" w:fill="FFFFFF"/>
        </w:rPr>
        <w:t>对我单位开展绩效评价。</w:t>
      </w:r>
    </w:p>
    <w:p>
      <w:pPr>
        <w:pStyle w:val="5"/>
        <w:snapToGrid w:val="0"/>
        <w:spacing w:before="0" w:beforeAutospacing="0" w:after="0" w:afterAutospacing="0" w:line="520" w:lineRule="exact"/>
        <w:ind w:firstLine="643" w:firstLineChars="200"/>
        <w:jc w:val="both"/>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仿宋_GBK"/>
          <w:sz w:val="32"/>
          <w:szCs w:val="32"/>
          <w:shd w:val="clear" w:color="auto" w:fill="FFFFFF"/>
        </w:rPr>
        <w:t xml:space="preserve">  </w:t>
      </w:r>
      <w:r>
        <w:rPr>
          <w:rStyle w:val="7"/>
          <w:rFonts w:hint="default" w:ascii="Times New Roman" w:hAnsi="Times New Roman" w:eastAsia="方正黑体_GBK"/>
          <w:b w:val="0"/>
          <w:sz w:val="32"/>
          <w:szCs w:val="32"/>
          <w:shd w:val="clear" w:color="auto" w:fill="FFFFFF"/>
        </w:rPr>
        <w:t>六、专业名词解释</w:t>
      </w:r>
    </w:p>
    <w:p>
      <w:pPr>
        <w:pStyle w:val="5"/>
        <w:snapToGrid w:val="0"/>
        <w:spacing w:before="0" w:beforeAutospacing="0" w:after="0" w:afterAutospacing="0" w:line="520" w:lineRule="exact"/>
        <w:ind w:firstLine="480" w:firstLineChars="200"/>
        <w:jc w:val="both"/>
        <w:rPr>
          <w:rFonts w:hint="default" w:ascii="Times New Roman" w:hAnsi="Times New Roman" w:eastAsia="方正仿宋_GBK"/>
          <w:sz w:val="32"/>
          <w:szCs w:val="32"/>
        </w:rPr>
      </w:pPr>
      <w:r>
        <w:rPr>
          <w:rStyle w:val="7"/>
          <w:rFonts w:hint="default" w:ascii="Times New Roman" w:hAnsi="Times New Roman" w:eastAsia="方正黑体_GBK"/>
        </w:rPr>
        <w:t> </w:t>
      </w:r>
      <w:r>
        <w:rPr>
          <w:rStyle w:val="7"/>
          <w:rFonts w:hint="default" w:ascii="Times New Roman" w:hAnsi="Times New Roman" w:eastAsia="方正楷体_GBK"/>
          <w:b w:val="0"/>
          <w:sz w:val="32"/>
          <w:szCs w:val="32"/>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（二）事业收入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（三）经营收入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（四）其他收入</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楷体_GBK"/>
          <w:b w:val="0"/>
          <w:sz w:val="32"/>
          <w:szCs w:val="32"/>
          <w:shd w:val="clear" w:color="auto" w:fill="FFFFFF"/>
        </w:rPr>
        <w:t>（五）使用非财政拨款结余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（六）年初结转和结余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（七）结余分配</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（八）年末结转和结余</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（九）基本支出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（十）项目支出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（十一）经营支出</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楷体_GBK"/>
          <w:sz w:val="32"/>
          <w:szCs w:val="32"/>
          <w:shd w:val="clear" w:color="auto" w:fill="FFFFFF"/>
        </w:rPr>
        <w:t> </w:t>
      </w:r>
      <w:r>
        <w:rPr>
          <w:rStyle w:val="7"/>
          <w:rFonts w:hint="default" w:ascii="Times New Roman" w:hAnsi="Times New Roman" w:eastAsia="方正楷体_GBK"/>
          <w:b w:val="0"/>
          <w:sz w:val="32"/>
          <w:szCs w:val="32"/>
          <w:shd w:val="clear" w:color="auto" w:fill="FFFFFF"/>
        </w:rPr>
        <w:t>（十二）“三公”经费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（十三）机关运行经费</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方正仿宋_GBK"/>
          <w:sz w:val="32"/>
          <w:szCs w:val="32"/>
          <w:shd w:val="clear" w:color="auto" w:fill="FFFFFF"/>
        </w:rPr>
        <w:t> </w:t>
      </w:r>
      <w:r>
        <w:rPr>
          <w:rStyle w:val="7"/>
          <w:rFonts w:hint="default" w:ascii="Times New Roman" w:hAnsi="Times New Roman" w:eastAsia="方正楷体_GBK"/>
          <w:b w:val="0"/>
          <w:sz w:val="32"/>
          <w:szCs w:val="32"/>
          <w:shd w:val="clear" w:color="auto" w:fill="FFFFFF"/>
        </w:rPr>
        <w:t>（十四）工资福利支出（支出经济分类科目类级）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（十五）商品和服务支出（支出经济分类科目类级）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520" w:lineRule="exact"/>
        <w:ind w:firstLine="643" w:firstLineChars="200"/>
        <w:jc w:val="both"/>
        <w:rPr>
          <w:rFonts w:hint="default" w:ascii="Times New Roman" w:hAnsi="Times New Roman" w:eastAsia="方正仿宋_GBK"/>
          <w:sz w:val="32"/>
          <w:szCs w:val="32"/>
        </w:rPr>
      </w:pPr>
      <w:r>
        <w:rPr>
          <w:rStyle w:val="7"/>
          <w:rFonts w:hint="default" w:ascii="Times New Roman" w:hAnsi="Times New Roman" w:eastAsia="楷体"/>
          <w:sz w:val="32"/>
          <w:szCs w:val="32"/>
          <w:shd w:val="clear" w:color="auto" w:fill="FFFFFF"/>
        </w:rPr>
        <w:t> </w:t>
      </w:r>
      <w:r>
        <w:rPr>
          <w:rStyle w:val="7"/>
          <w:rFonts w:hint="default" w:ascii="Times New Roman" w:hAnsi="Times New Roman" w:eastAsia="方正楷体_GBK"/>
          <w:b w:val="0"/>
          <w:sz w:val="32"/>
          <w:szCs w:val="32"/>
          <w:shd w:val="clear" w:color="auto" w:fill="FFFFFF"/>
        </w:rPr>
        <w:t>（十六）对个人和家庭的补助（支出经济分类科目类级）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5"/>
        <w:snapToGrid w:val="0"/>
        <w:spacing w:before="0" w:beforeAutospacing="0" w:after="0" w:afterAutospacing="0" w:line="520" w:lineRule="exact"/>
        <w:ind w:firstLine="640" w:firstLineChars="200"/>
        <w:jc w:val="both"/>
        <w:rPr>
          <w:rFonts w:hint="default" w:ascii="Times New Roman" w:hAnsi="Times New Roman" w:eastAsia="方正仿宋_GBK"/>
          <w:sz w:val="32"/>
          <w:szCs w:val="32"/>
        </w:rPr>
      </w:pPr>
      <w:r>
        <w:rPr>
          <w:rStyle w:val="7"/>
          <w:rFonts w:hint="default" w:ascii="Times New Roman" w:hAnsi="Times New Roman" w:eastAsia="方正仿宋_GBK"/>
          <w:b w:val="0"/>
          <w:sz w:val="32"/>
          <w:szCs w:val="32"/>
          <w:shd w:val="clear" w:color="auto" w:fill="FFFFFF"/>
        </w:rPr>
        <w:t> </w:t>
      </w:r>
      <w:r>
        <w:rPr>
          <w:rStyle w:val="7"/>
          <w:rFonts w:hint="default" w:ascii="Times New Roman" w:hAnsi="Times New Roman" w:eastAsia="方正楷体_GBK"/>
          <w:b w:val="0"/>
          <w:sz w:val="32"/>
          <w:szCs w:val="32"/>
          <w:shd w:val="clear" w:color="auto" w:fill="FFFFFF"/>
        </w:rPr>
        <w:t>（十七）其他资本性支出（支出经济分类科目类级）</w:t>
      </w:r>
      <w:r>
        <w:rPr>
          <w:rFonts w:hint="default" w:ascii="Times New Roman" w:hAnsi="Times New Roman" w:eastAsia="方正楷体_GBK"/>
          <w:b/>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napToGrid w:val="0"/>
        <w:spacing w:before="0" w:beforeAutospacing="0" w:after="0" w:afterAutospacing="0" w:line="520" w:lineRule="exact"/>
        <w:ind w:firstLine="643" w:firstLineChars="200"/>
        <w:jc w:val="both"/>
        <w:rPr>
          <w:rStyle w:val="7"/>
          <w:rFonts w:hint="default" w:ascii="Times New Roman" w:hAnsi="Times New Roman" w:eastAsia="方正黑体_GBK"/>
          <w:b w:val="0"/>
          <w:sz w:val="32"/>
          <w:szCs w:val="32"/>
          <w:shd w:val="clear" w:color="auto" w:fill="FFFFFF"/>
        </w:rPr>
      </w:pPr>
      <w:r>
        <w:rPr>
          <w:rStyle w:val="7"/>
          <w:rFonts w:hint="default" w:ascii="Times New Roman" w:hAnsi="Times New Roman" w:eastAsia="方正仿宋_GBK"/>
          <w:sz w:val="32"/>
          <w:szCs w:val="32"/>
          <w:shd w:val="clear" w:color="auto" w:fill="FFFFFF"/>
        </w:rPr>
        <w:t xml:space="preserve">  </w:t>
      </w:r>
      <w:r>
        <w:rPr>
          <w:rStyle w:val="7"/>
          <w:rFonts w:hint="default" w:ascii="Times New Roman" w:hAnsi="Times New Roman" w:eastAsia="方正黑体_GBK"/>
          <w:b w:val="0"/>
          <w:sz w:val="32"/>
          <w:szCs w:val="32"/>
          <w:shd w:val="clear" w:color="auto" w:fill="FFFFFF"/>
        </w:rPr>
        <w:t>七、决算公开联系方式及信息反馈渠道</w:t>
      </w:r>
    </w:p>
    <w:p>
      <w:pPr>
        <w:pStyle w:val="5"/>
        <w:snapToGrid w:val="0"/>
        <w:spacing w:before="0" w:beforeAutospacing="0" w:after="0" w:afterAutospacing="0" w:line="520" w:lineRule="exact"/>
        <w:ind w:firstLine="640" w:firstLineChars="200"/>
        <w:jc w:val="both"/>
        <w:rPr>
          <w:rStyle w:val="7"/>
          <w:rFonts w:ascii="方正仿宋_GBK" w:hAnsi="Times New Roman" w:eastAsia="方正仿宋_GBK"/>
          <w:b w:val="0"/>
          <w:sz w:val="32"/>
          <w:szCs w:val="32"/>
          <w:shd w:val="clear" w:color="auto" w:fill="FFFFFF"/>
        </w:rPr>
      </w:pPr>
      <w:r>
        <w:rPr>
          <w:rStyle w:val="7"/>
          <w:rFonts w:ascii="方正仿宋_GBK" w:hAnsi="Times New Roman" w:eastAsia="方正仿宋_GBK"/>
          <w:b w:val="0"/>
          <w:sz w:val="32"/>
          <w:szCs w:val="32"/>
        </w:rPr>
        <w:t>本单位决算公开信息反馈和联系方式：</w:t>
      </w:r>
    </w:p>
    <w:p>
      <w:pPr>
        <w:pStyle w:val="9"/>
        <w:autoSpaceDE w:val="0"/>
        <w:spacing w:line="520" w:lineRule="exact"/>
        <w:ind w:firstLine="787" w:firstLineChars="246"/>
        <w:rPr>
          <w:rStyle w:val="7"/>
          <w:rFonts w:hint="eastAsia" w:ascii="方正仿宋_GBK" w:hAnsi="Times New Roman" w:eastAsia="方正仿宋_GBK"/>
          <w:b w:val="0"/>
          <w:sz w:val="32"/>
          <w:szCs w:val="32"/>
          <w:lang w:val="en-US" w:eastAsia="zh-CN"/>
        </w:rPr>
        <w:sectPr>
          <w:footerReference r:id="rId3" w:type="default"/>
          <w:pgSz w:w="11915" w:h="16840"/>
          <w:pgMar w:top="1985" w:right="1446" w:bottom="1644" w:left="1446" w:header="851" w:footer="992" w:gutter="0"/>
          <w:pgNumType w:fmt="numberInDash"/>
          <w:cols w:space="720" w:num="1"/>
          <w:docGrid w:type="lines" w:linePitch="312" w:charSpace="0"/>
        </w:sectPr>
      </w:pPr>
      <w:r>
        <w:rPr>
          <w:rStyle w:val="7"/>
          <w:rFonts w:hint="eastAsia" w:ascii="方正仿宋_GBK" w:hAnsi="方正仿宋_GBK" w:eastAsia="方正仿宋_GBK"/>
          <w:b w:val="0"/>
          <w:sz w:val="32"/>
          <w:szCs w:val="32"/>
        </w:rPr>
        <w:t>田茂丹</w:t>
      </w:r>
      <w:r>
        <w:rPr>
          <w:rStyle w:val="7"/>
          <w:rFonts w:hint="eastAsia" w:ascii="方正仿宋_GBK" w:hAnsi="Times New Roman" w:eastAsia="方正仿宋_GBK"/>
          <w:b w:val="0"/>
          <w:sz w:val="32"/>
          <w:szCs w:val="32"/>
        </w:rPr>
        <w:t xml:space="preserve"> </w:t>
      </w:r>
      <w:r>
        <w:rPr>
          <w:rStyle w:val="7"/>
          <w:rFonts w:ascii="Times New Roman" w:hAnsi="Times New Roman" w:eastAsia="方正仿宋_GBK"/>
          <w:b w:val="0"/>
          <w:sz w:val="32"/>
          <w:szCs w:val="32"/>
        </w:rPr>
        <w:t xml:space="preserve"> 023-7689560</w:t>
      </w:r>
      <w:r>
        <w:rPr>
          <w:rStyle w:val="7"/>
          <w:rFonts w:hint="eastAsia" w:ascii="Times New Roman" w:hAnsi="Times New Roman" w:eastAsia="方正仿宋_GBK"/>
          <w:b w:val="0"/>
          <w:sz w:val="32"/>
          <w:szCs w:val="32"/>
          <w:lang w:val="en-US" w:eastAsia="zh-CN"/>
        </w:rPr>
        <w:t>5</w:t>
      </w:r>
    </w:p>
    <w:tbl>
      <w:tblPr>
        <w:tblStyle w:val="8"/>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秀山土家族苗族自治县民意调查中心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165</w:t>
            </w:r>
            <w:r>
              <w:rPr>
                <w:rFonts w:hint="eastAsia" w:ascii="Times New Roman" w:hAnsi="Times New Roman" w:cs="Times New Roman" w:eastAsiaTheme="minorEastAsia"/>
                <w:color w:val="000000"/>
                <w:sz w:val="22"/>
                <w:szCs w:val="22"/>
                <w:lang w:val="en-US" w:eastAsia="zh-CN"/>
              </w:rPr>
              <w:t>.70</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139.29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23.53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8.14</w:t>
            </w: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165.70</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178.45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12</w:t>
            </w:r>
            <w:r>
              <w:rPr>
                <w:rFonts w:hint="eastAsia" w:ascii="Times New Roman" w:hAnsi="Times New Roman" w:cs="Times New Roman" w:eastAsiaTheme="minorEastAsia"/>
                <w:color w:val="000000"/>
                <w:sz w:val="22"/>
                <w:szCs w:val="22"/>
                <w:lang w:val="en-US" w:eastAsia="zh-CN"/>
              </w:rPr>
              <w:t>.</w:t>
            </w:r>
            <w:r>
              <w:rPr>
                <w:rFonts w:hint="default" w:ascii="Times New Roman" w:hAnsi="Times New Roman" w:cs="Times New Roman" w:eastAsiaTheme="minorEastAsia"/>
                <w:color w:val="000000"/>
                <w:sz w:val="22"/>
                <w:szCs w:val="22"/>
              </w:rPr>
              <w:t>7</w:t>
            </w:r>
            <w:r>
              <w:rPr>
                <w:rFonts w:hint="eastAsia" w:ascii="Times New Roman" w:hAnsi="Times New Roman" w:cs="Times New Roman" w:eastAsiaTheme="minorEastAsia"/>
                <w:color w:val="000000"/>
                <w:sz w:val="22"/>
                <w:szCs w:val="22"/>
                <w:lang w:val="en-US" w:eastAsia="zh-CN"/>
              </w:rPr>
              <w:t>6</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178.45</w:t>
            </w: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178.45</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tbl>
      <w:tblPr>
        <w:tblStyle w:val="8"/>
        <w:tblpPr w:leftFromText="180" w:rightFromText="180" w:vertAnchor="text" w:horzAnchor="page" w:tblpX="1111" w:tblpY="302"/>
        <w:tblOverlap w:val="never"/>
        <w:tblW w:w="22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秀山土家族苗族自治县民意调查中心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165.70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165.70</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126.54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126.54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126.54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126.54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116.54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116.54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其他统计信息事务支出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23.53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23.53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23.53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23.53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15.87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15.87</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7.66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7.66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8.14</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6.22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6.22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1.92</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bCs w:val="0"/>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b w:val="0"/>
                <w:bCs/>
                <w:i w:val="0"/>
                <w:color w:val="000000"/>
                <w:kern w:val="0"/>
                <w:sz w:val="22"/>
                <w:szCs w:val="22"/>
                <w:u w:val="none"/>
                <w:lang w:val="en-US" w:eastAsia="zh-CN" w:bidi="ar"/>
              </w:rPr>
              <w:t>7.48</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pStyle w:val="9"/>
        <w:numPr>
          <w:ilvl w:val="0"/>
          <w:numId w:val="0"/>
        </w:numPr>
        <w:autoSpaceDE w:val="0"/>
        <w:rPr>
          <w:rFonts w:hint="eastAsia" w:ascii="宋体" w:hAnsi="宋体" w:eastAsia="宋体" w:cs="宋体"/>
          <w:sz w:val="21"/>
          <w:szCs w:val="21"/>
          <w:lang w:val="en-US" w:eastAsia="zh-CN"/>
        </w:rPr>
      </w:pP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秀山土家族苗族自治县民意调查中心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178.45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168.45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lang w:val="en-US" w:eastAsia="zh-CN"/>
              </w:rPr>
            </w:pPr>
            <w:r>
              <w:rPr>
                <w:rFonts w:hint="eastAsia" w:ascii="Times New Roman" w:hAnsi="Times New Roman" w:cs="Times New Roman"/>
                <w:b/>
                <w:bCs/>
                <w:color w:val="000000"/>
                <w:sz w:val="22"/>
                <w:szCs w:val="22"/>
                <w:lang w:val="en-US" w:eastAsia="zh-CN"/>
              </w:rPr>
              <w:t>10.00</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129.29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10.00</w:t>
            </w:r>
            <w:r>
              <w:rPr>
                <w:rFonts w:hint="default" w:ascii="Times New Roman" w:hAnsi="Times New Roman" w:cs="Times New Roman"/>
                <w:b/>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统计信息事务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139.29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129.29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bCs/>
                <w:color w:val="000000"/>
                <w:sz w:val="22"/>
                <w:szCs w:val="22"/>
                <w:lang w:val="en-US" w:eastAsia="zh-CN"/>
              </w:rPr>
              <w:t>10.00</w:t>
            </w:r>
            <w:r>
              <w:rPr>
                <w:rFonts w:hint="default" w:ascii="Times New Roman" w:hAnsi="Times New Roman" w:cs="Times New Roman"/>
                <w:b/>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其他统计信息事务支出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eastAsia" w:ascii="Times New Roman" w:hAnsi="Times New Roman" w:cs="Times New Roman"/>
                <w:b w:val="0"/>
                <w:bCs w:val="0"/>
                <w:color w:val="000000"/>
                <w:sz w:val="22"/>
                <w:szCs w:val="22"/>
                <w:lang w:val="en-US" w:eastAsia="zh-CN"/>
              </w:rPr>
              <w:t>10.00</w:t>
            </w:r>
            <w:r>
              <w:rPr>
                <w:rFonts w:hint="default" w:ascii="Times New Roman" w:hAnsi="Times New Roman" w:cs="Times New Roman"/>
                <w:b w:val="0"/>
                <w:bCs w:val="0"/>
                <w:color w:val="000000"/>
                <w:sz w:val="22"/>
                <w:szCs w:val="22"/>
              </w:rPr>
              <w:t xml:space="preserve">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165.70</w:t>
            </w: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139.30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rPr>
            </w:pPr>
            <w:r>
              <w:rPr>
                <w:rFonts w:hint="eastAsia" w:ascii="Times New Roman" w:hAnsi="Times New Roman" w:cs="Times New Roman" w:eastAsiaTheme="minorEastAsia"/>
                <w:color w:val="000000"/>
                <w:sz w:val="22"/>
                <w:szCs w:val="22"/>
                <w:lang w:val="en-US" w:eastAsia="zh-CN"/>
              </w:rPr>
              <w:t>139.30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23.53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23.53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8.14</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8.14</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lang w:val="en-US" w:eastAsia="zh-CN"/>
              </w:rPr>
            </w:pPr>
            <w:r>
              <w:rPr>
                <w:rFonts w:hint="eastAsia" w:ascii="Times New Roman" w:hAnsi="Times New Roman" w:cs="Times New Roman" w:eastAsiaTheme="minorEastAsia"/>
                <w:color w:val="000000"/>
                <w:sz w:val="22"/>
                <w:szCs w:val="22"/>
                <w:lang w:val="en-US" w:eastAsia="zh-CN"/>
              </w:rPr>
              <w:t>7.48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7.48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165.7</w:t>
            </w:r>
            <w:r>
              <w:rPr>
                <w:rFonts w:hint="eastAsia" w:ascii="Times New Roman" w:hAnsi="Times New Roman" w:cs="Times New Roman"/>
                <w:i w:val="0"/>
                <w:color w:val="000000"/>
                <w:kern w:val="0"/>
                <w:sz w:val="22"/>
                <w:szCs w:val="22"/>
                <w:u w:val="none"/>
                <w:lang w:val="en-US" w:eastAsia="zh-CN" w:bidi="ar"/>
              </w:rPr>
              <w:t>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178.45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178.45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w:t>
            </w:r>
            <w:r>
              <w:rPr>
                <w:rFonts w:hint="eastAsia" w:ascii="Times New Roman" w:hAnsi="Times New Roman" w:cs="Times New Roman"/>
                <w:i w:val="0"/>
                <w:color w:val="000000"/>
                <w:kern w:val="0"/>
                <w:sz w:val="22"/>
                <w:szCs w:val="22"/>
                <w:u w:val="none"/>
                <w:lang w:val="en-US" w:eastAsia="zh-CN" w:bidi="ar"/>
              </w:rPr>
              <w:t>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w:t>
            </w:r>
            <w:r>
              <w:rPr>
                <w:rFonts w:hint="eastAsia" w:ascii="Times New Roman" w:hAnsi="Times New Roman" w:cs="Times New Roman"/>
                <w:i w:val="0"/>
                <w:color w:val="000000"/>
                <w:kern w:val="0"/>
                <w:sz w:val="22"/>
                <w:szCs w:val="22"/>
                <w:u w:val="none"/>
                <w:lang w:val="en-US" w:eastAsia="zh-CN" w:bidi="ar"/>
              </w:rPr>
              <w:t>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178.45</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178.45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178.45</w:t>
            </w: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155.70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178.45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168.45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126.54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116.54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129.29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统计信息事务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12.76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126.54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116.54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139.29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129.29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12.76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12.76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116.54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116.54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129.29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其他统计信息事务支出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23.53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15.87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8.14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6.22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1.92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eastAsia="宋体" w:cs="Times New Roman"/>
                <w:i w:val="0"/>
                <w:color w:val="000000"/>
                <w:kern w:val="0"/>
                <w:sz w:val="22"/>
                <w:szCs w:val="22"/>
                <w:u w:val="none"/>
                <w:lang w:val="en-US" w:eastAsia="zh-CN" w:bidi="ar"/>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158.57</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9.88</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33.01</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80.36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0.04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15.87</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7.66</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1.71</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0.19</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7.48</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1.92</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0.49</w:t>
            </w: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0.04</w:t>
            </w: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3.40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0.99</w:t>
            </w: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0.92</w:t>
            </w: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eastAsia" w:ascii="Times New Roman" w:hAnsi="Times New Roman" w:cs="Times New Roman" w:eastAsiaTheme="minorEastAsia"/>
                <w:color w:val="000000"/>
                <w:sz w:val="22"/>
                <w:szCs w:val="22"/>
                <w:lang w:val="en-US" w:eastAsia="zh-CN"/>
              </w:rPr>
              <w:t>158.57</w:t>
            </w: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cs="Times New Roman"/>
                <w:color w:val="000000"/>
                <w:sz w:val="22"/>
                <w:szCs w:val="22"/>
                <w:lang w:val="en-US" w:eastAsia="zh-CN"/>
              </w:rPr>
              <w:t>9.88</w:t>
            </w:r>
            <w:r>
              <w:rPr>
                <w:rFonts w:hint="default" w:ascii="Times New Roman" w:hAnsi="Times New Roman" w:cs="Times New Roman"/>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秀山土家族苗族自治县民意调查中心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color w:val="000000"/>
                <w:sz w:val="22"/>
                <w:szCs w:val="22"/>
                <w:lang w:val="en-US" w:eastAsia="zh-CN"/>
              </w:rPr>
              <w:t>0.49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eastAsia" w:ascii="Times New Roman" w:hAnsi="Times New Roman" w:cs="Times New Roman"/>
                <w:color w:val="000000"/>
                <w:sz w:val="22"/>
                <w:szCs w:val="22"/>
                <w:lang w:val="en-US" w:eastAsia="zh-CN"/>
              </w:rPr>
              <w:t>0.30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default"/>
                            </w:rPr>
                          </w:pPr>
                          <w:r>
                            <w:fldChar w:fldCharType="begin"/>
                          </w:r>
                          <w:r>
                            <w:instrText xml:space="preserve"> PAGE  \* MERGEFORMAT </w:instrText>
                          </w:r>
                          <w:r>
                            <w:fldChar w:fldCharType="separate"/>
                          </w:r>
                          <w:r>
                            <w:rPr>
                              <w:rFonts w:hint="default"/>
                            </w:rPr>
                            <w:t>- 2 -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ED1A5A"/>
    <w:rsid w:val="01F3521E"/>
    <w:rsid w:val="03E3214F"/>
    <w:rsid w:val="04446191"/>
    <w:rsid w:val="044C50BA"/>
    <w:rsid w:val="0536621F"/>
    <w:rsid w:val="055908C4"/>
    <w:rsid w:val="05E71467"/>
    <w:rsid w:val="06A2550B"/>
    <w:rsid w:val="06F80EE2"/>
    <w:rsid w:val="07001CCA"/>
    <w:rsid w:val="075321D2"/>
    <w:rsid w:val="075678DB"/>
    <w:rsid w:val="07932335"/>
    <w:rsid w:val="08051BCA"/>
    <w:rsid w:val="080A21BB"/>
    <w:rsid w:val="08BA052C"/>
    <w:rsid w:val="08DB07BA"/>
    <w:rsid w:val="098305D0"/>
    <w:rsid w:val="09B72B6E"/>
    <w:rsid w:val="0A0C7F04"/>
    <w:rsid w:val="0A160CD8"/>
    <w:rsid w:val="0A227275"/>
    <w:rsid w:val="0A5C4B69"/>
    <w:rsid w:val="0B103A23"/>
    <w:rsid w:val="0B9335CE"/>
    <w:rsid w:val="0BA10C97"/>
    <w:rsid w:val="0C554661"/>
    <w:rsid w:val="0C7927C4"/>
    <w:rsid w:val="0C9B098C"/>
    <w:rsid w:val="0CDE70E2"/>
    <w:rsid w:val="0CE80A8F"/>
    <w:rsid w:val="0D472B48"/>
    <w:rsid w:val="0D673E11"/>
    <w:rsid w:val="0DB50EFE"/>
    <w:rsid w:val="0DDA54E4"/>
    <w:rsid w:val="0E3A5F83"/>
    <w:rsid w:val="0E9478E1"/>
    <w:rsid w:val="0F836721"/>
    <w:rsid w:val="103645A3"/>
    <w:rsid w:val="107B59E5"/>
    <w:rsid w:val="10AA219D"/>
    <w:rsid w:val="11003CB0"/>
    <w:rsid w:val="11124E18"/>
    <w:rsid w:val="111445C7"/>
    <w:rsid w:val="111D75F7"/>
    <w:rsid w:val="1158083A"/>
    <w:rsid w:val="119510D8"/>
    <w:rsid w:val="11F03528"/>
    <w:rsid w:val="12C921C4"/>
    <w:rsid w:val="12DA353E"/>
    <w:rsid w:val="13850DCB"/>
    <w:rsid w:val="13871C70"/>
    <w:rsid w:val="13A71CB4"/>
    <w:rsid w:val="13AF1D43"/>
    <w:rsid w:val="13CE1647"/>
    <w:rsid w:val="14200702"/>
    <w:rsid w:val="144F3F11"/>
    <w:rsid w:val="1580711B"/>
    <w:rsid w:val="15815543"/>
    <w:rsid w:val="15E1597A"/>
    <w:rsid w:val="16D80EBF"/>
    <w:rsid w:val="17392CAA"/>
    <w:rsid w:val="17720DFE"/>
    <w:rsid w:val="178B13B7"/>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1773D2"/>
    <w:rsid w:val="1E2F1929"/>
    <w:rsid w:val="1EF67CA4"/>
    <w:rsid w:val="1F213FD9"/>
    <w:rsid w:val="1F496BF5"/>
    <w:rsid w:val="1F937DBC"/>
    <w:rsid w:val="1FCD26AF"/>
    <w:rsid w:val="20642787"/>
    <w:rsid w:val="20C83310"/>
    <w:rsid w:val="20EC77A3"/>
    <w:rsid w:val="21556F04"/>
    <w:rsid w:val="22403BD3"/>
    <w:rsid w:val="244011D0"/>
    <w:rsid w:val="24B92327"/>
    <w:rsid w:val="2533755C"/>
    <w:rsid w:val="26396DF4"/>
    <w:rsid w:val="266B763B"/>
    <w:rsid w:val="2714043C"/>
    <w:rsid w:val="27167136"/>
    <w:rsid w:val="27B23302"/>
    <w:rsid w:val="27D424D7"/>
    <w:rsid w:val="28154349"/>
    <w:rsid w:val="285722C3"/>
    <w:rsid w:val="28DC1FF8"/>
    <w:rsid w:val="29310A5F"/>
    <w:rsid w:val="29C37A35"/>
    <w:rsid w:val="2A076083"/>
    <w:rsid w:val="2A306CA5"/>
    <w:rsid w:val="2A73162E"/>
    <w:rsid w:val="2AFA2E94"/>
    <w:rsid w:val="2B167953"/>
    <w:rsid w:val="2B200583"/>
    <w:rsid w:val="2B8209DE"/>
    <w:rsid w:val="2BB57B31"/>
    <w:rsid w:val="2C6762A3"/>
    <w:rsid w:val="2D5F4C37"/>
    <w:rsid w:val="2FE029D7"/>
    <w:rsid w:val="2FF06E00"/>
    <w:rsid w:val="30D00BA4"/>
    <w:rsid w:val="315F0B22"/>
    <w:rsid w:val="31BE24D6"/>
    <w:rsid w:val="31D84415"/>
    <w:rsid w:val="32285F6F"/>
    <w:rsid w:val="32770556"/>
    <w:rsid w:val="329C0913"/>
    <w:rsid w:val="3337290D"/>
    <w:rsid w:val="33666A94"/>
    <w:rsid w:val="337E2FF4"/>
    <w:rsid w:val="352930DB"/>
    <w:rsid w:val="35573069"/>
    <w:rsid w:val="358C217E"/>
    <w:rsid w:val="359E7284"/>
    <w:rsid w:val="359F188C"/>
    <w:rsid w:val="36C9128A"/>
    <w:rsid w:val="36D00F3D"/>
    <w:rsid w:val="37841E99"/>
    <w:rsid w:val="379C594F"/>
    <w:rsid w:val="37BF1123"/>
    <w:rsid w:val="37C85E36"/>
    <w:rsid w:val="38BE4696"/>
    <w:rsid w:val="394A10F5"/>
    <w:rsid w:val="39B82A39"/>
    <w:rsid w:val="39F33306"/>
    <w:rsid w:val="3ADD089E"/>
    <w:rsid w:val="3B1705E5"/>
    <w:rsid w:val="3B18334B"/>
    <w:rsid w:val="3B36794F"/>
    <w:rsid w:val="3B457067"/>
    <w:rsid w:val="3B544954"/>
    <w:rsid w:val="3B793FF0"/>
    <w:rsid w:val="3B97076E"/>
    <w:rsid w:val="3C5A5928"/>
    <w:rsid w:val="3C6A5B02"/>
    <w:rsid w:val="3C81081F"/>
    <w:rsid w:val="3D2757A1"/>
    <w:rsid w:val="3D3D4FC4"/>
    <w:rsid w:val="3D582127"/>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AB655D"/>
    <w:rsid w:val="49C811E4"/>
    <w:rsid w:val="49F0647F"/>
    <w:rsid w:val="4A216E30"/>
    <w:rsid w:val="4A335950"/>
    <w:rsid w:val="4B7951CB"/>
    <w:rsid w:val="4B7C315C"/>
    <w:rsid w:val="4B9300D7"/>
    <w:rsid w:val="4BAB7F90"/>
    <w:rsid w:val="4BCC04DF"/>
    <w:rsid w:val="4BD53EDA"/>
    <w:rsid w:val="4BE11807"/>
    <w:rsid w:val="4BFB6D16"/>
    <w:rsid w:val="4C484CE5"/>
    <w:rsid w:val="4D621806"/>
    <w:rsid w:val="4DAC4ACA"/>
    <w:rsid w:val="4DD06F63"/>
    <w:rsid w:val="4E043596"/>
    <w:rsid w:val="4EA8523F"/>
    <w:rsid w:val="4F186D58"/>
    <w:rsid w:val="4F224836"/>
    <w:rsid w:val="50A82C92"/>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CC5ED0"/>
    <w:rsid w:val="5C1336B7"/>
    <w:rsid w:val="5C263CE4"/>
    <w:rsid w:val="5C5D2777"/>
    <w:rsid w:val="5C722D7F"/>
    <w:rsid w:val="5C8D70F5"/>
    <w:rsid w:val="5CFB0DDA"/>
    <w:rsid w:val="5D290C69"/>
    <w:rsid w:val="5D4E4EDD"/>
    <w:rsid w:val="5EFA176D"/>
    <w:rsid w:val="5F0247F9"/>
    <w:rsid w:val="5F2D4A41"/>
    <w:rsid w:val="601C34ED"/>
    <w:rsid w:val="60A511FB"/>
    <w:rsid w:val="61025A59"/>
    <w:rsid w:val="613D5BBC"/>
    <w:rsid w:val="61536C39"/>
    <w:rsid w:val="616D60F9"/>
    <w:rsid w:val="61D1409F"/>
    <w:rsid w:val="62360430"/>
    <w:rsid w:val="62944DD7"/>
    <w:rsid w:val="63497036"/>
    <w:rsid w:val="63C1619B"/>
    <w:rsid w:val="63C25DC5"/>
    <w:rsid w:val="63C62057"/>
    <w:rsid w:val="63C73832"/>
    <w:rsid w:val="64192A39"/>
    <w:rsid w:val="64594E89"/>
    <w:rsid w:val="64EF6C8C"/>
    <w:rsid w:val="64FB113D"/>
    <w:rsid w:val="6544377C"/>
    <w:rsid w:val="655F5939"/>
    <w:rsid w:val="656152C6"/>
    <w:rsid w:val="6587477F"/>
    <w:rsid w:val="658C3A08"/>
    <w:rsid w:val="65C031CA"/>
    <w:rsid w:val="65CE6852"/>
    <w:rsid w:val="65F004F9"/>
    <w:rsid w:val="66267C04"/>
    <w:rsid w:val="663F505A"/>
    <w:rsid w:val="667F2393"/>
    <w:rsid w:val="66EE5541"/>
    <w:rsid w:val="67086152"/>
    <w:rsid w:val="674702D0"/>
    <w:rsid w:val="687E45FE"/>
    <w:rsid w:val="68E36D08"/>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D0508C"/>
    <w:rsid w:val="71ED38AA"/>
    <w:rsid w:val="72DB435C"/>
    <w:rsid w:val="74ED1B1B"/>
    <w:rsid w:val="750837F0"/>
    <w:rsid w:val="762A73EF"/>
    <w:rsid w:val="7631412E"/>
    <w:rsid w:val="764F62AB"/>
    <w:rsid w:val="765C45EC"/>
    <w:rsid w:val="768A7619"/>
    <w:rsid w:val="7714640F"/>
    <w:rsid w:val="77504715"/>
    <w:rsid w:val="77EA362A"/>
    <w:rsid w:val="7875383E"/>
    <w:rsid w:val="796D60A4"/>
    <w:rsid w:val="79A031D5"/>
    <w:rsid w:val="79A52681"/>
    <w:rsid w:val="7A1525F7"/>
    <w:rsid w:val="7A3E6CB6"/>
    <w:rsid w:val="7A99799F"/>
    <w:rsid w:val="7B420052"/>
    <w:rsid w:val="7B7D43A1"/>
    <w:rsid w:val="7BD06A28"/>
    <w:rsid w:val="7C103F3A"/>
    <w:rsid w:val="7C1E4CD7"/>
    <w:rsid w:val="7C3A7C0B"/>
    <w:rsid w:val="7C5248E4"/>
    <w:rsid w:val="7C566698"/>
    <w:rsid w:val="7C916988"/>
    <w:rsid w:val="7CE56AF6"/>
    <w:rsid w:val="7CF02E5B"/>
    <w:rsid w:val="7D213FB2"/>
    <w:rsid w:val="7EC67ACF"/>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2025-12-15T07:37:29Z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