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eastAsia="zh-CN"/>
        </w:rPr>
        <w:t>重庆市</w:t>
      </w:r>
      <w:r>
        <w:rPr>
          <w:rFonts w:hint="default" w:ascii="Times New Roman" w:hAnsi="Times New Roman" w:eastAsia="方正小标宋_GBK" w:cs="Times New Roman"/>
          <w:b w:val="0"/>
          <w:bCs w:val="0"/>
          <w:sz w:val="44"/>
          <w:szCs w:val="44"/>
        </w:rPr>
        <w:t>秀山土家族苗族自治县社会经济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调查队</w:t>
      </w:r>
      <w:r>
        <w:rPr>
          <w:rFonts w:hint="default" w:ascii="Times New Roman" w:hAnsi="Times New Roman" w:eastAsia="方正小标宋_GBK" w:cs="Times New Roman"/>
          <w:b w:val="0"/>
          <w:bCs w:val="0"/>
          <w:sz w:val="44"/>
          <w:szCs w:val="44"/>
        </w:rPr>
        <w:t>202</w:t>
      </w:r>
      <w:r>
        <w:rPr>
          <w:rFonts w:hint="default" w:ascii="Times New Roman" w:hAnsi="Times New Roman" w:eastAsia="方正小标宋_GBK" w:cs="Times New Roman"/>
          <w:b w:val="0"/>
          <w:bCs w:val="0"/>
          <w:sz w:val="44"/>
          <w:szCs w:val="44"/>
          <w:lang w:val="en-US" w:eastAsia="zh-CN"/>
        </w:rPr>
        <w:t>4</w:t>
      </w:r>
      <w:r>
        <w:rPr>
          <w:rFonts w:hint="default" w:ascii="Times New Roman" w:hAnsi="Times New Roman" w:eastAsia="方正小标宋_GBK" w:cs="Times New Roman"/>
          <w:b w:val="0"/>
          <w:bCs w:val="0"/>
          <w:sz w:val="44"/>
          <w:szCs w:val="44"/>
        </w:rPr>
        <w:t>年度决算</w:t>
      </w:r>
      <w:r>
        <w:rPr>
          <w:rFonts w:hint="default" w:ascii="Times New Roman" w:hAnsi="Times New Roman" w:eastAsia="方正小标宋_GBK" w:cs="Times New Roman"/>
          <w:b w:val="0"/>
          <w:bCs w:val="0"/>
          <w:sz w:val="44"/>
          <w:szCs w:val="44"/>
          <w:lang w:eastAsia="zh-CN"/>
        </w:rPr>
        <w:t>公开</w:t>
      </w:r>
      <w:r>
        <w:rPr>
          <w:rFonts w:hint="default" w:ascii="Times New Roman" w:hAnsi="Times New Roman" w:eastAsia="方正小标宋_GBK" w:cs="Times New Roman"/>
          <w:b w:val="0"/>
          <w:bCs w:val="0"/>
          <w:sz w:val="44"/>
          <w:szCs w:val="44"/>
        </w:rPr>
        <w:t>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ascii="黑体" w:hAnsi="黑体" w:eastAsia="黑体" w:cs="黑体"/>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一、</w:t>
      </w:r>
      <w:r>
        <w:rPr>
          <w:rStyle w:val="7"/>
          <w:rFonts w:hint="eastAsia" w:ascii="方正黑体_GBK" w:hAnsi="方正黑体_GBK" w:eastAsia="方正黑体_GBK" w:cs="方正黑体_GBK"/>
          <w:b w:val="0"/>
          <w:bCs/>
          <w:sz w:val="32"/>
          <w:szCs w:val="32"/>
          <w:shd w:val="clear" w:color="auto" w:fill="FFFFFF"/>
          <w:lang w:eastAsia="zh-CN"/>
        </w:rPr>
        <w:t>单位</w:t>
      </w:r>
      <w:r>
        <w:rPr>
          <w:rStyle w:val="7"/>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7"/>
          <w:rFonts w:hint="eastAsia" w:ascii="方正楷体_GBK" w:hAnsi="方正楷体_GBK" w:eastAsia="方正楷体_GBK" w:cs="方正楷体_GBK"/>
          <w:b w:val="0"/>
          <w:bCs/>
          <w:sz w:val="32"/>
          <w:szCs w:val="32"/>
          <w:shd w:val="clear" w:color="auto" w:fill="FFFFFF"/>
        </w:rPr>
        <w:t>（一）职能职责</w:t>
      </w:r>
    </w:p>
    <w:p>
      <w:pPr>
        <w:autoSpaceDE w:val="0"/>
        <w:spacing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1.贯彻执行统计法律、法规、规章和方针政策，查处统计违法违纪行为，承办统计行政复议等法律事务；依法对涉外统计调查事务、民间统计进行监督管理。</w:t>
      </w:r>
    </w:p>
    <w:p>
      <w:pPr>
        <w:widowControl w:val="0"/>
        <w:autoSpaceDE w:val="0"/>
        <w:spacing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组织实施全县一、二、三产业有关统计调查；搜集、整理和提供有关国民经济、社会发展、科技进步、能源资源和环境等统计数据，对相关情况进行统计分析、统计预警和统计监督；建立健全全县经济社会发展的统计监测和评价体系，加强动态监测和决策咨询服务。</w:t>
      </w:r>
    </w:p>
    <w:p>
      <w:pPr>
        <w:widowControl w:val="0"/>
        <w:autoSpaceDE w:val="0"/>
        <w:spacing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按照《统计法》和国家、市县相关统计法规和制度，负责全县城乡调查人员业务培训和指导工作；组织实施城镇住户调查、价格调查和其他专项调查，农、林、牧、渔生产情况、农村住户调查及农业现代化监测等工作；开展对城乡社会经济问题进行分析研究，及时准确收集、整理、上报和编印社会经济统计调查资料，及时向社会各界提供统计调查信息。</w:t>
      </w:r>
    </w:p>
    <w:p>
      <w:pPr>
        <w:widowControl w:val="0"/>
        <w:autoSpaceDE w:val="0"/>
        <w:spacing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4.承办县政府交办的其他事项。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7"/>
          <w:rFonts w:hint="eastAsia" w:ascii="方正楷体_GBK" w:hAnsi="方正楷体_GBK" w:eastAsia="方正楷体_GBK" w:cs="方正楷体_GBK"/>
          <w:b w:val="0"/>
          <w:bCs/>
          <w:sz w:val="32"/>
          <w:szCs w:val="32"/>
          <w:shd w:val="clear" w:color="auto" w:fill="FFFFFF"/>
        </w:rPr>
        <w:t>（二）机构设置</w:t>
      </w:r>
    </w:p>
    <w:p>
      <w:pPr>
        <w:widowControl w:val="0"/>
        <w:autoSpaceDE w:val="0"/>
        <w:spacing w:line="560" w:lineRule="exact"/>
        <w:ind w:firstLine="640" w:firstLineChars="200"/>
        <w:jc w:val="both"/>
        <w:rPr>
          <w:rFonts w:hint="default" w:ascii="Times New Roman" w:hAnsi="Times New Roman" w:eastAsia="方正仿宋_GBK"/>
        </w:rPr>
      </w:pPr>
      <w:r>
        <w:rPr>
          <w:rFonts w:hint="default" w:ascii="Times New Roman" w:hAnsi="Times New Roman" w:eastAsia="方正仿宋_GBK"/>
          <w:sz w:val="32"/>
          <w:szCs w:val="32"/>
        </w:rPr>
        <w:t>重庆市秀山县统计局为县政府工作部门，内设办公室，综合核算科，工业投资科，贸易服务科4个职能科室，下设社会经济调查队、民调中心2个事业单位。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二、</w:t>
      </w:r>
      <w:r>
        <w:rPr>
          <w:rStyle w:val="7"/>
          <w:rFonts w:hint="eastAsia" w:ascii="方正黑体_GBK" w:hAnsi="方正黑体_GBK" w:eastAsia="方正黑体_GBK" w:cs="方正黑体_GBK"/>
          <w:b w:val="0"/>
          <w:bCs/>
          <w:sz w:val="32"/>
          <w:szCs w:val="32"/>
          <w:shd w:val="clear" w:color="auto" w:fill="FFFFFF"/>
          <w:lang w:eastAsia="zh-CN"/>
        </w:rPr>
        <w:t>单位</w:t>
      </w:r>
      <w:r>
        <w:rPr>
          <w:rStyle w:val="7"/>
          <w:rFonts w:hint="eastAsia" w:ascii="方正黑体_GBK" w:hAnsi="方正黑体_GBK" w:eastAsia="方正黑体_GBK" w:cs="方正黑体_GBK"/>
          <w:b w:val="0"/>
          <w:bCs/>
          <w:sz w:val="32"/>
          <w:szCs w:val="32"/>
          <w:shd w:val="clear" w:color="auto" w:fill="FFFFFF"/>
        </w:rPr>
        <w:t>决算</w:t>
      </w:r>
      <w:r>
        <w:rPr>
          <w:rStyle w:val="7"/>
          <w:rFonts w:hint="eastAsia" w:ascii="方正黑体_GBK" w:hAnsi="方正黑体_GBK" w:eastAsia="方正黑体_GBK" w:cs="方正黑体_GBK"/>
          <w:b w:val="0"/>
          <w:bCs/>
          <w:sz w:val="32"/>
          <w:szCs w:val="32"/>
          <w:shd w:val="clear" w:color="auto" w:fill="FFFFFF"/>
          <w:lang w:eastAsia="zh-CN"/>
        </w:rPr>
        <w:t>收支</w:t>
      </w:r>
      <w:r>
        <w:rPr>
          <w:rStyle w:val="7"/>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266.16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收、支与2023年度相比，增加30.88万元，增长13.1%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hint="eastAsia" w:ascii="Times New Roman" w:hAnsi="Times New Roman" w:eastAsia="方正仿宋_GBK"/>
          <w:sz w:val="32"/>
          <w:szCs w:val="32"/>
          <w:shd w:val="clear" w:color="auto" w:fill="FFFFFF"/>
          <w:lang w:val="en-US" w:eastAsia="zh-CN"/>
        </w:rPr>
        <w:t>2</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266.16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与2023年度相比，增加30.88万元，增长13.1%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266.16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hint="eastAsia" w:ascii="Times New Roman" w:hAnsi="Times New Roman" w:eastAsia="方正仿宋_GBK"/>
          <w:sz w:val="32"/>
          <w:szCs w:val="32"/>
          <w:shd w:val="clear" w:color="auto" w:fill="FFFFFF"/>
          <w:lang w:val="en-US" w:eastAsia="zh-CN"/>
        </w:rPr>
        <w:t>3</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266.16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与2023年度相比，增加30.88万元，增长13.1%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221.16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7"/>
          <w:rFonts w:hint="eastAsia" w:ascii="Times New Roman" w:hAnsi="Times New Roman" w:eastAsia="方正仿宋_GBK"/>
          <w:sz w:val="32"/>
          <w:szCs w:val="32"/>
          <w:shd w:val="clear" w:color="auto" w:fill="FFFFFF"/>
          <w:lang w:val="en-US" w:eastAsia="zh-CN"/>
        </w:rPr>
        <w:t>4</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本年无结转和结余。</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266.16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财政拨款收、支总计各增加30.88万元，增长13.1%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7"/>
          <w:rFonts w:hint="default" w:ascii="Times New Roman" w:hAnsi="Times New Roman" w:eastAsia="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266.16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与2023年度相比，增加30.88万元，增长13.1%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sz w:val="32"/>
          <w:szCs w:val="32"/>
          <w:shd w:val="clear" w:color="auto" w:fill="FFFFFF"/>
        </w:rPr>
        <w:t>较年初预算数增加21.02万元，增长8.6%</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7"/>
          <w:rFonts w:hint="default" w:ascii="Times New Roman" w:hAnsi="Times New Roman" w:eastAsia="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266.16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与2023年度相比，增加30.88万元，增长13.1%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较年初预算数增加21.02万元，增长8.6%</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212.14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较年初预算数增加21.02万元，增长11.0%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p>
    <w:p>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26.19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增加数和减少数持平。</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增加数和减少数持平。</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14.75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增加数和减少数持平。</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7"/>
          <w:rFonts w:hint="default" w:ascii="Times New Roman" w:hAnsi="Times New Roman" w:eastAsia="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本单位无结转结余</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221.16</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198.76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与2023年度相比，增加29.96万元，增长17.8%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本年新招录</w:t>
      </w:r>
      <w:r>
        <w:rPr>
          <w:rFonts w:hint="default" w:ascii="Times New Roman" w:hAnsi="Times New Roman" w:eastAsia="方正仿宋_GBK" w:cs="Times New Roman"/>
          <w:color w:val="auto"/>
          <w:sz w:val="32"/>
          <w:szCs w:val="32"/>
          <w:shd w:val="clear" w:color="auto" w:fill="FFFFFF"/>
          <w:lang w:val="en-US" w:eastAsia="zh-CN"/>
        </w:rPr>
        <w:t>2名工作人员</w:t>
      </w:r>
      <w:r>
        <w:rPr>
          <w:rFonts w:hint="eastAsia" w:ascii="Times New Roman" w:hAnsi="Times New Roman" w:eastAsia="方正仿宋_GBK" w:cs="Times New Roman"/>
          <w:color w:val="auto"/>
          <w:sz w:val="32"/>
          <w:szCs w:val="32"/>
          <w:shd w:val="clear" w:color="auto" w:fill="FFFFFF"/>
          <w:lang w:val="en-US" w:eastAsia="zh-CN"/>
        </w:rPr>
        <w:t>和调入1名工作人员</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基本工资、津贴补贴、住房公积金等</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与2023年度相比，增加0.91万元，增长4.2%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公用经费预算增加。</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sz w:val="32"/>
          <w:szCs w:val="32"/>
          <w:shd w:val="clear" w:color="auto" w:fill="FFFFFF"/>
        </w:rPr>
        <w:t>办公费、印刷费、物业管理费及差旅费等。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2024年度无政府性基金预算财政拨款收支。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三、</w:t>
      </w:r>
      <w:r>
        <w:rPr>
          <w:rStyle w:val="7"/>
          <w:rFonts w:hint="eastAsia" w:ascii="方正黑体_GBK" w:hAnsi="方正黑体_GBK" w:eastAsia="方正黑体_GBK" w:cs="方正黑体_GBK"/>
          <w:b w:val="0"/>
          <w:bCs/>
          <w:sz w:val="32"/>
          <w:szCs w:val="32"/>
          <w:shd w:val="clear" w:color="auto" w:fill="FFFFFF"/>
          <w:lang w:eastAsia="zh-CN"/>
        </w:rPr>
        <w:t>财政拨款</w:t>
      </w:r>
      <w:r>
        <w:rPr>
          <w:rStyle w:val="7"/>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shd w:val="clear" w:color="auto" w:fill="FFFFFF"/>
        <w:spacing w:beforeAutospacing="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年度无“三公”经费财政拨款支出</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shd w:val="clear" w:color="auto" w:fill="FFFFFF"/>
        <w:spacing w:beforeAutospacing="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年度无“三公”经费财政拨款支出</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年度无“三公”经费财政拨款支出</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无预算安排</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与2023年度相比，减少0.56万元，下降100.0%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本年度培训费转入工会</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与2023年度相比，减少0.55万元，下降100.0%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本年度无预算。</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22.39</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shd w:val="clear" w:color="auto" w:fill="FFFFFF"/>
        </w:rPr>
        <w:t>办公费、印刷费、邮电费及差旅费等。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较上年支出数增加0.91万元，增长4.2%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财政预算增加</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numPr>
          <w:ilvl w:val="0"/>
          <w:numId w:val="2"/>
        </w:numPr>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政府采购支出情况说明</w:t>
      </w:r>
    </w:p>
    <w:p>
      <w:pPr>
        <w:pStyle w:val="9"/>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5"/>
        <w:snapToGrid w:val="0"/>
        <w:spacing w:before="0" w:beforeAutospacing="0" w:after="0" w:afterAutospacing="0" w:line="600" w:lineRule="exact"/>
        <w:ind w:firstLine="640" w:firstLineChars="200"/>
        <w:jc w:val="both"/>
        <w:rPr>
          <w:rStyle w:val="7"/>
          <w:rFonts w:hint="default" w:ascii="Times New Roman" w:hAnsi="Times New Roman" w:eastAsia="方正黑体_GBK"/>
          <w:b w:val="0"/>
          <w:sz w:val="32"/>
          <w:szCs w:val="32"/>
          <w:shd w:val="clear" w:color="auto" w:fill="FFFFFF"/>
        </w:rPr>
      </w:pPr>
      <w:r>
        <w:rPr>
          <w:rFonts w:hint="default" w:ascii="Times New Roman" w:hAnsi="Times New Roman" w:eastAsia="方正黑体_GBK"/>
          <w:b w:val="0"/>
          <w:bCs/>
          <w:sz w:val="32"/>
          <w:szCs w:val="32"/>
          <w:shd w:val="clear" w:color="auto" w:fill="FFFFFF"/>
        </w:rPr>
        <w:t>五、</w:t>
      </w:r>
      <w:r>
        <w:rPr>
          <w:rStyle w:val="7"/>
          <w:rFonts w:hint="default" w:ascii="Times New Roman" w:hAnsi="Times New Roman" w:eastAsia="方正黑体_GBK"/>
          <w:b w:val="0"/>
          <w:sz w:val="32"/>
          <w:szCs w:val="32"/>
          <w:shd w:val="clear" w:color="auto" w:fill="FFFFFF"/>
        </w:rPr>
        <w:t>预算绩效管理情况说明</w:t>
      </w:r>
    </w:p>
    <w:p>
      <w:pPr>
        <w:pStyle w:val="9"/>
        <w:autoSpaceDE w:val="0"/>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（一）单位自评情况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根据预算绩效管理要求，我单位对部门整体和2个二级项目开展了绩效自评，涉及财政拨款项目支出资金45万元。</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p>
    <w:p>
      <w:pPr>
        <w:pStyle w:val="10"/>
        <w:spacing w:before="0" w:beforeAutospacing="0" w:line="520" w:lineRule="exact"/>
        <w:jc w:val="center"/>
        <w:rPr>
          <w:rFonts w:hint="eastAsia"/>
          <w:b/>
          <w:w w:val="90"/>
          <w:sz w:val="32"/>
          <w:szCs w:val="32"/>
          <w:shd w:val="clear" w:color="auto" w:fill="FFFFFF"/>
        </w:rPr>
      </w:pPr>
      <w:bookmarkStart w:id="0" w:name="_GoBack"/>
      <w:bookmarkEnd w:id="0"/>
      <w:r>
        <w:rPr>
          <w:rFonts w:hint="eastAsia"/>
          <w:b/>
          <w:w w:val="90"/>
          <w:sz w:val="32"/>
          <w:szCs w:val="32"/>
          <w:shd w:val="clear" w:color="auto" w:fill="FFFFFF"/>
        </w:rPr>
        <w:t>社会经济调查队</w:t>
      </w:r>
      <w:r>
        <w:rPr>
          <w:b/>
          <w:w w:val="90"/>
          <w:sz w:val="32"/>
          <w:szCs w:val="32"/>
          <w:shd w:val="clear" w:color="auto" w:fill="FFFFFF"/>
        </w:rPr>
        <w:t>202</w:t>
      </w:r>
      <w:r>
        <w:rPr>
          <w:rFonts w:hint="eastAsia"/>
          <w:b/>
          <w:w w:val="90"/>
          <w:sz w:val="32"/>
          <w:szCs w:val="32"/>
          <w:shd w:val="clear" w:color="auto" w:fill="FFFFFF"/>
          <w:lang w:val="en-US" w:eastAsia="zh-CN"/>
        </w:rPr>
        <w:t>4</w:t>
      </w:r>
      <w:r>
        <w:rPr>
          <w:rFonts w:hint="eastAsia"/>
          <w:b/>
          <w:w w:val="90"/>
          <w:sz w:val="32"/>
          <w:szCs w:val="32"/>
          <w:shd w:val="clear" w:color="auto" w:fill="FFFFFF"/>
        </w:rPr>
        <w:t>年度项目支出绩效自评情况表（一级项目）</w:t>
      </w:r>
    </w:p>
    <w:tbl>
      <w:tblPr>
        <w:tblStyle w:val="8"/>
        <w:tblpPr w:leftFromText="180" w:rightFromText="180" w:vertAnchor="text" w:horzAnchor="page" w:tblpX="1534" w:tblpY="145"/>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698"/>
        <w:gridCol w:w="1843"/>
        <w:gridCol w:w="658"/>
        <w:gridCol w:w="876"/>
        <w:gridCol w:w="876"/>
        <w:gridCol w:w="795"/>
        <w:gridCol w:w="876"/>
        <w:gridCol w:w="756"/>
        <w:gridCol w:w="756"/>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序号</w:t>
            </w:r>
          </w:p>
        </w:tc>
        <w:tc>
          <w:tcPr>
            <w:tcW w:w="69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项目名称</w:t>
            </w: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指标名称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指标性质</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指标值</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计量单位</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指标权重</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全年完成值</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w:t>
            </w:r>
            <w:r>
              <w:rPr>
                <w:rFonts w:hint="default" w:ascii="Times New Roman" w:hAnsi="Times New Roman"/>
                <w:b w:val="0"/>
                <w:bCs/>
                <w:color w:val="000000"/>
                <w:sz w:val="18"/>
                <w:szCs w:val="18"/>
              </w:rPr>
              <w:t xml:space="preserve"> </w:t>
            </w:r>
            <w:r>
              <w:rPr>
                <w:rFonts w:hint="default" w:ascii="Times New Roman"/>
                <w:b w:val="0"/>
                <w:bCs/>
                <w:color w:val="000000"/>
                <w:sz w:val="18"/>
                <w:szCs w:val="18"/>
              </w:rPr>
              <w:t>得分</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说明</w:t>
            </w:r>
          </w:p>
        </w:tc>
        <w:tc>
          <w:tcPr>
            <w:tcW w:w="662"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restart"/>
            <w:shd w:val="clear" w:color="auto" w:fill="auto"/>
            <w:vAlign w:val="center"/>
          </w:tcPr>
          <w:p>
            <w:pPr>
              <w:jc w:val="center"/>
              <w:rPr>
                <w:rFonts w:hint="default" w:ascii="Times New Roman" w:hAnsi="Times New Roman"/>
                <w:b w:val="0"/>
                <w:bCs/>
                <w:color w:val="000000"/>
                <w:sz w:val="18"/>
                <w:szCs w:val="18"/>
              </w:rPr>
            </w:pPr>
            <w:r>
              <w:rPr>
                <w:rFonts w:ascii="Times New Roman" w:hAnsi="Times New Roman"/>
                <w:b w:val="0"/>
                <w:bCs/>
                <w:color w:val="000000"/>
                <w:sz w:val="18"/>
                <w:szCs w:val="18"/>
              </w:rPr>
              <w:t>1</w:t>
            </w:r>
          </w:p>
        </w:tc>
        <w:tc>
          <w:tcPr>
            <w:tcW w:w="698"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城乡住户调查员补助</w:t>
            </w: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年度预算执行率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r>
              <w:rPr>
                <w:rFonts w:hint="default" w:ascii="Times New Roman" w:hAnsi="Times New Roman"/>
                <w:b w:val="0"/>
                <w:bCs/>
                <w:color w:val="000000"/>
                <w:sz w:val="18"/>
                <w:szCs w:val="18"/>
              </w:rPr>
              <w:t>100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城镇点调查户数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户（套）</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60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电子记账户</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170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户（套）</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农村点调查户数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户（套）</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140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统计宣传</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场次</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b w:val="0"/>
                <w:bCs/>
                <w:color w:val="000000"/>
                <w:sz w:val="18"/>
                <w:szCs w:val="18"/>
              </w:rPr>
            </w:pPr>
            <w:r>
              <w:rPr>
                <w:rFonts w:hint="default" w:ascii="Times New Roman"/>
                <w:b w:val="0"/>
                <w:bCs/>
                <w:color w:val="000000"/>
                <w:sz w:val="18"/>
                <w:szCs w:val="18"/>
              </w:rPr>
              <w:t>数据公布利用率</w:t>
            </w:r>
          </w:p>
        </w:tc>
        <w:tc>
          <w:tcPr>
            <w:tcW w:w="658" w:type="dxa"/>
            <w:shd w:val="clear" w:color="auto" w:fill="auto"/>
            <w:vAlign w:val="center"/>
          </w:tcPr>
          <w:p>
            <w:pPr>
              <w:jc w:val="center"/>
              <w:rPr>
                <w:rFonts w:hint="default" w:asci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876" w:type="dxa"/>
            <w:shd w:val="clear" w:color="auto" w:fill="auto"/>
            <w:vAlign w:val="center"/>
          </w:tcPr>
          <w:p>
            <w:pPr>
              <w:jc w:val="center"/>
              <w:rPr>
                <w:rFonts w:hint="default" w:asci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20</w:t>
            </w:r>
          </w:p>
        </w:tc>
        <w:tc>
          <w:tcPr>
            <w:tcW w:w="756" w:type="dxa"/>
            <w:shd w:val="clear" w:color="auto" w:fill="auto"/>
            <w:vAlign w:val="center"/>
          </w:tcPr>
          <w:p>
            <w:pPr>
              <w:jc w:val="center"/>
              <w:rPr>
                <w:rFonts w:hint="default" w:asci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电子记账户户均补助</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150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元</w:t>
            </w:r>
            <w:r>
              <w:rPr>
                <w:rFonts w:hint="default" w:ascii="Times New Roman" w:hAnsi="Times New Roman"/>
                <w:b w:val="0"/>
                <w:bCs/>
                <w:color w:val="000000"/>
                <w:sz w:val="18"/>
                <w:szCs w:val="18"/>
              </w:rPr>
              <w:t>/</w:t>
            </w:r>
            <w:r>
              <w:rPr>
                <w:rFonts w:hint="default" w:ascii="Times New Roman"/>
                <w:b w:val="0"/>
                <w:bCs/>
                <w:color w:val="000000"/>
                <w:sz w:val="18"/>
                <w:szCs w:val="18"/>
              </w:rPr>
              <w:t>月</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150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纸质件记账户户均补助</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元</w:t>
            </w:r>
            <w:r>
              <w:rPr>
                <w:rFonts w:hint="default" w:ascii="Times New Roman" w:hAnsi="Times New Roman"/>
                <w:b w:val="0"/>
                <w:bCs/>
                <w:color w:val="000000"/>
                <w:sz w:val="18"/>
                <w:szCs w:val="18"/>
              </w:rPr>
              <w:t>/</w:t>
            </w:r>
            <w:r>
              <w:rPr>
                <w:rFonts w:hint="default" w:ascii="Times New Roman"/>
                <w:b w:val="0"/>
                <w:bCs/>
                <w:color w:val="000000"/>
                <w:sz w:val="18"/>
                <w:szCs w:val="18"/>
              </w:rPr>
              <w:t>月</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restart"/>
            <w:shd w:val="clear" w:color="auto" w:fill="auto"/>
            <w:vAlign w:val="center"/>
          </w:tcPr>
          <w:p>
            <w:pPr>
              <w:jc w:val="center"/>
              <w:rPr>
                <w:rFonts w:hint="default" w:ascii="Times New Roman" w:hAnsi="Times New Roman"/>
                <w:b w:val="0"/>
                <w:bCs/>
                <w:color w:val="000000"/>
                <w:sz w:val="18"/>
                <w:szCs w:val="18"/>
              </w:rPr>
            </w:pPr>
            <w:r>
              <w:rPr>
                <w:rFonts w:ascii="Times New Roman" w:hAnsi="Times New Roman"/>
                <w:b w:val="0"/>
                <w:bCs/>
                <w:color w:val="000000"/>
                <w:sz w:val="18"/>
                <w:szCs w:val="18"/>
              </w:rPr>
              <w:t>2</w:t>
            </w:r>
          </w:p>
        </w:tc>
        <w:tc>
          <w:tcPr>
            <w:tcW w:w="698"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失业率统计调查工作经费</w:t>
            </w: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年度预算执行率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r>
              <w:rPr>
                <w:rFonts w:hint="default" w:ascii="Times New Roman"/>
                <w:b w:val="0"/>
                <w:bCs/>
                <w:color w:val="000000"/>
                <w:sz w:val="18"/>
                <w:szCs w:val="18"/>
              </w:rPr>
              <w:t>　</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调查员培训人次</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54</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人次</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54</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统计抽样数量</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27</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个（套）</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27</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统计调查对象数量</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432</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户（套）</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432</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统计调查覆盖率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eastAsia" w:ascii="Times New Roman" w:hAnsi="Times New Roman"/>
                <w:b w:val="0"/>
                <w:bCs/>
                <w:color w:val="000000"/>
                <w:sz w:val="18"/>
                <w:szCs w:val="18"/>
                <w:lang w:val="en-US" w:eastAsia="zh-CN"/>
              </w:rPr>
              <w:t>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b w:val="0"/>
                <w:bCs/>
                <w:color w:val="000000"/>
                <w:sz w:val="18"/>
                <w:szCs w:val="18"/>
              </w:rPr>
            </w:pPr>
            <w:r>
              <w:rPr>
                <w:rFonts w:hint="default" w:ascii="Times New Roman"/>
                <w:b w:val="0"/>
                <w:bCs/>
                <w:color w:val="000000"/>
                <w:sz w:val="18"/>
                <w:szCs w:val="18"/>
              </w:rPr>
              <w:t>全市调查失业率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default" w:ascii="Times New Roman" w:hAnsi="Times New Roman"/>
                <w:b w:val="0"/>
                <w:bCs/>
                <w:color w:val="000000"/>
                <w:sz w:val="18"/>
                <w:szCs w:val="18"/>
              </w:rPr>
              <w:t>5</w:t>
            </w:r>
            <w:r>
              <w:rPr>
                <w:rFonts w:hint="eastAsia" w:ascii="Times New Roman" w:hAnsi="Times New Roman"/>
                <w:b w:val="0"/>
                <w:bCs/>
                <w:color w:val="000000"/>
                <w:sz w:val="18"/>
                <w:szCs w:val="18"/>
                <w:lang w:val="en-US" w:eastAsia="zh-CN"/>
              </w:rPr>
              <w:t>.5</w:t>
            </w:r>
          </w:p>
        </w:tc>
        <w:tc>
          <w:tcPr>
            <w:tcW w:w="876" w:type="dxa"/>
            <w:shd w:val="clear" w:color="auto" w:fill="auto"/>
            <w:vAlign w:val="center"/>
          </w:tcPr>
          <w:p>
            <w:pPr>
              <w:jc w:val="center"/>
              <w:rPr>
                <w:rFonts w:hint="default" w:asci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hAnsi="Times New Roman"/>
                <w:b w:val="0"/>
                <w:bCs/>
                <w:color w:val="000000"/>
                <w:sz w:val="18"/>
                <w:szCs w:val="18"/>
                <w:lang w:val="en-US" w:eastAsia="zh-CN"/>
              </w:rPr>
              <w:t>5</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default" w:ascii="Times New Roman" w:hAnsi="Times New Roman"/>
                <w:b w:val="0"/>
                <w:bCs/>
                <w:color w:val="000000"/>
                <w:sz w:val="18"/>
                <w:szCs w:val="18"/>
              </w:rPr>
              <w:t>5</w:t>
            </w:r>
            <w:r>
              <w:rPr>
                <w:rFonts w:hint="eastAsia" w:ascii="Times New Roman" w:hAnsi="Times New Roman"/>
                <w:b w:val="0"/>
                <w:bCs/>
                <w:color w:val="000000"/>
                <w:sz w:val="18"/>
                <w:szCs w:val="18"/>
                <w:lang w:val="en-US" w:eastAsia="zh-CN"/>
              </w:rPr>
              <w:t>.5</w:t>
            </w:r>
          </w:p>
        </w:tc>
        <w:tc>
          <w:tcPr>
            <w:tcW w:w="756"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hAnsi="Times New Roman"/>
                <w:b w:val="0"/>
                <w:bCs/>
                <w:color w:val="000000"/>
                <w:sz w:val="18"/>
                <w:szCs w:val="18"/>
                <w:lang w:val="en-US" w:eastAsia="zh-CN"/>
              </w:rPr>
              <w:t>5</w:t>
            </w:r>
          </w:p>
        </w:tc>
        <w:tc>
          <w:tcPr>
            <w:tcW w:w="756" w:type="dxa"/>
            <w:shd w:val="clear" w:color="auto" w:fill="auto"/>
            <w:vAlign w:val="center"/>
          </w:tcPr>
          <w:p>
            <w:pPr>
              <w:jc w:val="center"/>
              <w:rPr>
                <w:rFonts w:hint="default" w:asci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b w:val="0"/>
                <w:bCs/>
                <w:color w:val="000000"/>
                <w:sz w:val="18"/>
                <w:szCs w:val="18"/>
              </w:rPr>
            </w:pPr>
            <w:r>
              <w:rPr>
                <w:rFonts w:hint="default" w:ascii="Times New Roman"/>
                <w:b w:val="0"/>
                <w:bCs/>
                <w:color w:val="000000"/>
                <w:sz w:val="18"/>
                <w:szCs w:val="18"/>
              </w:rPr>
              <w:t>全县调查失业率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default" w:ascii="Times New Roman" w:hAnsi="Times New Roman"/>
                <w:b w:val="0"/>
                <w:bCs/>
                <w:color w:val="000000"/>
                <w:sz w:val="18"/>
                <w:szCs w:val="18"/>
              </w:rPr>
              <w:t>5</w:t>
            </w:r>
            <w:r>
              <w:rPr>
                <w:rFonts w:hint="eastAsia" w:ascii="Times New Roman" w:hAnsi="Times New Roman"/>
                <w:b w:val="0"/>
                <w:bCs/>
                <w:color w:val="000000"/>
                <w:sz w:val="18"/>
                <w:szCs w:val="18"/>
                <w:lang w:val="en-US" w:eastAsia="zh-CN"/>
              </w:rPr>
              <w:t>.5</w:t>
            </w:r>
          </w:p>
        </w:tc>
        <w:tc>
          <w:tcPr>
            <w:tcW w:w="876" w:type="dxa"/>
            <w:shd w:val="clear" w:color="auto" w:fill="auto"/>
            <w:vAlign w:val="center"/>
          </w:tcPr>
          <w:p>
            <w:pPr>
              <w:jc w:val="center"/>
              <w:rPr>
                <w:rFonts w:hint="default" w:asci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hAnsi="Times New Roman"/>
                <w:b w:val="0"/>
                <w:bCs/>
                <w:color w:val="000000"/>
                <w:sz w:val="18"/>
                <w:szCs w:val="18"/>
                <w:lang w:val="en-US" w:eastAsia="zh-CN"/>
              </w:rPr>
              <w:t>5</w:t>
            </w:r>
          </w:p>
        </w:tc>
        <w:tc>
          <w:tcPr>
            <w:tcW w:w="876" w:type="dxa"/>
            <w:shd w:val="clear" w:color="auto" w:fill="auto"/>
            <w:vAlign w:val="center"/>
          </w:tcPr>
          <w:p>
            <w:pPr>
              <w:jc w:val="center"/>
              <w:rPr>
                <w:rFonts w:hint="default" w:ascii="Times New Roman" w:hAnsi="Times New Roman" w:eastAsia="宋体"/>
                <w:b w:val="0"/>
                <w:bCs/>
                <w:color w:val="000000"/>
                <w:sz w:val="18"/>
                <w:szCs w:val="18"/>
                <w:lang w:val="en-US" w:eastAsia="zh-CN"/>
              </w:rPr>
            </w:pPr>
            <w:r>
              <w:rPr>
                <w:rFonts w:hint="default" w:ascii="Times New Roman" w:hAnsi="Times New Roman"/>
                <w:b w:val="0"/>
                <w:bCs/>
                <w:color w:val="000000"/>
                <w:sz w:val="18"/>
                <w:szCs w:val="18"/>
              </w:rPr>
              <w:t>5</w:t>
            </w:r>
            <w:r>
              <w:rPr>
                <w:rFonts w:hint="eastAsia" w:ascii="Times New Roman" w:hAnsi="Times New Roman"/>
                <w:b w:val="0"/>
                <w:bCs/>
                <w:color w:val="000000"/>
                <w:sz w:val="18"/>
                <w:szCs w:val="18"/>
                <w:lang w:val="en-US" w:eastAsia="zh-CN"/>
              </w:rPr>
              <w:t>.5</w:t>
            </w:r>
          </w:p>
        </w:tc>
        <w:tc>
          <w:tcPr>
            <w:tcW w:w="756" w:type="dxa"/>
            <w:shd w:val="clear" w:color="auto" w:fill="auto"/>
            <w:vAlign w:val="center"/>
          </w:tcPr>
          <w:p>
            <w:pPr>
              <w:jc w:val="center"/>
              <w:rPr>
                <w:rFonts w:hint="eastAsia" w:ascii="Times New Roman" w:hAnsi="Times New Roman" w:eastAsia="宋体"/>
                <w:b w:val="0"/>
                <w:bCs/>
                <w:color w:val="000000"/>
                <w:sz w:val="18"/>
                <w:szCs w:val="18"/>
                <w:lang w:eastAsia="zh-CN"/>
              </w:rPr>
            </w:pPr>
            <w:r>
              <w:rPr>
                <w:rFonts w:hint="eastAsia" w:ascii="Times New Roman" w:hAnsi="Times New Roman"/>
                <w:b w:val="0"/>
                <w:bCs/>
                <w:color w:val="000000"/>
                <w:sz w:val="18"/>
                <w:szCs w:val="18"/>
                <w:lang w:val="en-US" w:eastAsia="zh-CN"/>
              </w:rPr>
              <w:t>5</w:t>
            </w:r>
          </w:p>
        </w:tc>
        <w:tc>
          <w:tcPr>
            <w:tcW w:w="756" w:type="dxa"/>
            <w:shd w:val="clear" w:color="auto" w:fill="auto"/>
            <w:vAlign w:val="center"/>
          </w:tcPr>
          <w:p>
            <w:pPr>
              <w:jc w:val="center"/>
              <w:rPr>
                <w:rFonts w:hint="default" w:asci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eastAsia" w:ascii="Times New Roman" w:eastAsia="宋体"/>
                <w:b w:val="0"/>
                <w:bCs/>
                <w:color w:val="000000"/>
                <w:sz w:val="18"/>
                <w:szCs w:val="18"/>
                <w:lang w:eastAsia="zh-CN"/>
              </w:rPr>
            </w:pPr>
            <w:r>
              <w:rPr>
                <w:rFonts w:hint="default" w:ascii="Times New Roman"/>
                <w:b w:val="0"/>
                <w:bCs/>
                <w:color w:val="000000"/>
                <w:sz w:val="18"/>
                <w:szCs w:val="18"/>
              </w:rPr>
              <w:t>县委县政府掌握就业失业</w:t>
            </w:r>
            <w:r>
              <w:rPr>
                <w:rFonts w:hint="eastAsia" w:ascii="Times New Roman"/>
                <w:b w:val="0"/>
                <w:bCs/>
                <w:color w:val="000000"/>
                <w:sz w:val="18"/>
                <w:szCs w:val="18"/>
                <w:lang w:eastAsia="zh-CN"/>
              </w:rPr>
              <w:t>比率</w:t>
            </w:r>
          </w:p>
        </w:tc>
        <w:tc>
          <w:tcPr>
            <w:tcW w:w="658" w:type="dxa"/>
            <w:shd w:val="clear" w:color="auto" w:fill="auto"/>
            <w:vAlign w:val="center"/>
          </w:tcPr>
          <w:p>
            <w:pPr>
              <w:jc w:val="center"/>
              <w:rPr>
                <w:rFonts w:hint="default" w:asci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被调查户入户礼品</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元</w:t>
            </w:r>
            <w:r>
              <w:rPr>
                <w:rFonts w:hint="default" w:ascii="Times New Roman" w:hAnsi="Times New Roman"/>
                <w:b w:val="0"/>
                <w:bCs/>
                <w:color w:val="000000"/>
                <w:sz w:val="18"/>
                <w:szCs w:val="18"/>
              </w:rPr>
              <w:t>/</w:t>
            </w:r>
            <w:r>
              <w:rPr>
                <w:rFonts w:hint="default" w:ascii="Times New Roman"/>
                <w:b w:val="0"/>
                <w:bCs/>
                <w:color w:val="000000"/>
                <w:sz w:val="18"/>
                <w:szCs w:val="18"/>
              </w:rPr>
              <w:t>户（套）</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调查员误工补贴</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820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元</w:t>
            </w:r>
            <w:r>
              <w:rPr>
                <w:rFonts w:hint="default" w:ascii="Times New Roman" w:hAnsi="Times New Roman"/>
                <w:b w:val="0"/>
                <w:bCs/>
                <w:color w:val="000000"/>
                <w:sz w:val="18"/>
                <w:szCs w:val="18"/>
              </w:rPr>
              <w:t>/</w:t>
            </w:r>
            <w:r>
              <w:rPr>
                <w:rFonts w:hint="default" w:ascii="Times New Roman"/>
                <w:b w:val="0"/>
                <w:bCs/>
                <w:color w:val="000000"/>
                <w:sz w:val="18"/>
                <w:szCs w:val="18"/>
              </w:rPr>
              <w:t>人</w:t>
            </w:r>
            <w:r>
              <w:rPr>
                <w:rFonts w:hint="default" w:ascii="Times New Roman" w:hAnsi="Times New Roman"/>
                <w:b w:val="0"/>
                <w:bCs/>
                <w:color w:val="000000"/>
                <w:sz w:val="18"/>
                <w:szCs w:val="18"/>
              </w:rPr>
              <w:t>*</w:t>
            </w:r>
            <w:r>
              <w:rPr>
                <w:rFonts w:hint="default" w:ascii="Times New Roman"/>
                <w:b w:val="0"/>
                <w:bCs/>
                <w:color w:val="000000"/>
                <w:sz w:val="18"/>
                <w:szCs w:val="18"/>
              </w:rPr>
              <w:t>月</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820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bl>
    <w:p>
      <w:pPr>
        <w:pStyle w:val="5"/>
        <w:snapToGrid w:val="0"/>
        <w:spacing w:before="0" w:beforeAutospacing="0" w:after="0" w:afterAutospacing="0" w:line="600" w:lineRule="exact"/>
        <w:ind w:firstLine="640" w:firstLineChars="200"/>
        <w:jc w:val="both"/>
        <w:rPr>
          <w:rFonts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（二）单位绩效评价情况</w:t>
      </w:r>
    </w:p>
    <w:p>
      <w:pPr>
        <w:pStyle w:val="11"/>
        <w:autoSpaceDE w:val="0"/>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对城乡住户调查员补助开展了绩效评价，涉及财政拨款项目资金20万元，评价得分90分，评价等次为合格；</w:t>
      </w:r>
    </w:p>
    <w:p>
      <w:pPr>
        <w:pStyle w:val="9"/>
        <w:autoSpaceDE w:val="0"/>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对失业率统计调查工作经费开展了绩效评价，涉及财政拨款项目资金25万元，评价得分90分，评价等次为合格。</w:t>
      </w:r>
    </w:p>
    <w:p>
      <w:pPr>
        <w:pStyle w:val="9"/>
        <w:autoSpaceDE w:val="0"/>
        <w:ind w:firstLine="640"/>
        <w:rPr>
          <w:rFonts w:ascii="Times New Roman" w:hAnsi="Times New Roman" w:eastAsia="方正楷体_GBK"/>
          <w:bCs/>
          <w:sz w:val="32"/>
          <w:szCs w:val="32"/>
          <w:shd w:val="clear" w:color="auto" w:fill="FFFFFF"/>
        </w:rPr>
      </w:pPr>
      <w:r>
        <w:rPr>
          <w:rFonts w:ascii="Times New Roman" w:hAnsi="Times New Roman" w:eastAsia="方正楷体_GBK"/>
          <w:bCs/>
          <w:sz w:val="32"/>
          <w:szCs w:val="32"/>
          <w:shd w:val="clear" w:color="auto" w:fill="FFFFFF"/>
        </w:rPr>
        <w:t>（三）财政绩效评价情况</w:t>
      </w:r>
    </w:p>
    <w:p>
      <w:pPr>
        <w:pStyle w:val="9"/>
        <w:autoSpaceDE w:val="0"/>
        <w:ind w:firstLine="640"/>
        <w:rPr>
          <w:rFonts w:ascii="Times New Roman" w:hAnsi="Times New Roman" w:eastAsia="方正仿宋_GBK"/>
          <w:sz w:val="32"/>
          <w:szCs w:val="32"/>
          <w:shd w:val="clear" w:color="auto" w:fill="FFFFFF"/>
        </w:rPr>
      </w:pPr>
      <w:r>
        <w:rPr>
          <w:rFonts w:hint="eastAsia" w:ascii="Times New Roman" w:hAnsi="Times New Roman" w:eastAsia="方正仿宋_GBK"/>
          <w:bCs/>
          <w:sz w:val="32"/>
          <w:szCs w:val="32"/>
          <w:shd w:val="clear" w:color="auto" w:fill="FFFFFF"/>
        </w:rPr>
        <w:t>县</w:t>
      </w:r>
      <w:r>
        <w:rPr>
          <w:rFonts w:ascii="Times New Roman" w:hAnsi="Times New Roman" w:eastAsia="方正仿宋_GBK"/>
          <w:bCs/>
          <w:sz w:val="32"/>
          <w:szCs w:val="32"/>
          <w:shd w:val="clear" w:color="auto" w:fill="FFFFFF"/>
        </w:rPr>
        <w:t>财政局未委托第三方对我单位开展绩效评价。</w:t>
      </w:r>
    </w:p>
    <w:p>
      <w:pPr>
        <w:autoSpaceDE w:val="0"/>
        <w:spacing w:line="520" w:lineRule="exact"/>
        <w:ind w:firstLine="643" w:firstLineChars="200"/>
        <w:jc w:val="both"/>
        <w:rPr>
          <w:rFonts w:hint="default" w:ascii="Times New Roman" w:hAnsi="Times New Roman" w:eastAsia="方正黑体_GBK"/>
          <w:sz w:val="32"/>
          <w:szCs w:val="32"/>
        </w:rPr>
      </w:pPr>
      <w:r>
        <w:rPr>
          <w:rStyle w:val="7"/>
          <w:rFonts w:hint="default" w:ascii="Times New Roman" w:hAnsi="Times New Roman" w:eastAsia="方正仿宋_GBK"/>
          <w:sz w:val="32"/>
          <w:szCs w:val="32"/>
          <w:shd w:val="clear" w:color="auto" w:fill="FFFFFF"/>
        </w:rPr>
        <w:t> </w:t>
      </w:r>
      <w:r>
        <w:rPr>
          <w:rFonts w:hint="default" w:ascii="Times New Roman" w:hAnsi="Times New Roman" w:eastAsia="方正黑体_GBK"/>
          <w:sz w:val="32"/>
          <w:szCs w:val="32"/>
        </w:rPr>
        <w:t>六、专业名词解释</w:t>
      </w:r>
    </w:p>
    <w:p>
      <w:pPr>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楷体_GBK"/>
          <w:sz w:val="32"/>
          <w:szCs w:val="32"/>
        </w:rPr>
        <w:t> （一）财政拨款收入：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楷体_GBK"/>
          <w:sz w:val="32"/>
          <w:szCs w:val="32"/>
          <w:shd w:val="clear" w:color="auto" w:fill="FFFFFF"/>
        </w:rPr>
        <w:t> </w:t>
      </w:r>
      <w:r>
        <w:rPr>
          <w:rStyle w:val="7"/>
          <w:rFonts w:hint="default" w:ascii="Times New Roman" w:hAnsi="Times New Roman" w:eastAsia="方正楷体_GBK"/>
          <w:b w:val="0"/>
          <w:sz w:val="32"/>
          <w:szCs w:val="32"/>
          <w:shd w:val="clear" w:color="auto" w:fill="FFFFFF"/>
        </w:rPr>
        <w:t>（二）事业收入</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楷体_GBK"/>
          <w:sz w:val="32"/>
          <w:szCs w:val="32"/>
          <w:shd w:val="clear" w:color="auto" w:fill="FFFFFF"/>
        </w:rPr>
        <w:t> </w:t>
      </w:r>
      <w:r>
        <w:rPr>
          <w:rStyle w:val="7"/>
          <w:rFonts w:hint="default" w:ascii="Times New Roman" w:hAnsi="Times New Roman" w:eastAsia="方正楷体_GBK"/>
          <w:b w:val="0"/>
          <w:sz w:val="32"/>
          <w:szCs w:val="32"/>
          <w:shd w:val="clear" w:color="auto" w:fill="FFFFFF"/>
        </w:rPr>
        <w:t>（三）经营收入</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（四）其他收入</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（五）使用非财政拨款结余</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（六）年初结转和结余</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（七）结余分配</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（八）年末结转和结余</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（九）基本支出</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仿宋_GBK"/>
          <w:b w:val="0"/>
          <w:sz w:val="32"/>
          <w:szCs w:val="32"/>
          <w:shd w:val="clear" w:color="auto" w:fill="FFFFFF"/>
        </w:rPr>
        <w:t> </w:t>
      </w:r>
      <w:r>
        <w:rPr>
          <w:rStyle w:val="7"/>
          <w:rFonts w:hint="default" w:ascii="Times New Roman" w:hAnsi="Times New Roman" w:eastAsia="方正楷体_GBK"/>
          <w:b w:val="0"/>
          <w:sz w:val="32"/>
          <w:szCs w:val="32"/>
          <w:shd w:val="clear" w:color="auto" w:fill="FFFFFF"/>
        </w:rPr>
        <w:t>（十）项目支出</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（十一）经营支出</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仿宋_GBK"/>
          <w:b w:val="0"/>
          <w:sz w:val="32"/>
          <w:szCs w:val="32"/>
          <w:shd w:val="clear" w:color="auto" w:fill="FFFFFF"/>
        </w:rPr>
        <w:t> </w:t>
      </w:r>
      <w:r>
        <w:rPr>
          <w:rStyle w:val="7"/>
          <w:rFonts w:hint="default" w:ascii="Times New Roman" w:hAnsi="Times New Roman" w:eastAsia="方正楷体_GBK"/>
          <w:b w:val="0"/>
          <w:sz w:val="32"/>
          <w:szCs w:val="32"/>
          <w:shd w:val="clear" w:color="auto" w:fill="FFFFFF"/>
        </w:rPr>
        <w:t>（十二）“三公”经费</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（十三）机关运行经费</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楷体_GBK"/>
          <w:sz w:val="32"/>
          <w:szCs w:val="32"/>
          <w:shd w:val="clear" w:color="auto" w:fill="FFFFFF"/>
        </w:rPr>
        <w:t> </w:t>
      </w:r>
      <w:r>
        <w:rPr>
          <w:rStyle w:val="7"/>
          <w:rFonts w:hint="default" w:ascii="Times New Roman" w:hAnsi="Times New Roman" w:eastAsia="方正楷体_GBK"/>
          <w:b w:val="0"/>
          <w:sz w:val="32"/>
          <w:szCs w:val="32"/>
          <w:shd w:val="clear" w:color="auto" w:fill="FFFFFF"/>
        </w:rPr>
        <w:t>（十四）工资福利支出（支出经济分类科目类级）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楷体_GBK"/>
          <w:sz w:val="32"/>
          <w:szCs w:val="32"/>
          <w:shd w:val="clear" w:color="auto" w:fill="FFFFFF"/>
        </w:rPr>
        <w:t> </w:t>
      </w:r>
      <w:r>
        <w:rPr>
          <w:rStyle w:val="7"/>
          <w:rFonts w:hint="default" w:ascii="Times New Roman" w:hAnsi="Times New Roman" w:eastAsia="方正楷体_GBK"/>
          <w:b w:val="0"/>
          <w:sz w:val="32"/>
          <w:szCs w:val="32"/>
          <w:shd w:val="clear" w:color="auto" w:fill="FFFFFF"/>
        </w:rPr>
        <w:t>（十五）商品和服务支出（支出经济分类科目类级）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 （十六）对个人和家庭的补助（支出经济分类科目类级）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（十七）其他资本性支出（支出经济分类科目类级）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napToGrid w:val="0"/>
        <w:spacing w:before="0" w:beforeAutospacing="0" w:after="0" w:afterAutospacing="0" w:line="600" w:lineRule="exact"/>
        <w:ind w:firstLine="643" w:firstLineChars="200"/>
        <w:jc w:val="both"/>
        <w:rPr>
          <w:rFonts w:hint="default" w:ascii="Times New Roman" w:hAnsi="Times New Roman" w:eastAsia="方正黑体_GBK"/>
          <w:sz w:val="32"/>
          <w:szCs w:val="32"/>
        </w:rPr>
      </w:pPr>
      <w:r>
        <w:rPr>
          <w:rStyle w:val="7"/>
          <w:rFonts w:hint="default" w:ascii="Times New Roman" w:hAnsi="Times New Roman" w:eastAsia="方正仿宋_GBK"/>
          <w:sz w:val="32"/>
          <w:szCs w:val="32"/>
          <w:shd w:val="clear" w:color="auto" w:fill="FFFFFF"/>
        </w:rPr>
        <w:t> </w:t>
      </w:r>
      <w:r>
        <w:rPr>
          <w:rFonts w:hint="default" w:ascii="Times New Roman" w:hAnsi="Times New Roman" w:eastAsia="方正黑体_GBK"/>
          <w:sz w:val="32"/>
          <w:szCs w:val="32"/>
        </w:rPr>
        <w:t>七、决算公开联系方式及信息反馈渠道</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本单位决算公开信息反馈和联系方式：</w:t>
      </w:r>
    </w:p>
    <w:p>
      <w:pPr>
        <w:pStyle w:val="5"/>
        <w:snapToGrid w:val="0"/>
        <w:spacing w:before="0" w:beforeAutospacing="0" w:after="0" w:afterAutospacing="0" w:line="600" w:lineRule="exact"/>
        <w:ind w:firstLine="640" w:firstLineChars="200"/>
        <w:jc w:val="both"/>
        <w:rPr>
          <w:rStyle w:val="7"/>
          <w:rFonts w:hint="eastAsia" w:ascii="方正仿宋_GBK" w:hAnsi="方正仿宋_GBK" w:eastAsia="方正仿宋_GBK" w:cs="方正仿宋_GBK"/>
          <w:b w:val="0"/>
          <w:bCs/>
          <w:sz w:val="32"/>
          <w:szCs w:val="32"/>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b w:val="0"/>
          <w:bCs/>
          <w:sz w:val="32"/>
          <w:szCs w:val="32"/>
          <w:shd w:val="clear" w:color="auto" w:fill="FFFFFF"/>
        </w:rPr>
        <w:t>田茂丹  023-7689560</w:t>
      </w:r>
      <w:r>
        <w:rPr>
          <w:rFonts w:hint="eastAsia" w:ascii="Times New Roman" w:hAnsi="Times New Roman" w:eastAsia="方正仿宋_GBK"/>
          <w:b w:val="0"/>
          <w:bCs/>
          <w:sz w:val="32"/>
          <w:szCs w:val="32"/>
          <w:shd w:val="clear" w:color="auto" w:fill="FFFFFF"/>
          <w:lang w:val="en-US" w:eastAsia="zh-CN"/>
        </w:rPr>
        <w:t>5</w:t>
      </w:r>
    </w:p>
    <w:tbl>
      <w:tblPr>
        <w:tblStyle w:val="8"/>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秀山土家族苗族自治县社会经济调查队</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266.16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212.14</w:t>
            </w: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26.19</w:t>
            </w: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13.07</w:t>
            </w: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14.75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266.16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266.16</w:t>
            </w: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266.16</w:t>
            </w: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266.16</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秀山土家族苗族自治县社会经济调查队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266.16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266.16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167.14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167.14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秀山土家族苗族自治县社会经济调查队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266.16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221.16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eastAsia" w:ascii="Times New Roman" w:hAnsi="Times New Roman" w:cs="Times New Roman"/>
                <w:b/>
                <w:bCs/>
                <w:color w:val="000000"/>
                <w:sz w:val="22"/>
                <w:szCs w:val="22"/>
                <w:lang w:val="en-US" w:eastAsia="zh-CN"/>
              </w:rPr>
              <w:t>45.00</w:t>
            </w:r>
            <w:r>
              <w:rPr>
                <w:rFonts w:hint="default" w:ascii="Times New Roman" w:hAnsi="Times New Roman" w:cs="Times New Roman"/>
                <w:b/>
                <w:bCs/>
                <w:color w:val="000000"/>
                <w:sz w:val="22"/>
                <w:szCs w:val="22"/>
              </w:rPr>
              <w:t xml:space="preserve">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167.14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Times New Roman" w:hAnsi="Times New Roman" w:cs="Times New Roman"/>
                <w:b/>
                <w:bCs/>
                <w:color w:val="000000"/>
                <w:sz w:val="22"/>
                <w:szCs w:val="22"/>
                <w:lang w:val="en-US" w:eastAsia="zh-CN"/>
              </w:rPr>
              <w:t>45.00</w:t>
            </w:r>
            <w:r>
              <w:rPr>
                <w:rFonts w:hint="default" w:ascii="Times New Roman" w:hAnsi="Times New Roman" w:cs="Times New Roman"/>
                <w:b/>
                <w:bCs w:val="0"/>
                <w:color w:val="000000"/>
                <w:sz w:val="22"/>
                <w:szCs w:val="22"/>
              </w:rPr>
              <w:t xml:space="preserve">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167.14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Times New Roman" w:hAnsi="Times New Roman" w:cs="Times New Roman"/>
                <w:b/>
                <w:bCs/>
                <w:color w:val="000000"/>
                <w:sz w:val="22"/>
                <w:szCs w:val="22"/>
                <w:lang w:val="en-US" w:eastAsia="zh-CN"/>
              </w:rPr>
              <w:t>45.00</w:t>
            </w:r>
            <w:r>
              <w:rPr>
                <w:rFonts w:hint="default" w:ascii="Times New Roman" w:hAnsi="Times New Roman" w:cs="Times New Roman"/>
                <w:b/>
                <w:bCs w:val="0"/>
                <w:color w:val="000000"/>
                <w:sz w:val="22"/>
                <w:szCs w:val="22"/>
              </w:rPr>
              <w:t xml:space="preserve">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Times New Roman" w:hAnsi="Times New Roman" w:cs="Times New Roman"/>
                <w:b w:val="0"/>
                <w:bCs w:val="0"/>
                <w:color w:val="000000"/>
                <w:sz w:val="22"/>
                <w:szCs w:val="22"/>
                <w:lang w:val="en-US" w:eastAsia="zh-CN"/>
              </w:rPr>
              <w:t>45.00</w:t>
            </w:r>
            <w:r>
              <w:rPr>
                <w:rFonts w:hint="default" w:ascii="Times New Roman" w:hAnsi="Times New Roman" w:cs="Times New Roman"/>
                <w:b w:val="0"/>
                <w:bCs w:val="0"/>
                <w:color w:val="000000"/>
                <w:sz w:val="22"/>
                <w:szCs w:val="22"/>
              </w:rPr>
              <w:t xml:space="preserve">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秀山土家族苗族自治县社会经济调查队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266.16</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212.14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212.14</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26.19</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26.19</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13.07</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13.07</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14.75</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14.75</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266.16</w:t>
            </w: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266.16</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266.16</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266.16</w:t>
            </w: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266.16</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266.16</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秀山土家族苗族自治县社会经济调查队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221.16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221.16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45.00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167.14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167.14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45.00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167.14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212.14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167.14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45.00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167.14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167.14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167.14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167.14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统计抽样调查</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45.00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45.00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45.00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45.00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26.19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17.46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17.46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17.46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17.46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8.73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8.73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8.73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8.73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10.91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10.91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10.91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10.91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2.16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14.75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14.75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14.75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14.75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14.75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秀山土家族苗族自治县社会经济调查队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198.76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22.39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48.23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41.71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54.49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198.76</w:t>
            </w:r>
            <w:r>
              <w:rPr>
                <w:rFonts w:hint="default" w:ascii="Times New Roman" w:hAnsi="Times New Roman" w:cs="Times New Roman" w:eastAsiaTheme="minorEastAsia"/>
                <w:color w:val="000000"/>
                <w:sz w:val="22"/>
                <w:szCs w:val="22"/>
              </w:rPr>
              <w:t xml:space="preserve">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22.39</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秀山土家族苗族自治县社会经济调查队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秀山土家族苗族自治县社会经济调查队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秀山土家族苗族自治县社会经济调查队</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22.39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22.39</w:t>
            </w: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琥珀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B349D"/>
    <w:multiLevelType w:val="singleLevel"/>
    <w:tmpl w:val="84FB349D"/>
    <w:lvl w:ilvl="0" w:tentative="0">
      <w:start w:val="1"/>
      <w:numFmt w:val="decimal"/>
      <w:suff w:val="nothing"/>
      <w:lvlText w:val="（%1）"/>
      <w:lvlJc w:val="left"/>
    </w:lvl>
  </w:abstractNum>
  <w:abstractNum w:abstractNumId="1">
    <w:nsid w:val="EDD715E9"/>
    <w:multiLevelType w:val="singleLevel"/>
    <w:tmpl w:val="EDD715E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3D6DC3"/>
    <w:rsid w:val="00550ABE"/>
    <w:rsid w:val="007B419D"/>
    <w:rsid w:val="009B67B8"/>
    <w:rsid w:val="00B03CCD"/>
    <w:rsid w:val="01474EBF"/>
    <w:rsid w:val="01F3521E"/>
    <w:rsid w:val="023222AF"/>
    <w:rsid w:val="03E3214F"/>
    <w:rsid w:val="04446191"/>
    <w:rsid w:val="044C50BA"/>
    <w:rsid w:val="04920966"/>
    <w:rsid w:val="04B8536F"/>
    <w:rsid w:val="0536621F"/>
    <w:rsid w:val="05E71467"/>
    <w:rsid w:val="06A2550B"/>
    <w:rsid w:val="06F80EE2"/>
    <w:rsid w:val="07001CCA"/>
    <w:rsid w:val="075321D2"/>
    <w:rsid w:val="075678DB"/>
    <w:rsid w:val="07932335"/>
    <w:rsid w:val="07FD1E84"/>
    <w:rsid w:val="08051BCA"/>
    <w:rsid w:val="080A21BB"/>
    <w:rsid w:val="08BA052C"/>
    <w:rsid w:val="08DB07BA"/>
    <w:rsid w:val="098305D0"/>
    <w:rsid w:val="09834419"/>
    <w:rsid w:val="09B72B6E"/>
    <w:rsid w:val="0A0C7F04"/>
    <w:rsid w:val="0A227275"/>
    <w:rsid w:val="0A3E56A5"/>
    <w:rsid w:val="0A5C4B69"/>
    <w:rsid w:val="0B9335CE"/>
    <w:rsid w:val="0BA10C97"/>
    <w:rsid w:val="0C554661"/>
    <w:rsid w:val="0C7927C4"/>
    <w:rsid w:val="0C9B098C"/>
    <w:rsid w:val="0CE80A8F"/>
    <w:rsid w:val="0D472B48"/>
    <w:rsid w:val="0D673E11"/>
    <w:rsid w:val="0DB50EFE"/>
    <w:rsid w:val="0DDA54E4"/>
    <w:rsid w:val="0E3A5F83"/>
    <w:rsid w:val="0E9478E1"/>
    <w:rsid w:val="0F836721"/>
    <w:rsid w:val="0FBB333A"/>
    <w:rsid w:val="103645A3"/>
    <w:rsid w:val="107B59E5"/>
    <w:rsid w:val="10AA219D"/>
    <w:rsid w:val="10E421FA"/>
    <w:rsid w:val="11003CB0"/>
    <w:rsid w:val="11124E18"/>
    <w:rsid w:val="111445C7"/>
    <w:rsid w:val="1158083A"/>
    <w:rsid w:val="11F03528"/>
    <w:rsid w:val="12C921C4"/>
    <w:rsid w:val="12DA353E"/>
    <w:rsid w:val="13621A93"/>
    <w:rsid w:val="13850DCB"/>
    <w:rsid w:val="13871C70"/>
    <w:rsid w:val="13A71CB4"/>
    <w:rsid w:val="13AF1D43"/>
    <w:rsid w:val="13CE1647"/>
    <w:rsid w:val="14200702"/>
    <w:rsid w:val="144F3F11"/>
    <w:rsid w:val="14512B53"/>
    <w:rsid w:val="1580711B"/>
    <w:rsid w:val="15960882"/>
    <w:rsid w:val="16661FBD"/>
    <w:rsid w:val="16D80EBF"/>
    <w:rsid w:val="17693936"/>
    <w:rsid w:val="17CB55FA"/>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AD76E8"/>
    <w:rsid w:val="1EB87611"/>
    <w:rsid w:val="1EF67CA4"/>
    <w:rsid w:val="1F213FD9"/>
    <w:rsid w:val="1FCD26AF"/>
    <w:rsid w:val="1FF85C2B"/>
    <w:rsid w:val="20642787"/>
    <w:rsid w:val="20C83310"/>
    <w:rsid w:val="20EC77A3"/>
    <w:rsid w:val="21556F04"/>
    <w:rsid w:val="218179CB"/>
    <w:rsid w:val="21B938B5"/>
    <w:rsid w:val="22403BD3"/>
    <w:rsid w:val="24B92327"/>
    <w:rsid w:val="2533755C"/>
    <w:rsid w:val="25EF6F0E"/>
    <w:rsid w:val="26396DF4"/>
    <w:rsid w:val="266B763B"/>
    <w:rsid w:val="27167136"/>
    <w:rsid w:val="27B23302"/>
    <w:rsid w:val="27D424D7"/>
    <w:rsid w:val="28150F0F"/>
    <w:rsid w:val="285722C3"/>
    <w:rsid w:val="289D211A"/>
    <w:rsid w:val="28DC1FF8"/>
    <w:rsid w:val="29310A5F"/>
    <w:rsid w:val="29C37A35"/>
    <w:rsid w:val="29DD5D20"/>
    <w:rsid w:val="2A076083"/>
    <w:rsid w:val="2A306CA5"/>
    <w:rsid w:val="2A73162E"/>
    <w:rsid w:val="2AFA2E94"/>
    <w:rsid w:val="2B167953"/>
    <w:rsid w:val="2B200583"/>
    <w:rsid w:val="2B8209DE"/>
    <w:rsid w:val="2C6762A3"/>
    <w:rsid w:val="2CC14F10"/>
    <w:rsid w:val="2D5F4C37"/>
    <w:rsid w:val="2DB26738"/>
    <w:rsid w:val="2FE029D7"/>
    <w:rsid w:val="2FF06E00"/>
    <w:rsid w:val="30420C72"/>
    <w:rsid w:val="308269E4"/>
    <w:rsid w:val="315F0B22"/>
    <w:rsid w:val="31BE24D6"/>
    <w:rsid w:val="31D84415"/>
    <w:rsid w:val="32285F6F"/>
    <w:rsid w:val="32770556"/>
    <w:rsid w:val="329C0913"/>
    <w:rsid w:val="3337290D"/>
    <w:rsid w:val="352930DB"/>
    <w:rsid w:val="35573069"/>
    <w:rsid w:val="358C217E"/>
    <w:rsid w:val="359E7284"/>
    <w:rsid w:val="359F188C"/>
    <w:rsid w:val="362B5EC2"/>
    <w:rsid w:val="36C9128A"/>
    <w:rsid w:val="37841E99"/>
    <w:rsid w:val="379C594F"/>
    <w:rsid w:val="37BF1123"/>
    <w:rsid w:val="37C85E36"/>
    <w:rsid w:val="38A726C3"/>
    <w:rsid w:val="38BE4696"/>
    <w:rsid w:val="39B82A39"/>
    <w:rsid w:val="39E71246"/>
    <w:rsid w:val="39F33306"/>
    <w:rsid w:val="3A2F751C"/>
    <w:rsid w:val="3A655BA7"/>
    <w:rsid w:val="3B1705E5"/>
    <w:rsid w:val="3B18334B"/>
    <w:rsid w:val="3B36794F"/>
    <w:rsid w:val="3B544954"/>
    <w:rsid w:val="3B793FF0"/>
    <w:rsid w:val="3B97076E"/>
    <w:rsid w:val="3BBF2CEB"/>
    <w:rsid w:val="3C5A5928"/>
    <w:rsid w:val="3C6A5B02"/>
    <w:rsid w:val="3D1F4D88"/>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16257A3"/>
    <w:rsid w:val="426C1EA8"/>
    <w:rsid w:val="42E86A87"/>
    <w:rsid w:val="42F612C0"/>
    <w:rsid w:val="43136432"/>
    <w:rsid w:val="443A3B12"/>
    <w:rsid w:val="44487B36"/>
    <w:rsid w:val="445132DB"/>
    <w:rsid w:val="44EF6BE8"/>
    <w:rsid w:val="45A30364"/>
    <w:rsid w:val="465B470D"/>
    <w:rsid w:val="469D6AD4"/>
    <w:rsid w:val="46CC009C"/>
    <w:rsid w:val="47674801"/>
    <w:rsid w:val="47E62901"/>
    <w:rsid w:val="48225EF7"/>
    <w:rsid w:val="48654FE9"/>
    <w:rsid w:val="48A36D47"/>
    <w:rsid w:val="495C4A24"/>
    <w:rsid w:val="49A21DF3"/>
    <w:rsid w:val="49C811E4"/>
    <w:rsid w:val="4A216E30"/>
    <w:rsid w:val="4A8977EF"/>
    <w:rsid w:val="4B7951CB"/>
    <w:rsid w:val="4B7C315C"/>
    <w:rsid w:val="4B9300D7"/>
    <w:rsid w:val="4BAB7F90"/>
    <w:rsid w:val="4BD53EDA"/>
    <w:rsid w:val="4BE11807"/>
    <w:rsid w:val="4C484CE5"/>
    <w:rsid w:val="4CAF59C9"/>
    <w:rsid w:val="4DAC4ACA"/>
    <w:rsid w:val="4DD06F63"/>
    <w:rsid w:val="4E043596"/>
    <w:rsid w:val="4EA8523F"/>
    <w:rsid w:val="4F186D58"/>
    <w:rsid w:val="4F224836"/>
    <w:rsid w:val="4F8B0F12"/>
    <w:rsid w:val="4FBA0EC5"/>
    <w:rsid w:val="4FD0031A"/>
    <w:rsid w:val="51760217"/>
    <w:rsid w:val="51E36677"/>
    <w:rsid w:val="522812E2"/>
    <w:rsid w:val="522F6E0C"/>
    <w:rsid w:val="52463BA1"/>
    <w:rsid w:val="529F078E"/>
    <w:rsid w:val="53C0244D"/>
    <w:rsid w:val="53DD4D4E"/>
    <w:rsid w:val="53E578CE"/>
    <w:rsid w:val="53EA10F5"/>
    <w:rsid w:val="543B029D"/>
    <w:rsid w:val="54940E75"/>
    <w:rsid w:val="54977029"/>
    <w:rsid w:val="550B4B56"/>
    <w:rsid w:val="554E5773"/>
    <w:rsid w:val="555A3CBC"/>
    <w:rsid w:val="55EF4EA6"/>
    <w:rsid w:val="563960BA"/>
    <w:rsid w:val="56530F5D"/>
    <w:rsid w:val="56EE372E"/>
    <w:rsid w:val="57064D29"/>
    <w:rsid w:val="5842572D"/>
    <w:rsid w:val="59481382"/>
    <w:rsid w:val="598A28E2"/>
    <w:rsid w:val="5A1315AE"/>
    <w:rsid w:val="5B6A304D"/>
    <w:rsid w:val="5C1336B7"/>
    <w:rsid w:val="5C263CE4"/>
    <w:rsid w:val="5C5D2777"/>
    <w:rsid w:val="5C722D7F"/>
    <w:rsid w:val="5D063222"/>
    <w:rsid w:val="5D290C69"/>
    <w:rsid w:val="5DD51E4F"/>
    <w:rsid w:val="5ED733C2"/>
    <w:rsid w:val="5EF75E57"/>
    <w:rsid w:val="5EFA176D"/>
    <w:rsid w:val="5F0247F9"/>
    <w:rsid w:val="5F2D4A41"/>
    <w:rsid w:val="601C34ED"/>
    <w:rsid w:val="60A511FB"/>
    <w:rsid w:val="60B52C0A"/>
    <w:rsid w:val="61025A59"/>
    <w:rsid w:val="613D5BBC"/>
    <w:rsid w:val="61536C39"/>
    <w:rsid w:val="616D60F9"/>
    <w:rsid w:val="62944DD7"/>
    <w:rsid w:val="63012455"/>
    <w:rsid w:val="63033849"/>
    <w:rsid w:val="63497036"/>
    <w:rsid w:val="63C1619B"/>
    <w:rsid w:val="63C25DC5"/>
    <w:rsid w:val="63C62057"/>
    <w:rsid w:val="63C73832"/>
    <w:rsid w:val="63E21218"/>
    <w:rsid w:val="64192A39"/>
    <w:rsid w:val="64FB113D"/>
    <w:rsid w:val="6544377C"/>
    <w:rsid w:val="655F5939"/>
    <w:rsid w:val="656152C6"/>
    <w:rsid w:val="6587477F"/>
    <w:rsid w:val="658C3A08"/>
    <w:rsid w:val="65C031CA"/>
    <w:rsid w:val="65CE6852"/>
    <w:rsid w:val="65F004F9"/>
    <w:rsid w:val="66255A82"/>
    <w:rsid w:val="66267C04"/>
    <w:rsid w:val="663F505A"/>
    <w:rsid w:val="667F2393"/>
    <w:rsid w:val="66AE6877"/>
    <w:rsid w:val="66EE5541"/>
    <w:rsid w:val="67086152"/>
    <w:rsid w:val="678E23C3"/>
    <w:rsid w:val="67BB0895"/>
    <w:rsid w:val="687E45FE"/>
    <w:rsid w:val="692172FD"/>
    <w:rsid w:val="6988774B"/>
    <w:rsid w:val="69B6338F"/>
    <w:rsid w:val="6A3829EE"/>
    <w:rsid w:val="6A924CB7"/>
    <w:rsid w:val="6AE0292E"/>
    <w:rsid w:val="6B3E7EAF"/>
    <w:rsid w:val="6B474EF5"/>
    <w:rsid w:val="6BC27679"/>
    <w:rsid w:val="6BC54EFE"/>
    <w:rsid w:val="6C560CAE"/>
    <w:rsid w:val="6CD15296"/>
    <w:rsid w:val="6D903FF5"/>
    <w:rsid w:val="6DA955B8"/>
    <w:rsid w:val="6DE346AB"/>
    <w:rsid w:val="6F682314"/>
    <w:rsid w:val="6FFB2E76"/>
    <w:rsid w:val="70AB70D6"/>
    <w:rsid w:val="70DE5507"/>
    <w:rsid w:val="71C34D91"/>
    <w:rsid w:val="71ED38AA"/>
    <w:rsid w:val="72DB435C"/>
    <w:rsid w:val="731A2670"/>
    <w:rsid w:val="73952E2A"/>
    <w:rsid w:val="74ED1B1B"/>
    <w:rsid w:val="750837F0"/>
    <w:rsid w:val="762A73EF"/>
    <w:rsid w:val="7631412E"/>
    <w:rsid w:val="764F62AB"/>
    <w:rsid w:val="765C45EC"/>
    <w:rsid w:val="768A7619"/>
    <w:rsid w:val="7714640F"/>
    <w:rsid w:val="77EA362A"/>
    <w:rsid w:val="7875383E"/>
    <w:rsid w:val="79492350"/>
    <w:rsid w:val="796D60A4"/>
    <w:rsid w:val="79A031D5"/>
    <w:rsid w:val="79A52681"/>
    <w:rsid w:val="7A1525F7"/>
    <w:rsid w:val="7A3E6CB6"/>
    <w:rsid w:val="7A521F72"/>
    <w:rsid w:val="7A99799F"/>
    <w:rsid w:val="7B420052"/>
    <w:rsid w:val="7B7D43A1"/>
    <w:rsid w:val="7BB50D0B"/>
    <w:rsid w:val="7BD06A28"/>
    <w:rsid w:val="7C1E4CD7"/>
    <w:rsid w:val="7C3A7C0B"/>
    <w:rsid w:val="7C5248E4"/>
    <w:rsid w:val="7C566698"/>
    <w:rsid w:val="7CE56AF6"/>
    <w:rsid w:val="7CF02E5B"/>
    <w:rsid w:val="7D213FB2"/>
    <w:rsid w:val="7D2C7E90"/>
    <w:rsid w:val="7E385AB4"/>
    <w:rsid w:val="7F125697"/>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2025-10-17T01:05:55Z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