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603" w:tblpY="75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976"/>
        <w:gridCol w:w="3588"/>
        <w:gridCol w:w="3612"/>
        <w:gridCol w:w="2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行政检查实施情况统计表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行政检查实施数量（次）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检查后作出行政处罚数量（件）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秀山县商务委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填报人：龙珊珊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  <w:r>
              <w:rPr>
                <w:rStyle w:val="4"/>
                <w:rFonts w:eastAsia="方正仿宋_GBK"/>
                <w:sz w:val="24"/>
                <w:szCs w:val="24"/>
                <w:lang w:val="en-US" w:eastAsia="zh-CN" w:bidi="ar"/>
              </w:rPr>
              <w:t>13110125316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统计范围为1月1日至12月31日期间开展的行政检查次数。检查1个检查对象，有完整、详细的检查记录，计为检查1次。无特定检查对象的巡查、巡逻，无完整、详细检查记录的，均不计为检查次数。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ZDVhY2E2Y2ViODQzNTRjOGE3MzE5ZjA4ZWZkODUifQ=="/>
  </w:docVars>
  <w:rsids>
    <w:rsidRoot w:val="6F9F1ABF"/>
    <w:rsid w:val="6F9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2024-01-26T01:26:00Z</dcterms:created>
  <dc:creator>伍佰</dc:creator>
  <cp:lastModifiedBy>伍佰</cp:lastModifiedBy>
  <dcterms:modified xsi:type="dcterms:W3CDTF">2024-01-26T01:26:29Z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FC48939D690A4621B7262525FD9D8B0D_11</vt:lpwstr>
  </property>
</Properties>
</file>