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color w:val="000000"/>
          <w:sz w:val="44"/>
          <w:szCs w:val="44"/>
          <w:lang w:eastAsia="zh-CN"/>
        </w:rPr>
        <w:t>法律援助中心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根据法律、法规规定，受理、审查、指派全县范围内的法律援助案件；负责法律援助日常业务管理工作；协调全县律师事务所、基层法律服务所等法律服务机构及其法律服务人员、为符合法律援助条件的公民提供法律援助服务；协调全县范围内的</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12348</w:t>
      </w:r>
      <w:r>
        <w:rPr>
          <w:rFonts w:hint="eastAsia" w:eastAsia="方正仿宋_GBK" w:cs="Times New Roman"/>
          <w:color w:val="000000"/>
          <w:sz w:val="32"/>
          <w:szCs w:val="32"/>
          <w:lang w:val="en-US" w:eastAsia="zh-CN"/>
        </w:rPr>
        <w:t>法律服务网络；承办上级部门交办的其他事项。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Verdana" w:eastAsia="方正仿宋_GBK"/>
          <w:color w:val="000000"/>
          <w:sz w:val="32"/>
          <w:szCs w:val="32"/>
        </w:rPr>
      </w:pPr>
      <w:r>
        <w:rPr>
          <w:rFonts w:hint="eastAsia" w:ascii="方正仿宋_GBK" w:hAnsi="Verdana" w:eastAsia="方正仿宋_GBK"/>
          <w:color w:val="000000"/>
          <w:sz w:val="32"/>
          <w:szCs w:val="32"/>
        </w:rPr>
        <w:t>秀山土家族苗族自治县</w:t>
      </w:r>
      <w:r>
        <w:rPr>
          <w:rFonts w:hint="eastAsia" w:eastAsia="方正仿宋_GBK" w:cs="Times New Roman"/>
          <w:sz w:val="32"/>
          <w:szCs w:val="32"/>
          <w:lang w:val="en-US" w:eastAsia="zh-CN"/>
        </w:rPr>
        <w:t>法律援助</w:t>
      </w:r>
      <w:r>
        <w:rPr>
          <w:rFonts w:hint="eastAsia" w:ascii="Times New Roman" w:hAnsi="Times New Roman" w:eastAsia="方正仿宋_GBK" w:cs="Times New Roman"/>
          <w:sz w:val="32"/>
          <w:szCs w:val="32"/>
          <w:lang w:val="en-US" w:eastAsia="zh-CN"/>
        </w:rPr>
        <w:t>中心</w:t>
      </w:r>
      <w:r>
        <w:rPr>
          <w:rFonts w:hint="eastAsia" w:ascii="方正仿宋_GBK" w:hAnsi="Verdana" w:eastAsia="方正仿宋_GBK"/>
          <w:color w:val="000000"/>
          <w:sz w:val="32"/>
          <w:szCs w:val="32"/>
        </w:rPr>
        <w:t>，为县</w:t>
      </w:r>
      <w:r>
        <w:rPr>
          <w:rFonts w:hint="eastAsia" w:ascii="方正仿宋_GBK" w:hAnsi="Verdana" w:eastAsia="方正仿宋_GBK"/>
          <w:color w:val="000000"/>
          <w:sz w:val="32"/>
          <w:szCs w:val="32"/>
          <w:lang w:eastAsia="zh-CN"/>
        </w:rPr>
        <w:t>司法局</w:t>
      </w:r>
      <w:r>
        <w:rPr>
          <w:rFonts w:hint="eastAsia" w:ascii="方正仿宋_GBK" w:hAnsi="Verdana" w:eastAsia="方正仿宋_GBK"/>
          <w:color w:val="000000"/>
          <w:sz w:val="32"/>
          <w:szCs w:val="32"/>
        </w:rPr>
        <w:t>管理的公益一类副科级事业单位。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新招录3名参公人员，人员及公用经费有所增加</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131.13</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19.39</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172.91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新招录3名参公人员，人员及公用经费有所增加</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主要用于保障在职人员工资福利及社会保险缴费，保障部门正常运转的各项商品服务支出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2023年一致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法律援助中心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27.53</w:t>
      </w:r>
      <w:r>
        <w:rPr>
          <w:rFonts w:hint="default" w:ascii="Times New Roman" w:hAnsi="Times New Roman" w:eastAsia="方正仿宋_GBK" w:cs="Times New Roman"/>
          <w:i w:val="0"/>
          <w:iCs w:val="0"/>
          <w:caps w:val="0"/>
          <w:color w:val="333333"/>
          <w:spacing w:val="0"/>
          <w:sz w:val="32"/>
          <w:szCs w:val="32"/>
          <w:u w:val="none"/>
          <w:shd w:val="clear" w:fill="FFFFFF"/>
        </w:rPr>
        <w:t>万元，比上年增加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3.39</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新招录3名参公人员，公用经费有所增加</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023-76685987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24317D0"/>
    <w:rsid w:val="146C4DD3"/>
    <w:rsid w:val="14D1325F"/>
    <w:rsid w:val="198F6E75"/>
    <w:rsid w:val="1B1625F6"/>
    <w:rsid w:val="1C365209"/>
    <w:rsid w:val="1D87091B"/>
    <w:rsid w:val="2340333C"/>
    <w:rsid w:val="40334E73"/>
    <w:rsid w:val="44AC4783"/>
    <w:rsid w:val="47E12F43"/>
    <w:rsid w:val="490E5B0E"/>
    <w:rsid w:val="4E0D644A"/>
    <w:rsid w:val="5BB170CB"/>
    <w:rsid w:val="5F424B60"/>
    <w:rsid w:val="67C47E6E"/>
    <w:rsid w:val="68480129"/>
    <w:rsid w:val="710F3952"/>
    <w:rsid w:val="71774FB6"/>
    <w:rsid w:val="75400CDC"/>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田瑶</cp:lastModifiedBy>
  <dcterms:modified xsi:type="dcterms:W3CDTF">2024-02-02T08:56:12Z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