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outlineLvl w:val="9"/>
        <w:rPr>
          <w:rFonts w:hint="eastAsia" w:ascii="方正黑体_GBK" w:hAnsi="方正黑体_GBK" w:eastAsia="方正黑体_GBK" w:cs="方正黑体_GBK"/>
          <w:i w:val="0"/>
          <w:iCs w:val="0"/>
          <w:caps w:val="0"/>
          <w:color w:val="333333"/>
          <w:spacing w:val="0"/>
          <w:sz w:val="32"/>
          <w:szCs w:val="32"/>
          <w:shd w:val="clear" w:fill="FFFFFF"/>
          <w:lang w:val="en-US" w:eastAsia="zh-CN"/>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9"/>
        <w:rPr>
          <w:rFonts w:hint="eastAsia" w:ascii="方正小标宋_GBK" w:hAnsi="方正小标宋_GBK" w:eastAsia="方正小标宋_GBK" w:cs="方正小标宋_GBK"/>
          <w:color w:val="000000"/>
          <w:sz w:val="44"/>
          <w:szCs w:val="44"/>
          <w:lang w:eastAsia="zh-CN"/>
        </w:rPr>
      </w:pPr>
      <w:r>
        <w:rPr>
          <w:rFonts w:hint="eastAsia" w:ascii="方正小标宋_GBK" w:hAnsi="方正小标宋_GBK" w:eastAsia="方正小标宋_GBK" w:cs="方正小标宋_GBK"/>
          <w:i w:val="0"/>
          <w:iCs w:val="0"/>
          <w:caps w:val="0"/>
          <w:color w:val="333333"/>
          <w:spacing w:val="0"/>
          <w:sz w:val="44"/>
          <w:szCs w:val="44"/>
          <w:shd w:val="clear" w:fill="FFFFFF"/>
        </w:rPr>
        <w:t>秀山土家族苗族自治县</w:t>
      </w:r>
      <w:r>
        <w:rPr>
          <w:rFonts w:hint="eastAsia" w:ascii="方正小标宋_GBK" w:hAnsi="方正小标宋_GBK" w:eastAsia="方正小标宋_GBK" w:cs="方正小标宋_GBK"/>
          <w:color w:val="000000"/>
          <w:sz w:val="44"/>
          <w:szCs w:val="44"/>
          <w:lang w:eastAsia="zh-CN"/>
        </w:rPr>
        <w:t>法律援助中心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9"/>
        <w:rPr>
          <w:rFonts w:hint="eastAsia" w:ascii="方正小标宋_GBK" w:hAnsi="方正小标宋_GBK" w:eastAsia="方正小标宋_GBK" w:cs="方正小标宋_GBK"/>
          <w:i w:val="0"/>
          <w:iCs w:val="0"/>
          <w:caps w:val="0"/>
          <w:color w:val="333333"/>
          <w:spacing w:val="0"/>
          <w:sz w:val="44"/>
          <w:szCs w:val="44"/>
          <w:shd w:val="clear" w:fill="FFFFFF"/>
        </w:rPr>
      </w:pPr>
      <w:r>
        <w:rPr>
          <w:rFonts w:hint="eastAsia" w:ascii="方正小标宋_GBK" w:hAnsi="方正小标宋_GBK" w:eastAsia="方正小标宋_GBK" w:cs="方正小标宋_GBK"/>
          <w:i w:val="0"/>
          <w:iCs w:val="0"/>
          <w:caps w:val="0"/>
          <w:color w:val="333333"/>
          <w:spacing w:val="0"/>
          <w:sz w:val="44"/>
          <w:szCs w:val="44"/>
          <w:shd w:val="clear" w:fill="FFFFFF"/>
        </w:rPr>
        <w:t>202</w:t>
      </w:r>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4</w:t>
      </w:r>
      <w:r>
        <w:rPr>
          <w:rFonts w:hint="eastAsia" w:ascii="方正小标宋_GBK" w:hAnsi="方正小标宋_GBK" w:eastAsia="方正小标宋_GBK" w:cs="方正小标宋_GBK"/>
          <w:i w:val="0"/>
          <w:iCs w:val="0"/>
          <w:caps w:val="0"/>
          <w:color w:val="333333"/>
          <w:spacing w:val="0"/>
          <w:sz w:val="44"/>
          <w:szCs w:val="44"/>
          <w:shd w:val="clear" w:fill="FFFFFF"/>
        </w:rPr>
        <w:t>年部门预算情况说明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600" w:lineRule="exact"/>
        <w:ind w:left="0" w:right="0" w:firstLine="0"/>
        <w:jc w:val="center"/>
        <w:textAlignment w:val="auto"/>
        <w:outlineLvl w:val="9"/>
        <w:rPr>
          <w:rFonts w:hint="eastAsia" w:ascii="华文中宋" w:hAnsi="华文中宋" w:eastAsia="华文中宋" w:cs="华文中宋"/>
          <w:i w:val="0"/>
          <w:iCs w:val="0"/>
          <w:caps w:val="0"/>
          <w:color w:val="333333"/>
          <w:spacing w:val="0"/>
          <w:sz w:val="43"/>
          <w:szCs w:val="43"/>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一、单位基本情况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楷体_GBK" w:hAnsi="方正楷体_GBK" w:eastAsia="方正楷体_GBK" w:cs="方正楷体_GBK"/>
          <w:i w:val="0"/>
          <w:iCs w:val="0"/>
          <w:caps w:val="0"/>
          <w:color w:val="333333"/>
          <w:spacing w:val="0"/>
          <w:sz w:val="32"/>
          <w:szCs w:val="32"/>
          <w:shd w:val="clear" w:fill="FFFFFF"/>
        </w:rPr>
      </w:pP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一</w:t>
      </w: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职能职责</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outlineLvl w:val="9"/>
        <w:rPr>
          <w:rFonts w:hint="eastAsia" w:eastAsia="方正仿宋_GBK" w:cs="Times New Roman"/>
          <w:color w:val="000000"/>
          <w:sz w:val="32"/>
          <w:szCs w:val="32"/>
          <w:lang w:val="en-US" w:eastAsia="zh-CN"/>
        </w:rPr>
      </w:pPr>
      <w:r>
        <w:rPr>
          <w:rFonts w:hint="eastAsia" w:eastAsia="方正仿宋_GBK" w:cs="Times New Roman"/>
          <w:color w:val="000000"/>
          <w:sz w:val="32"/>
          <w:szCs w:val="32"/>
          <w:lang w:val="en-US" w:eastAsia="zh-CN"/>
        </w:rPr>
        <w:t>根据法律、法规规定，受理、审查、指派全县范围内的法律援助案件；负责法律援助日常业务管理工作；协调全县律师事务所、基层法律服务所等法律服务机构及其法律服务人员、为符合法律援助条件的公民提供法律援助服务；协调全县范围内的</w:t>
      </w:r>
      <w:r>
        <w:rPr>
          <w:rFonts w:hint="eastAsia" w:ascii="Times New Roman" w:hAnsi="Times New Roman" w:eastAsia="方正仿宋_GBK" w:cs="Times New Roman"/>
          <w:i w:val="0"/>
          <w:iCs w:val="0"/>
          <w:caps w:val="0"/>
          <w:color w:val="333333"/>
          <w:spacing w:val="0"/>
          <w:kern w:val="0"/>
          <w:sz w:val="32"/>
          <w:szCs w:val="32"/>
          <w:u w:val="none"/>
          <w:shd w:val="clear" w:fill="FFFFFF"/>
          <w:lang w:val="en-US" w:eastAsia="zh-CN" w:bidi="ar"/>
        </w:rPr>
        <w:t>12348</w:t>
      </w:r>
      <w:r>
        <w:rPr>
          <w:rFonts w:hint="eastAsia" w:eastAsia="方正仿宋_GBK" w:cs="Times New Roman"/>
          <w:color w:val="000000"/>
          <w:sz w:val="32"/>
          <w:szCs w:val="32"/>
          <w:lang w:val="en-US" w:eastAsia="zh-CN"/>
        </w:rPr>
        <w:t>法律服务网络；承办上级部门交办的其他事项。</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楷体_GBK" w:hAnsi="方正楷体_GBK" w:eastAsia="方正楷体_GBK" w:cs="方正楷体_GBK"/>
          <w:i w:val="0"/>
          <w:iCs w:val="0"/>
          <w:caps w:val="0"/>
          <w:color w:val="333333"/>
          <w:spacing w:val="0"/>
          <w:sz w:val="32"/>
          <w:szCs w:val="32"/>
          <w:shd w:val="clear" w:fill="FFFFFF"/>
          <w:lang w:val="en-US" w:eastAsia="zh-CN"/>
        </w:rPr>
      </w:pP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二</w:t>
      </w: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单位构成</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Verdana" w:eastAsia="方正仿宋_GBK"/>
          <w:color w:val="000000"/>
          <w:sz w:val="32"/>
          <w:szCs w:val="32"/>
        </w:rPr>
      </w:pPr>
      <w:r>
        <w:rPr>
          <w:rFonts w:hint="eastAsia" w:ascii="方正仿宋_GBK" w:hAnsi="Verdana" w:eastAsia="方正仿宋_GBK"/>
          <w:color w:val="000000"/>
          <w:sz w:val="32"/>
          <w:szCs w:val="32"/>
        </w:rPr>
        <w:t>秀山土家族苗族自治县</w:t>
      </w:r>
      <w:r>
        <w:rPr>
          <w:rFonts w:hint="eastAsia" w:eastAsia="方正仿宋_GBK" w:cs="Times New Roman"/>
          <w:sz w:val="32"/>
          <w:szCs w:val="32"/>
          <w:lang w:val="en-US" w:eastAsia="zh-CN"/>
        </w:rPr>
        <w:t>法律援助</w:t>
      </w:r>
      <w:r>
        <w:rPr>
          <w:rFonts w:hint="eastAsia" w:ascii="Times New Roman" w:hAnsi="Times New Roman" w:eastAsia="方正仿宋_GBK" w:cs="Times New Roman"/>
          <w:sz w:val="32"/>
          <w:szCs w:val="32"/>
          <w:lang w:val="en-US" w:eastAsia="zh-CN"/>
        </w:rPr>
        <w:t>中心</w:t>
      </w:r>
      <w:r>
        <w:rPr>
          <w:rFonts w:hint="eastAsia" w:ascii="方正仿宋_GBK" w:hAnsi="Verdana" w:eastAsia="方正仿宋_GBK"/>
          <w:color w:val="000000"/>
          <w:sz w:val="32"/>
          <w:szCs w:val="32"/>
        </w:rPr>
        <w:t>，为县</w:t>
      </w:r>
      <w:r>
        <w:rPr>
          <w:rFonts w:hint="eastAsia" w:ascii="方正仿宋_GBK" w:hAnsi="Verdana" w:eastAsia="方正仿宋_GBK"/>
          <w:color w:val="000000"/>
          <w:sz w:val="32"/>
          <w:szCs w:val="32"/>
          <w:lang w:eastAsia="zh-CN"/>
        </w:rPr>
        <w:t>司法局</w:t>
      </w:r>
      <w:r>
        <w:rPr>
          <w:rFonts w:hint="eastAsia" w:ascii="方正仿宋_GBK" w:hAnsi="Verdana" w:eastAsia="方正仿宋_GBK"/>
          <w:color w:val="000000"/>
          <w:sz w:val="32"/>
          <w:szCs w:val="32"/>
        </w:rPr>
        <w:t>管理的公益一类副科级事业单位。</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rPr>
      </w:pPr>
      <w:r>
        <w:rPr>
          <w:rFonts w:hint="eastAsia" w:ascii="方正黑体_GBK" w:hAnsi="方正黑体_GBK" w:eastAsia="方正黑体_GBK" w:cs="方正黑体_GBK"/>
          <w:i w:val="0"/>
          <w:iCs w:val="0"/>
          <w:caps w:val="0"/>
          <w:color w:val="333333"/>
          <w:spacing w:val="0"/>
          <w:sz w:val="32"/>
          <w:szCs w:val="32"/>
          <w:shd w:val="clear" w:fill="FFFFFF"/>
        </w:rPr>
        <w:t>二、部门收支总体情况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rPr>
        <w:t>（一）收入预算</w:t>
      </w:r>
      <w:r>
        <w:rPr>
          <w:rFonts w:hint="default" w:ascii="仿宋_GB2312" w:hAnsi="微软雅黑" w:eastAsia="仿宋_GB2312" w:cs="仿宋_GB2312"/>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年年初预算数</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172.91</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万元，其中：一般公共预算拨款</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172.91</w:t>
      </w:r>
      <w:r>
        <w:rPr>
          <w:rFonts w:hint="default" w:ascii="Times New Roman" w:hAnsi="Times New Roman" w:eastAsia="方正仿宋_GBK" w:cs="Times New Roman"/>
          <w:i w:val="0"/>
          <w:iCs w:val="0"/>
          <w:caps w:val="0"/>
          <w:color w:val="333333"/>
          <w:spacing w:val="0"/>
          <w:sz w:val="32"/>
          <w:szCs w:val="32"/>
          <w:u w:val="none"/>
          <w:shd w:val="clear" w:fill="FFFFFF"/>
        </w:rPr>
        <w:t>万元，政府性基金预算拨款</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万元，国有资本经营预算收入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万元，事业收入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万元，事业单位经营收入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万元，其他收入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上年结转</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万元。收入较去年增加</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25.6</w:t>
      </w:r>
      <w:r>
        <w:rPr>
          <w:rFonts w:hint="default" w:ascii="Times New Roman" w:hAnsi="Times New Roman" w:eastAsia="方正仿宋_GBK" w:cs="Times New Roman"/>
          <w:i w:val="0"/>
          <w:iCs w:val="0"/>
          <w:caps w:val="0"/>
          <w:color w:val="333333"/>
          <w:spacing w:val="0"/>
          <w:sz w:val="32"/>
          <w:szCs w:val="32"/>
          <w:u w:val="none"/>
          <w:shd w:val="clear" w:fill="FFFFFF"/>
        </w:rPr>
        <w:t>万元，主要</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原因</w:t>
      </w:r>
      <w:r>
        <w:rPr>
          <w:rFonts w:hint="default" w:ascii="Times New Roman" w:hAnsi="Times New Roman" w:eastAsia="方正仿宋_GBK" w:cs="Times New Roman"/>
          <w:i w:val="0"/>
          <w:iCs w:val="0"/>
          <w:caps w:val="0"/>
          <w:color w:val="333333"/>
          <w:spacing w:val="0"/>
          <w:sz w:val="32"/>
          <w:szCs w:val="32"/>
          <w:u w:val="none"/>
          <w:shd w:val="clear" w:fill="FFFFFF"/>
        </w:rPr>
        <w:t>是</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新招录3名参公人员，人员及公用经费有所增加</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方正楷体_GBK" w:hAnsi="方正楷体_GBK" w:eastAsia="方正楷体_GBK" w:cs="方正楷体_GBK"/>
          <w:i w:val="0"/>
          <w:iCs w:val="0"/>
          <w:caps w:val="0"/>
          <w:color w:val="333333"/>
          <w:spacing w:val="0"/>
          <w:sz w:val="32"/>
          <w:szCs w:val="32"/>
          <w:u w:val="none"/>
          <w:shd w:val="clear" w:fill="FFFFFF"/>
        </w:rPr>
        <w:t>（二）支出预算</w:t>
      </w:r>
      <w:r>
        <w:rPr>
          <w:rFonts w:hint="default" w:ascii="仿宋_GB2312" w:hAnsi="微软雅黑" w:eastAsia="仿宋_GB2312" w:cs="仿宋_GB2312"/>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年年初预算数</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172.91</w:t>
      </w:r>
      <w:r>
        <w:rPr>
          <w:rFonts w:hint="default" w:ascii="Times New Roman" w:hAnsi="Times New Roman" w:eastAsia="方正仿宋_GBK" w:cs="Times New Roman"/>
          <w:i w:val="0"/>
          <w:iCs w:val="0"/>
          <w:caps w:val="0"/>
          <w:color w:val="333333"/>
          <w:spacing w:val="0"/>
          <w:sz w:val="32"/>
          <w:szCs w:val="32"/>
          <w:u w:val="none"/>
          <w:shd w:val="clear" w:fill="FFFFFF"/>
        </w:rPr>
        <w:t>万元，其中：公共安全支出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131.13</w:t>
      </w:r>
      <w:r>
        <w:rPr>
          <w:rFonts w:hint="default" w:ascii="Times New Roman" w:hAnsi="Times New Roman" w:eastAsia="方正仿宋_GBK" w:cs="Times New Roman"/>
          <w:i w:val="0"/>
          <w:iCs w:val="0"/>
          <w:caps w:val="0"/>
          <w:color w:val="333333"/>
          <w:spacing w:val="0"/>
          <w:sz w:val="32"/>
          <w:szCs w:val="32"/>
          <w:u w:val="none"/>
          <w:shd w:val="clear" w:fill="FFFFFF"/>
        </w:rPr>
        <w:t>万元，教育</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万元，社会保障和就业</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19.39</w:t>
      </w:r>
      <w:r>
        <w:rPr>
          <w:rFonts w:hint="default" w:ascii="Times New Roman" w:hAnsi="Times New Roman" w:eastAsia="方正仿宋_GBK" w:cs="Times New Roman"/>
          <w:i w:val="0"/>
          <w:iCs w:val="0"/>
          <w:caps w:val="0"/>
          <w:color w:val="333333"/>
          <w:spacing w:val="0"/>
          <w:sz w:val="32"/>
          <w:szCs w:val="32"/>
          <w:u w:val="none"/>
          <w:shd w:val="clear" w:fill="FFFFFF"/>
        </w:rPr>
        <w:t>万元，卫生健康支出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10</w:t>
      </w:r>
      <w:r>
        <w:rPr>
          <w:rFonts w:hint="default" w:ascii="Times New Roman" w:hAnsi="Times New Roman" w:eastAsia="方正仿宋_GBK" w:cs="Times New Roman"/>
          <w:i w:val="0"/>
          <w:iCs w:val="0"/>
          <w:caps w:val="0"/>
          <w:color w:val="333333"/>
          <w:spacing w:val="0"/>
          <w:sz w:val="32"/>
          <w:szCs w:val="32"/>
          <w:u w:val="none"/>
          <w:shd w:val="clear" w:fill="FFFFFF"/>
        </w:rPr>
        <w:t>万元，住房保障</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12.4</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结转下年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万元。支出较去年增加</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25.6</w:t>
      </w:r>
      <w:r>
        <w:rPr>
          <w:rFonts w:hint="default" w:ascii="Times New Roman" w:hAnsi="Times New Roman" w:eastAsia="方正仿宋_GBK" w:cs="Times New Roman"/>
          <w:i w:val="0"/>
          <w:iCs w:val="0"/>
          <w:caps w:val="0"/>
          <w:color w:val="333333"/>
          <w:spacing w:val="0"/>
          <w:sz w:val="32"/>
          <w:szCs w:val="32"/>
          <w:u w:val="none"/>
          <w:shd w:val="clear" w:fill="FFFFFF"/>
        </w:rPr>
        <w:t>万元，主要</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原因</w:t>
      </w:r>
      <w:r>
        <w:rPr>
          <w:rFonts w:hint="default" w:ascii="Times New Roman" w:hAnsi="Times New Roman" w:eastAsia="方正仿宋_GBK" w:cs="Times New Roman"/>
          <w:i w:val="0"/>
          <w:iCs w:val="0"/>
          <w:caps w:val="0"/>
          <w:color w:val="333333"/>
          <w:spacing w:val="0"/>
          <w:sz w:val="32"/>
          <w:szCs w:val="32"/>
          <w:u w:val="none"/>
          <w:shd w:val="clear" w:fill="FFFFFF"/>
        </w:rPr>
        <w:t>是基本支出增加</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25.6</w:t>
      </w:r>
      <w:r>
        <w:rPr>
          <w:rFonts w:hint="default" w:ascii="Times New Roman" w:hAnsi="Times New Roman" w:eastAsia="方正仿宋_GBK" w:cs="Times New Roman"/>
          <w:i w:val="0"/>
          <w:iCs w:val="0"/>
          <w:caps w:val="0"/>
          <w:color w:val="333333"/>
          <w:spacing w:val="0"/>
          <w:sz w:val="32"/>
          <w:szCs w:val="32"/>
          <w:u w:val="none"/>
          <w:shd w:val="clear" w:fill="FFFFFF"/>
        </w:rPr>
        <w:t>万元，项目支出减少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三、部门预算情况说明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年一般公共预算财政拨款收入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172.91</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其中：上年结转</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，一般公共预算财政拨款支出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172.91</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年增加</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25.6</w:t>
      </w:r>
      <w:r>
        <w:rPr>
          <w:rFonts w:hint="default" w:ascii="Times New Roman" w:hAnsi="Times New Roman" w:eastAsia="方正仿宋_GBK" w:cs="Times New Roman"/>
          <w:i w:val="0"/>
          <w:iCs w:val="0"/>
          <w:caps w:val="0"/>
          <w:color w:val="333333"/>
          <w:spacing w:val="0"/>
          <w:sz w:val="32"/>
          <w:szCs w:val="32"/>
          <w:u w:val="none"/>
          <w:shd w:val="clear" w:fill="FFFFFF"/>
        </w:rPr>
        <w:t>万元。其中：基本支出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172.91</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年增加</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25.6</w:t>
      </w:r>
      <w:r>
        <w:rPr>
          <w:rFonts w:hint="default" w:ascii="Times New Roman" w:hAnsi="Times New Roman" w:eastAsia="方正仿宋_GBK" w:cs="Times New Roman"/>
          <w:i w:val="0"/>
          <w:iCs w:val="0"/>
          <w:caps w:val="0"/>
          <w:color w:val="333333"/>
          <w:spacing w:val="0"/>
          <w:sz w:val="32"/>
          <w:szCs w:val="32"/>
          <w:u w:val="none"/>
          <w:shd w:val="clear" w:fill="FFFFFF"/>
        </w:rPr>
        <w:t>万元，主要原因</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是</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新招录3名参公人员，人员及公用经费有所增加</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主要用于保障在职人员工资福利及社会保险缴费，保障部门正常运转的各项商品服务支出</w:t>
      </w:r>
      <w:r>
        <w:rPr>
          <w:rFonts w:hint="default" w:ascii="Times New Roman" w:hAnsi="Times New Roman" w:eastAsia="方正仿宋_GBK" w:cs="Times New Roman"/>
          <w:i w:val="0"/>
          <w:iCs w:val="0"/>
          <w:caps w:val="0"/>
          <w:color w:val="333333"/>
          <w:spacing w:val="0"/>
          <w:sz w:val="32"/>
          <w:szCs w:val="32"/>
          <w:u w:val="none"/>
          <w:shd w:val="clear" w:fill="FFFFFF"/>
        </w:rPr>
        <w:t>；项目支出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与</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2023年一致</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eastAsia="zh-CN"/>
        </w:rPr>
      </w:pPr>
      <w:r>
        <w:rPr>
          <w:rFonts w:hint="default" w:ascii="Times New Roman" w:hAnsi="Times New Roman" w:eastAsia="方正仿宋_GBK" w:cs="Times New Roman"/>
          <w:i w:val="0"/>
          <w:iCs w:val="0"/>
          <w:caps w:val="0"/>
          <w:color w:val="333333"/>
          <w:spacing w:val="0"/>
          <w:sz w:val="32"/>
          <w:szCs w:val="32"/>
          <w:u w:val="none"/>
          <w:shd w:val="clear" w:fill="FFFFFF"/>
          <w:lang w:eastAsia="zh-CN"/>
        </w:rPr>
        <w:t>县</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法律援助中心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年未使用政府性基金预算拨款安排的支出</w:t>
      </w:r>
      <w:r>
        <w:rPr>
          <w:rFonts w:hint="eastAsia" w:ascii="Times New Roman" w:hAnsi="Times New Roman" w:eastAsia="方正仿宋_GBK" w:cs="Times New Roman"/>
          <w:i w:val="0"/>
          <w:iCs w:val="0"/>
          <w:caps w:val="0"/>
          <w:color w:val="333333"/>
          <w:spacing w:val="0"/>
          <w:sz w:val="32"/>
          <w:szCs w:val="32"/>
          <w:u w:val="none"/>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四、</w:t>
      </w:r>
      <w:r>
        <w:rPr>
          <w:rFonts w:hint="eastAsia" w:ascii="方正黑体_GBK" w:hAnsi="方正黑体_GBK" w:eastAsia="方正黑体_GBK" w:cs="方正黑体_GBK"/>
          <w:i w:val="0"/>
          <w:iCs w:val="0"/>
          <w:caps w:val="0"/>
          <w:color w:val="333333"/>
          <w:spacing w:val="0"/>
          <w:sz w:val="32"/>
          <w:szCs w:val="32"/>
          <w:u w:val="none"/>
          <w:shd w:val="clear" w:fill="FFFFFF"/>
          <w:lang w:eastAsia="zh-CN"/>
        </w:rPr>
        <w:t>“</w:t>
      </w:r>
      <w:r>
        <w:rPr>
          <w:rFonts w:hint="eastAsia" w:ascii="方正黑体_GBK" w:hAnsi="方正黑体_GBK" w:eastAsia="方正黑体_GBK" w:cs="方正黑体_GBK"/>
          <w:i w:val="0"/>
          <w:iCs w:val="0"/>
          <w:caps w:val="0"/>
          <w:color w:val="333333"/>
          <w:spacing w:val="0"/>
          <w:sz w:val="32"/>
          <w:szCs w:val="32"/>
          <w:u w:val="none"/>
          <w:shd w:val="clear" w:fill="FFFFFF"/>
        </w:rPr>
        <w:t>三公”经费情况说明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eastAsia="zh-CN"/>
        </w:rPr>
      </w:pP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三公</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经费预算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与</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2023年预算一致</w:t>
      </w:r>
      <w:r>
        <w:rPr>
          <w:rFonts w:hint="default" w:ascii="Times New Roman" w:hAnsi="Times New Roman" w:eastAsia="方正仿宋_GBK" w:cs="Times New Roman"/>
          <w:i w:val="0"/>
          <w:iCs w:val="0"/>
          <w:caps w:val="0"/>
          <w:color w:val="333333"/>
          <w:spacing w:val="0"/>
          <w:sz w:val="32"/>
          <w:szCs w:val="32"/>
          <w:u w:val="none"/>
          <w:shd w:val="clear" w:fill="FFFFFF"/>
        </w:rPr>
        <w:t>。其中：因公出国（境）费用</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与</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2023年预算一致</w:t>
      </w:r>
      <w:r>
        <w:rPr>
          <w:rFonts w:hint="default" w:ascii="Times New Roman" w:hAnsi="Times New Roman" w:eastAsia="方正仿宋_GBK" w:cs="Times New Roman"/>
          <w:i w:val="0"/>
          <w:iCs w:val="0"/>
          <w:caps w:val="0"/>
          <w:color w:val="333333"/>
          <w:spacing w:val="0"/>
          <w:sz w:val="32"/>
          <w:szCs w:val="32"/>
          <w:u w:val="none"/>
          <w:shd w:val="clear" w:fill="FFFFFF"/>
        </w:rPr>
        <w:t>；公务接待费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与</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2023年预算一致</w:t>
      </w:r>
      <w:r>
        <w:rPr>
          <w:rFonts w:hint="default" w:ascii="Times New Roman" w:hAnsi="Times New Roman" w:eastAsia="方正仿宋_GBK" w:cs="Times New Roman"/>
          <w:i w:val="0"/>
          <w:iCs w:val="0"/>
          <w:caps w:val="0"/>
          <w:color w:val="333333"/>
          <w:spacing w:val="0"/>
          <w:sz w:val="32"/>
          <w:szCs w:val="32"/>
          <w:u w:val="none"/>
          <w:shd w:val="clear" w:fill="FFFFFF"/>
        </w:rPr>
        <w:t>；公务用车运行维护费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与</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2023年预算一致</w:t>
      </w:r>
      <w:r>
        <w:rPr>
          <w:rFonts w:hint="default" w:ascii="Times New Roman" w:hAnsi="Times New Roman" w:eastAsia="方正仿宋_GBK" w:cs="Times New Roman"/>
          <w:i w:val="0"/>
          <w:iCs w:val="0"/>
          <w:caps w:val="0"/>
          <w:color w:val="333333"/>
          <w:spacing w:val="0"/>
          <w:sz w:val="32"/>
          <w:szCs w:val="32"/>
          <w:u w:val="none"/>
          <w:shd w:val="clear" w:fill="FFFFFF"/>
        </w:rPr>
        <w:t>；公务用车购置费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与</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2023年预算一致。</w:t>
      </w:r>
      <w:bookmarkStart w:id="0" w:name="_GoBack"/>
      <w:bookmarkEnd w:id="0"/>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五、其他重要事项的情况说明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一</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机关运行经费</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年一般公共预算财政拨款运行经费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27.53</w:t>
      </w:r>
      <w:r>
        <w:rPr>
          <w:rFonts w:hint="default" w:ascii="Times New Roman" w:hAnsi="Times New Roman" w:eastAsia="方正仿宋_GBK" w:cs="Times New Roman"/>
          <w:i w:val="0"/>
          <w:iCs w:val="0"/>
          <w:caps w:val="0"/>
          <w:color w:val="333333"/>
          <w:spacing w:val="0"/>
          <w:sz w:val="32"/>
          <w:szCs w:val="32"/>
          <w:u w:val="none"/>
          <w:shd w:val="clear" w:fill="FFFFFF"/>
        </w:rPr>
        <w:t>万元，比上年增加</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3.39</w:t>
      </w:r>
      <w:r>
        <w:rPr>
          <w:rFonts w:hint="default" w:ascii="Times New Roman" w:hAnsi="Times New Roman" w:eastAsia="方正仿宋_GBK" w:cs="Times New Roman"/>
          <w:i w:val="0"/>
          <w:iCs w:val="0"/>
          <w:caps w:val="0"/>
          <w:color w:val="333333"/>
          <w:spacing w:val="0"/>
          <w:sz w:val="32"/>
          <w:szCs w:val="32"/>
          <w:u w:val="none"/>
          <w:shd w:val="clear" w:fill="FFFFFF"/>
        </w:rPr>
        <w:t>万元，主要原因</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是</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新招录3名参公人员，公用经费有所增加</w:t>
      </w:r>
      <w:r>
        <w:rPr>
          <w:rFonts w:hint="default" w:ascii="Times New Roman" w:hAnsi="Times New Roman" w:eastAsia="方正仿宋_GBK" w:cs="Times New Roman"/>
          <w:i w:val="0"/>
          <w:iCs w:val="0"/>
          <w:caps w:val="0"/>
          <w:color w:val="333333"/>
          <w:spacing w:val="0"/>
          <w:sz w:val="32"/>
          <w:szCs w:val="32"/>
          <w:u w:val="none"/>
          <w:shd w:val="clear" w:fill="FFFFFF"/>
        </w:rPr>
        <w:t>。主要用于办公费、印刷费、邮电费、水电费、物管费、差旅费、会议费、培训费及其他商品和服务支出等。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val="en-US" w:eastAsia="zh-CN"/>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二</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绩效目标设置情况</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县矫正帮教管理服务中心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2024年无项目支出。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三</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政府采购情况</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县矫正帮教管理服务中心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2024年无政府采购支出。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四</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国有资产占有使用情况</w:t>
      </w:r>
      <w:r>
        <w:rPr>
          <w:rFonts w:hint="default" w:ascii="Times New Roman" w:hAnsi="Times New Roman" w:eastAsia="方正仿宋_GBK" w:cs="Times New Roman"/>
          <w:i w:val="0"/>
          <w:iCs w:val="0"/>
          <w:caps w:val="0"/>
          <w:color w:val="333333"/>
          <w:spacing w:val="0"/>
          <w:sz w:val="32"/>
          <w:szCs w:val="32"/>
          <w:u w:val="none"/>
          <w:shd w:val="clear" w:fill="FFFFFF"/>
        </w:rPr>
        <w:t>。截至</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年12月，所属各预算单位共有车辆</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辆，其中一般公务用车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辆、执勤执法用车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年一般公共预算安排购置车辆</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辆，其中一般公务用车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辆、执勤执法用车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六、专业名词解释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shd w:val="clear" w:fill="FFFFFF"/>
        </w:rPr>
        <w:t>（一）财政拨款收入</w:t>
      </w:r>
      <w:r>
        <w:rPr>
          <w:rFonts w:hint="eastAsia" w:ascii="方正仿宋_GBK" w:hAnsi="方正仿宋_GBK" w:eastAsia="方正仿宋_GBK" w:cs="方正仿宋_GBK"/>
          <w:i w:val="0"/>
          <w:iCs w:val="0"/>
          <w:caps w:val="0"/>
          <w:color w:val="333333"/>
          <w:spacing w:val="0"/>
          <w:sz w:val="32"/>
          <w:szCs w:val="32"/>
          <w:shd w:val="clear" w:fill="FFFFFF"/>
        </w:rPr>
        <w:t>：指本年度从本级财政部门取得的财政拨款，包括一般公共预算财政拨款和政府性基金预算财政拨款。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（二）其他收入：</w:t>
      </w:r>
      <w:r>
        <w:rPr>
          <w:rFonts w:hint="default" w:ascii="方正仿宋_GBK" w:hAnsi="方正仿宋_GBK" w:eastAsia="方正仿宋_GBK" w:cs="方正仿宋_GBK"/>
          <w:i w:val="0"/>
          <w:iCs w:val="0"/>
          <w:caps w:val="0"/>
          <w:color w:val="333333"/>
          <w:spacing w:val="0"/>
          <w:sz w:val="32"/>
          <w:szCs w:val="32"/>
          <w:shd w:val="clear" w:fill="FFFFFF"/>
        </w:rPr>
        <w:t>指单位取得的除</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财政拨款收入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事业收入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经营收入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（三）基本支出：</w:t>
      </w:r>
      <w:r>
        <w:rPr>
          <w:rFonts w:hint="default" w:ascii="方正仿宋_GBK" w:hAnsi="方正仿宋_GBK" w:eastAsia="方正仿宋_GBK" w:cs="方正仿宋_GBK"/>
          <w:i w:val="0"/>
          <w:iCs w:val="0"/>
          <w:caps w:val="0"/>
          <w:color w:val="333333"/>
          <w:spacing w:val="0"/>
          <w:sz w:val="32"/>
          <w:szCs w:val="32"/>
          <w:shd w:val="clear" w:fill="FFFFFF"/>
        </w:rPr>
        <w:t>指为保障机构正常运转、完成日常工作任务而发生的人员经费和公用经费。其中：人员经费指政府收支分类经济科目中的</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工资福利支出</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和</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对个人和家庭的补助</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；公用经费指政府收支分类经济科目中除</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工资福利支出</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和</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对个人和家庭的补助</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外的其他支出。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（四）项目支出：</w:t>
      </w:r>
      <w:r>
        <w:rPr>
          <w:rFonts w:hint="default" w:ascii="方正仿宋_GBK" w:hAnsi="方正仿宋_GBK" w:eastAsia="方正仿宋_GBK" w:cs="方正仿宋_GBK"/>
          <w:i w:val="0"/>
          <w:iCs w:val="0"/>
          <w:caps w:val="0"/>
          <w:color w:val="333333"/>
          <w:spacing w:val="0"/>
          <w:sz w:val="32"/>
          <w:szCs w:val="32"/>
          <w:shd w:val="clear" w:fill="FFFFFF"/>
        </w:rPr>
        <w:t>指在基本支出之外为完成特定行政任务和事业发展目标所发生的支出。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shd w:val="clear" w:fill="FFFFFF"/>
        </w:rPr>
        <w:t>（五）经营支出：</w:t>
      </w:r>
      <w:r>
        <w:rPr>
          <w:rFonts w:hint="default" w:ascii="方正仿宋_GBK" w:hAnsi="方正仿宋_GBK" w:eastAsia="方正仿宋_GBK" w:cs="方正仿宋_GBK"/>
          <w:i w:val="0"/>
          <w:iCs w:val="0"/>
          <w:caps w:val="0"/>
          <w:color w:val="333333"/>
          <w:spacing w:val="0"/>
          <w:sz w:val="32"/>
          <w:szCs w:val="32"/>
          <w:shd w:val="clear" w:fill="FFFFFF"/>
        </w:rPr>
        <w:t>指事业单位在专业业务活动及其辅助活动之外开展非独立核算经营活动发生的支出。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（六）“三公”经费：</w:t>
      </w:r>
      <w:r>
        <w:rPr>
          <w:rFonts w:hint="default" w:ascii="方正仿宋_GBK" w:hAnsi="方正仿宋_GBK" w:eastAsia="方正仿宋_GBK" w:cs="方正仿宋_GBK"/>
          <w:i w:val="0"/>
          <w:iCs w:val="0"/>
          <w:caps w:val="0"/>
          <w:color w:val="333333"/>
          <w:spacing w:val="0"/>
          <w:sz w:val="32"/>
          <w:szCs w:val="32"/>
          <w:shd w:val="clear"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（七）机关运行经费：</w:t>
      </w:r>
      <w:r>
        <w:rPr>
          <w:rFonts w:hint="default" w:ascii="方正仿宋_GBK" w:hAnsi="方正仿宋_GBK" w:eastAsia="方正仿宋_GBK" w:cs="方正仿宋_GBK"/>
          <w:i w:val="0"/>
          <w:iCs w:val="0"/>
          <w:caps w:val="0"/>
          <w:color w:val="333333"/>
          <w:spacing w:val="0"/>
          <w:sz w:val="32"/>
          <w:szCs w:val="32"/>
          <w:shd w:val="clear" w:fill="FFFFFF"/>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（八）工资福利支出（支出经济分类科目类级）：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反映单位开支的在职职工和编制外长期聘用人员的各类劳动报酬，以及为上述人员交纳的各项社会保险费等。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（九）商品和服务支出（支出经济分类科目类级）：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反映单位购买商品和服务的支出（不包括用于购置固定资产的支出、战略性和应急储备支出）。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（十）对个人和家庭的补助（支出经济分类科目类级）：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反映用于对个人和家庭的补助支出。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（十一）其他资本性支出（支出经济分类科目类级）：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联系人：田瑶</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联系方式：</w:t>
      </w:r>
      <w:r>
        <w:rPr>
          <w:rFonts w:hint="eastAsia" w:ascii="方正仿宋_GBK" w:hAnsi="方正仿宋_GBK" w:eastAsia="方正仿宋_GBK" w:cs="方正仿宋_GBK"/>
          <w:sz w:val="32"/>
          <w:szCs w:val="32"/>
          <w:lang w:val="en-US" w:eastAsia="zh-CN"/>
        </w:rPr>
        <w:t>023-76685987</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iNDk1ZGVmZWM0ZTEzNDljNDE1ZGFiMTA2ZjQ0NTYifQ=="/>
  </w:docVars>
  <w:rsids>
    <w:rsidRoot w:val="490E5B0E"/>
    <w:rsid w:val="05B4202B"/>
    <w:rsid w:val="07295976"/>
    <w:rsid w:val="0D47753A"/>
    <w:rsid w:val="10EA445F"/>
    <w:rsid w:val="124317D0"/>
    <w:rsid w:val="146C4DD3"/>
    <w:rsid w:val="14D1325F"/>
    <w:rsid w:val="198F6E75"/>
    <w:rsid w:val="1B1625F6"/>
    <w:rsid w:val="1C365209"/>
    <w:rsid w:val="1D87091B"/>
    <w:rsid w:val="2340333C"/>
    <w:rsid w:val="40334E73"/>
    <w:rsid w:val="44AC4783"/>
    <w:rsid w:val="47E12F43"/>
    <w:rsid w:val="490E5B0E"/>
    <w:rsid w:val="4E0D644A"/>
    <w:rsid w:val="5BB170CB"/>
    <w:rsid w:val="5F424B60"/>
    <w:rsid w:val="67C47E6E"/>
    <w:rsid w:val="68480129"/>
    <w:rsid w:val="710F3952"/>
    <w:rsid w:val="71774FB6"/>
    <w:rsid w:val="75400CDC"/>
    <w:rsid w:val="7BAF3E73"/>
    <w:rsid w:val="7F7B0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Emphasis"/>
    <w:basedOn w:val="3"/>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2023-02-25T09:46:00Z</dcterms:created>
  <dc:creator>pc-711</dc:creator>
  <cp:lastModifiedBy>田瑶</cp:lastModifiedBy>
  <dcterms:modified xsi:type="dcterms:W3CDTF">2024-02-02T08:56:12Z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F44D2AF8A2C742C2BD20A5082B04F5CC</vt:lpwstr>
  </property>
</Properties>
</file>