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ind w:right="880"/>
        <w:jc w:val="center"/>
        <w:rPr>
          <w:rFonts w:ascii="方正小标宋_GBK" w:hAnsi="宋体" w:eastAsia="方正小标宋_GBK" w:cs="宋体"/>
          <w:color w:val="000000"/>
          <w:kern w:val="0"/>
          <w:sz w:val="44"/>
          <w:szCs w:val="44"/>
        </w:rPr>
      </w:pPr>
      <w:bookmarkStart w:id="0" w:name="_GoBack"/>
      <w:r>
        <w:rPr>
          <w:rFonts w:hint="eastAsia" w:ascii="方正小标宋_GBK" w:hAnsi="宋体" w:eastAsia="方正小标宋_GBK" w:cs="宋体"/>
          <w:color w:val="000000"/>
          <w:kern w:val="0"/>
          <w:sz w:val="44"/>
          <w:szCs w:val="44"/>
          <w:lang w:eastAsia="zh-CN"/>
        </w:rPr>
        <w:t>秀山县</w:t>
      </w:r>
      <w:r>
        <w:rPr>
          <w:rFonts w:hint="eastAsia" w:ascii="方正小标宋_GBK" w:hAnsi="宋体" w:eastAsia="方正小标宋_GBK" w:cs="宋体"/>
          <w:color w:val="000000"/>
          <w:kern w:val="0"/>
          <w:sz w:val="44"/>
          <w:szCs w:val="44"/>
        </w:rPr>
        <w:t>养老服务领域政务公开标准目录</w:t>
      </w:r>
    </w:p>
    <w:bookmarkEnd w:id="0"/>
    <w:tbl>
      <w:tblPr>
        <w:tblStyle w:val="3"/>
        <w:tblW w:w="13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761"/>
        <w:gridCol w:w="790"/>
        <w:gridCol w:w="1331"/>
        <w:gridCol w:w="3130"/>
        <w:gridCol w:w="597"/>
        <w:gridCol w:w="820"/>
        <w:gridCol w:w="1613"/>
        <w:gridCol w:w="573"/>
        <w:gridCol w:w="535"/>
        <w:gridCol w:w="516"/>
        <w:gridCol w:w="597"/>
        <w:gridCol w:w="516"/>
        <w:gridCol w:w="581"/>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51" w:type="dxa"/>
            <w:vMerge w:val="restart"/>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 号</w:t>
            </w:r>
          </w:p>
        </w:tc>
        <w:tc>
          <w:tcPr>
            <w:tcW w:w="1551" w:type="dxa"/>
            <w:gridSpan w:val="2"/>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1331" w:type="dxa"/>
            <w:vMerge w:val="restart"/>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 xml:space="preserve">(要素)        </w:t>
            </w:r>
          </w:p>
        </w:tc>
        <w:tc>
          <w:tcPr>
            <w:tcW w:w="3130" w:type="dxa"/>
            <w:vMerge w:val="restart"/>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597" w:type="dxa"/>
            <w:vMerge w:val="restart"/>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820" w:type="dxa"/>
            <w:vMerge w:val="restart"/>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1613" w:type="dxa"/>
            <w:vMerge w:val="restart"/>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公开渠道和载体</w:t>
            </w:r>
          </w:p>
        </w:tc>
        <w:tc>
          <w:tcPr>
            <w:tcW w:w="1108" w:type="dxa"/>
            <w:gridSpan w:val="2"/>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1113" w:type="dxa"/>
            <w:gridSpan w:val="2"/>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1729" w:type="dxa"/>
            <w:gridSpan w:val="3"/>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51" w:type="dxa"/>
            <w:vMerge w:val="continue"/>
            <w:vAlign w:val="center"/>
          </w:tcPr>
          <w:p>
            <w:pPr>
              <w:overflowPunct w:val="0"/>
              <w:snapToGrid w:val="0"/>
              <w:jc w:val="left"/>
              <w:rPr>
                <w:rFonts w:ascii="宋体" w:hAnsi="宋体" w:eastAsia="宋体" w:cs="宋体"/>
                <w:b/>
                <w:bCs/>
                <w:color w:val="000000"/>
                <w:kern w:val="0"/>
                <w:sz w:val="18"/>
                <w:szCs w:val="18"/>
              </w:rPr>
            </w:pPr>
          </w:p>
        </w:tc>
        <w:tc>
          <w:tcPr>
            <w:tcW w:w="761" w:type="dxa"/>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   事项</w:t>
            </w:r>
          </w:p>
        </w:tc>
        <w:tc>
          <w:tcPr>
            <w:tcW w:w="790" w:type="dxa"/>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       事项</w:t>
            </w:r>
          </w:p>
        </w:tc>
        <w:tc>
          <w:tcPr>
            <w:tcW w:w="1331" w:type="dxa"/>
            <w:vMerge w:val="continue"/>
            <w:vAlign w:val="center"/>
          </w:tcPr>
          <w:p>
            <w:pPr>
              <w:overflowPunct w:val="0"/>
              <w:snapToGrid w:val="0"/>
              <w:jc w:val="left"/>
              <w:rPr>
                <w:rFonts w:ascii="宋体" w:hAnsi="宋体" w:eastAsia="宋体" w:cs="宋体"/>
                <w:b/>
                <w:bCs/>
                <w:color w:val="000000"/>
                <w:kern w:val="0"/>
                <w:sz w:val="18"/>
                <w:szCs w:val="18"/>
              </w:rPr>
            </w:pPr>
          </w:p>
        </w:tc>
        <w:tc>
          <w:tcPr>
            <w:tcW w:w="3130" w:type="dxa"/>
            <w:vMerge w:val="continue"/>
            <w:vAlign w:val="center"/>
          </w:tcPr>
          <w:p>
            <w:pPr>
              <w:overflowPunct w:val="0"/>
              <w:snapToGrid w:val="0"/>
              <w:jc w:val="left"/>
              <w:rPr>
                <w:rFonts w:ascii="宋体" w:hAnsi="宋体" w:eastAsia="宋体" w:cs="宋体"/>
                <w:b/>
                <w:bCs/>
                <w:color w:val="000000"/>
                <w:kern w:val="0"/>
                <w:sz w:val="18"/>
                <w:szCs w:val="18"/>
              </w:rPr>
            </w:pPr>
          </w:p>
        </w:tc>
        <w:tc>
          <w:tcPr>
            <w:tcW w:w="597" w:type="dxa"/>
            <w:vMerge w:val="continue"/>
            <w:vAlign w:val="center"/>
          </w:tcPr>
          <w:p>
            <w:pPr>
              <w:overflowPunct w:val="0"/>
              <w:snapToGrid w:val="0"/>
              <w:jc w:val="left"/>
              <w:rPr>
                <w:rFonts w:ascii="宋体" w:hAnsi="宋体" w:eastAsia="宋体" w:cs="宋体"/>
                <w:b/>
                <w:bCs/>
                <w:color w:val="000000"/>
                <w:kern w:val="0"/>
                <w:sz w:val="18"/>
                <w:szCs w:val="18"/>
              </w:rPr>
            </w:pPr>
          </w:p>
        </w:tc>
        <w:tc>
          <w:tcPr>
            <w:tcW w:w="820" w:type="dxa"/>
            <w:vMerge w:val="continue"/>
            <w:vAlign w:val="center"/>
          </w:tcPr>
          <w:p>
            <w:pPr>
              <w:overflowPunct w:val="0"/>
              <w:snapToGrid w:val="0"/>
              <w:jc w:val="left"/>
              <w:rPr>
                <w:rFonts w:ascii="宋体" w:hAnsi="宋体" w:eastAsia="宋体" w:cs="宋体"/>
                <w:b/>
                <w:bCs/>
                <w:color w:val="000000"/>
                <w:kern w:val="0"/>
                <w:sz w:val="18"/>
                <w:szCs w:val="18"/>
              </w:rPr>
            </w:pPr>
          </w:p>
        </w:tc>
        <w:tc>
          <w:tcPr>
            <w:tcW w:w="1613" w:type="dxa"/>
            <w:vMerge w:val="continue"/>
            <w:vAlign w:val="center"/>
          </w:tcPr>
          <w:p>
            <w:pPr>
              <w:overflowPunct w:val="0"/>
              <w:snapToGrid w:val="0"/>
              <w:jc w:val="left"/>
              <w:rPr>
                <w:rFonts w:ascii="宋体" w:hAnsi="宋体" w:eastAsia="宋体" w:cs="宋体"/>
                <w:b/>
                <w:bCs/>
                <w:color w:val="000000"/>
                <w:kern w:val="0"/>
                <w:sz w:val="18"/>
                <w:szCs w:val="18"/>
              </w:rPr>
            </w:pPr>
          </w:p>
        </w:tc>
        <w:tc>
          <w:tcPr>
            <w:tcW w:w="573" w:type="dxa"/>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全</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社会</w:t>
            </w:r>
          </w:p>
        </w:tc>
        <w:tc>
          <w:tcPr>
            <w:tcW w:w="535" w:type="dxa"/>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特定群体</w:t>
            </w:r>
          </w:p>
        </w:tc>
        <w:tc>
          <w:tcPr>
            <w:tcW w:w="516" w:type="dxa"/>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tc>
        <w:tc>
          <w:tcPr>
            <w:tcW w:w="597" w:type="dxa"/>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依</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申请</w:t>
            </w:r>
          </w:p>
        </w:tc>
        <w:tc>
          <w:tcPr>
            <w:tcW w:w="516" w:type="dxa"/>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市级</w:t>
            </w:r>
          </w:p>
        </w:tc>
        <w:tc>
          <w:tcPr>
            <w:tcW w:w="581" w:type="dxa"/>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区县级</w:t>
            </w:r>
          </w:p>
        </w:tc>
        <w:tc>
          <w:tcPr>
            <w:tcW w:w="632" w:type="dxa"/>
            <w:shd w:val="clear" w:color="auto" w:fill="auto"/>
            <w:vAlign w:val="center"/>
          </w:tcPr>
          <w:p>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乡镇级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法规政策</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法律法规</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●文件名称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●文号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●发文部门</w:t>
            </w:r>
          </w:p>
        </w:tc>
        <w:tc>
          <w:tcPr>
            <w:tcW w:w="313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●《中华人民共和国老年人权益保障法》                             ●《养老机构管理办法》           ●《重庆市老年人权益保障条例》                        ●《重庆市养老机构管理办法》                ●信息公开规定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制定或获取文件之日起10个工作日内</w:t>
            </w:r>
          </w:p>
        </w:tc>
        <w:tc>
          <w:tcPr>
            <w:tcW w:w="820" w:type="dxa"/>
            <w:shd w:val="clear" w:color="auto" w:fill="auto"/>
            <w:vAlign w:val="center"/>
          </w:tcPr>
          <w:p>
            <w:pPr>
              <w:overflowPunct w:val="0"/>
              <w:snapToGrid w:val="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市民政</w:t>
            </w:r>
            <w:r>
              <w:rPr>
                <w:rFonts w:hint="eastAsia" w:ascii="宋体" w:hAnsi="宋体" w:eastAsia="宋体" w:cs="宋体"/>
                <w:color w:val="000000"/>
                <w:kern w:val="0"/>
                <w:sz w:val="18"/>
                <w:szCs w:val="18"/>
                <w:lang w:eastAsia="zh-CN"/>
              </w:rPr>
              <w:t>局</w:t>
            </w: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8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3"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法规政策</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政策文件</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●文件名称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●文号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●发文部门</w:t>
            </w:r>
          </w:p>
        </w:tc>
        <w:tc>
          <w:tcPr>
            <w:tcW w:w="3130" w:type="dxa"/>
            <w:shd w:val="clear" w:color="auto" w:fill="auto"/>
            <w:vAlign w:val="center"/>
          </w:tcPr>
          <w:p>
            <w:pPr>
              <w:overflowPunct w:val="0"/>
              <w:snapToGrid w:val="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●《国务院办公厅关于全面放开养老服务市场提升养老服务质量的若干意见》                        </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 xml:space="preserve">   ●《国务院办公厅关于推进养老服务发展的意见》                     ●《重庆市人民政府关于加快推进养老服务业发展的意见》              ●《重庆市人民政府办公厅关于全面放开养老服务市场提升养老服务质量的实施意见》                       ●《重庆市人民政府办公厅关于做好制定和实施老年人照顾服务项目工作的通知》                           ●《重庆市人民政府办公厅关于印发重庆市推进养老服务发展实施方案的通知》                             ●《重庆市民政局 重庆市财政局关于印发〈重庆市养老服务市级财政资金管理办法〉的通知》                       ●《重庆市民政局关于贯彻落实新修改的〈中华人民共和国老年人权益保障法〉和〈重庆市养老机构管理办法〉的通知》                           </w:t>
            </w:r>
          </w:p>
          <w:p>
            <w:pPr>
              <w:overflowPunct w:val="0"/>
              <w:snapToGrid w:val="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制定或获取文件之日起10个工作日内</w:t>
            </w:r>
          </w:p>
        </w:tc>
        <w:tc>
          <w:tcPr>
            <w:tcW w:w="82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市民政</w:t>
            </w:r>
            <w:r>
              <w:rPr>
                <w:rFonts w:hint="eastAsia" w:ascii="宋体" w:hAnsi="宋体" w:eastAsia="宋体" w:cs="宋体"/>
                <w:color w:val="000000"/>
                <w:kern w:val="0"/>
                <w:sz w:val="18"/>
                <w:szCs w:val="18"/>
                <w:lang w:eastAsia="zh-CN"/>
              </w:rPr>
              <w:t>局</w:t>
            </w: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8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法规政策</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扶持政策措施清单</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●扶持政策措施名称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●扶持对象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●实施部门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●扶持政策措施内容和标准</w:t>
            </w:r>
          </w:p>
        </w:tc>
        <w:tc>
          <w:tcPr>
            <w:tcW w:w="3130" w:type="dxa"/>
            <w:shd w:val="clear" w:color="auto" w:fill="auto"/>
            <w:vAlign w:val="center"/>
          </w:tcPr>
          <w:p>
            <w:pPr>
              <w:overflowPunct w:val="0"/>
              <w:snapToGrid w:val="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●《财政部 税务总局 发展改革委 民政部 卫生健康委关于养老、托育、家政等社区家庭服务业税费优惠政策的公告》                                                                ●《重庆市人民政府关于加快推进养老服务业发展的意见》                                                              ●《重庆市人民政府办公厅关于全面放开养老服务市场提升养老服务质量的实施意见》                                                                  ●《重庆市人民政府办公厅关于印发重庆市社区养老服务“千百工程”实施方案的通知》                                                          ●《重庆市人民政府办公厅关于印发重庆市社区居家养老服务全覆盖实施方案的通知》                                                              ●《重庆市人民政府办公厅关于印发重庆市推进养老服务发展实施方案的通知》                                                                  ●《重庆市民政局 重庆话四财政局 重庆市卫生健康委员会 重庆市残疾人联合会关于印发老年人照顾服务计划实施方案的通知》                                                                                                   ●《重庆市民政局 重庆市财政局 重庆市卫生健康委员会 重庆市残疾人联合会关于印发失能特困人员集中照护工程实施方案的通知》                                 </w:t>
            </w:r>
          </w:p>
          <w:p>
            <w:pPr>
              <w:overflowPunct w:val="0"/>
              <w:snapToGrid w:val="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制定或获取扶持政策措施之日起10个工作日内</w:t>
            </w:r>
          </w:p>
        </w:tc>
        <w:tc>
          <w:tcPr>
            <w:tcW w:w="82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市民政</w:t>
            </w:r>
            <w:r>
              <w:rPr>
                <w:rFonts w:hint="eastAsia" w:ascii="宋体" w:hAnsi="宋体" w:eastAsia="宋体" w:cs="宋体"/>
                <w:color w:val="000000"/>
                <w:kern w:val="0"/>
                <w:sz w:val="18"/>
                <w:szCs w:val="18"/>
                <w:lang w:eastAsia="zh-CN"/>
              </w:rPr>
              <w:t>局</w:t>
            </w: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8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法规政策</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投资指南</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●本区域养老机构投资环境简介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●养老机构投资审批条件及依据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●养老机构投资审批流程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●养老机构投资审批涉及部门和联系方式</w:t>
            </w:r>
          </w:p>
        </w:tc>
        <w:tc>
          <w:tcPr>
            <w:tcW w:w="313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制定或获取指南之日起10个工作日内</w:t>
            </w:r>
          </w:p>
        </w:tc>
        <w:tc>
          <w:tcPr>
            <w:tcW w:w="820" w:type="dxa"/>
            <w:shd w:val="clear" w:color="auto" w:fill="auto"/>
            <w:vAlign w:val="center"/>
          </w:tcPr>
          <w:p>
            <w:pPr>
              <w:overflowPunct w:val="0"/>
              <w:snapToGrid w:val="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业务办理</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机构备案</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●备案申请材料清单及样式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●备案流程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●办理时限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●办理时间、地点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●咨询电话</w:t>
            </w:r>
          </w:p>
        </w:tc>
        <w:tc>
          <w:tcPr>
            <w:tcW w:w="313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●《中华人民共和国老年人权益保障法》                                                                    ●《重庆市养老机构管理办法》                                                               ●《重庆市民政局关于贯彻落实新修改的〈中华人民共和国老年人权益保障法〉和〈重庆市养老机构管理办法〉的通知》                                                          ●信息公开规定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制定或获取备案政策之日起10个工作日内</w:t>
            </w:r>
          </w:p>
        </w:tc>
        <w:tc>
          <w:tcPr>
            <w:tcW w:w="82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3"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业务办理</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扶持补贴</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●养老服务扶持补贴名称（建设补贴、运营补贴等）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●各项养老服务扶持补贴依据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●各项养老服务扶持补贴对象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●各项养老服务扶持补贴申请条件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●各项养老服务扶持补贴内容和标准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●各项养老服务扶持补贴方式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●补贴申请材料清单及样式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●办理时限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●办理时间、地点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●咨询电话</w:t>
            </w:r>
          </w:p>
        </w:tc>
        <w:tc>
          <w:tcPr>
            <w:tcW w:w="3130" w:type="dxa"/>
            <w:shd w:val="clear" w:color="auto" w:fill="auto"/>
            <w:vAlign w:val="center"/>
          </w:tcPr>
          <w:p>
            <w:pPr>
              <w:overflowPunct w:val="0"/>
              <w:snapToGrid w:val="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●《中华人民共和国老年人权益保障法》                                            ●《重庆市养老机构管理办法》                                      ●《重庆市人民政府关于加快推进养老服务业发展的意见》                          ●《重庆市人民政府办公厅关于全面放开养老服务市场提升养老服务质量的实施意见》                                                    ●《重庆市人民政府办公厅关于印发重庆市社区养老服务“千百工程”实施方案的通知》                                          ●《重庆市人民政府办公厅关于印发重庆市社区居家养老服务全覆盖实施方案的通知》                                        ●《重庆市民政局 重庆市财政局关于印发〈重庆市养老服务市级财政资金管理办法〉的通知》                                                  </w:t>
            </w:r>
          </w:p>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●信息公开规定  </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制定或获取扶持补贴政策之日起10个工作日内</w:t>
            </w:r>
          </w:p>
        </w:tc>
        <w:tc>
          <w:tcPr>
            <w:tcW w:w="82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5"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业务办理</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老年人补贴</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●老年人补贴名称（高龄津贴、养老服务补贴、护理补贴等）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●各项老年人补贴依据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●各项老年人补贴对象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●各项老年人补贴内容和标准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●各项老年人补贴方式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●补贴申请材料清单及格式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●办理时限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●办理时间、地点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●咨询电话</w:t>
            </w:r>
          </w:p>
        </w:tc>
        <w:tc>
          <w:tcPr>
            <w:tcW w:w="3130" w:type="dxa"/>
            <w:shd w:val="clear" w:color="auto" w:fill="auto"/>
            <w:vAlign w:val="center"/>
          </w:tcPr>
          <w:p>
            <w:pPr>
              <w:overflowPunct w:val="0"/>
              <w:snapToGrid w:val="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●《中华人民共和国老年人权益保障法》                              ●《财政部 民政部 全国老龄办关于建立健全经济困难的高龄 失能等老年人补贴制度的通知》                                                                           ●《重庆市老年人权益保障条例》                                 ●《重庆市民政局 重庆市残疾人联合会 重庆市老龄工作委员会办公室 重庆市财政局关于印发〈重庆市经济困难的高龄失能老年人养老服务补贴实施办法〉〈重庆市贫困残疾人生活补贴实施办法〉〈重庆市重度残疾人护理补贴实施办法〉的通知》                                                                                                              </w:t>
            </w:r>
          </w:p>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制定或获取补贴政策之日起10个工作日内</w:t>
            </w:r>
          </w:p>
        </w:tc>
        <w:tc>
          <w:tcPr>
            <w:tcW w:w="82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r>
              <w:rPr>
                <w:rFonts w:hint="eastAsia" w:ascii="宋体" w:hAnsi="宋体" w:eastAsia="宋体" w:cs="宋体"/>
                <w:color w:val="000000"/>
                <w:kern w:val="0"/>
                <w:sz w:val="18"/>
                <w:szCs w:val="18"/>
              </w:rPr>
              <w:t>、乡镇人民政府（街道办事处）</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备案信息</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●本行政区域已备案养老机构案数量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●本行政区域已备案养老机构名称、机构地址、床位数量等基本信息</w:t>
            </w:r>
          </w:p>
        </w:tc>
        <w:tc>
          <w:tcPr>
            <w:tcW w:w="313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●《中华人民共和国老年人权益保障法》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●《养老机构管理办法》            ●《重庆市老年人权益保障条例》                         ●《重庆市养老机构管理办法》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每20个工作日更新</w:t>
            </w:r>
          </w:p>
        </w:tc>
        <w:tc>
          <w:tcPr>
            <w:tcW w:w="820" w:type="dxa"/>
            <w:shd w:val="clear" w:color="auto" w:fill="auto"/>
            <w:vAlign w:val="center"/>
          </w:tcPr>
          <w:p>
            <w:pPr>
              <w:overflowPunct w:val="0"/>
              <w:snapToGrid w:val="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扶持补贴信息</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●本行政区域各项养老服务扶持补贴申请数量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●本行政区域各项养老服务扶持补贴申请审核通过数量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●本行政区域各项养老服务扶持补贴申请审核通过名单及补贴金额</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●本行政区域各项养老服务扶持补贴发放总金额</w:t>
            </w:r>
          </w:p>
        </w:tc>
        <w:tc>
          <w:tcPr>
            <w:tcW w:w="3130" w:type="dxa"/>
            <w:shd w:val="clear" w:color="auto" w:fill="auto"/>
            <w:vAlign w:val="center"/>
          </w:tcPr>
          <w:p>
            <w:pPr>
              <w:overflowPunct w:val="0"/>
              <w:snapToGrid w:val="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●《财政部 税务总局 发展改革委 民政部 卫生健康委关于养老、托育、家政等社区家庭服务业税费优惠政策的公告》                            ●《重庆市人民政府关于加快推进养老服务业发展的意见》               ●《重庆市人民政府办公厅关于全面放开养老服务市场提升养老服务质量的实施意见》                       ●《重庆市人民政府办公厅关于印发重庆市社区养老服务“千百工程”实施方案的通知》                        ●《重庆市人民政府办公厅关于印发重庆市社区居家养老服务全覆盖实施方案的通知》                       ●《重庆市人民政府办公厅关于印发重庆市推进养老服务发展实施方案的通知》                              ●《重庆市民政局 重庆市财政局 重庆市卫生健康委员会 重庆市残疾人联合会关于印发老年人照顾服务计划实施方案的通知》                        ●《重庆市民政局 重庆市财政局 重庆市卫生健康委员会 重庆市残疾人联合会关于印发失能特困人员集中照护工程实施方案的通知》</w:t>
            </w:r>
          </w:p>
          <w:p>
            <w:pPr>
              <w:overflowPunct w:val="0"/>
              <w:snapToGrid w:val="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每20个工作日更新</w:t>
            </w:r>
          </w:p>
        </w:tc>
        <w:tc>
          <w:tcPr>
            <w:tcW w:w="82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p>
        </w:tc>
        <w:tc>
          <w:tcPr>
            <w:tcW w:w="1613"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老年人申领和发放信息</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●本行政区域各项老年人补贴申领数量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●本行政区域各项老年人补贴申领审核通过数量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●本行政区域各项老年人补贴申领审核通过名单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●本行政区域各项老年人补贴发放总金额</w:t>
            </w:r>
          </w:p>
        </w:tc>
        <w:tc>
          <w:tcPr>
            <w:tcW w:w="313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●《中华人民共和国老年人权益保障法》                               ●《财政部 民政部 全国老龄办关于建立健全经济困难的高龄 失能等老年人补贴制度的通知》                   ●《重庆市老年人权益保障条例》                        ●《重庆市民政局 重庆市残疾人联合会 重庆市老龄工作委员会办公室 重庆市财政局关于印发〈重庆市经济困难的高龄失能老年人养老服务补贴实施办法〉〈重庆市贫困残疾人生活补贴实施办法〉〈重庆市重度残疾人护理补贴实施办法〉的通知》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●各地相关政策法规文件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每20个工作日更新</w:t>
            </w:r>
          </w:p>
        </w:tc>
        <w:tc>
          <w:tcPr>
            <w:tcW w:w="82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机构评估信息</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●本行政区域养老机构评估事项（综合评估、标准评定等）申请数量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●本行政区域养老机构评估总体结果（综合评估、标准评估等）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●本行政区域养老机构评估机构清单（综合评估、标准评估等）</w:t>
            </w:r>
          </w:p>
        </w:tc>
        <w:tc>
          <w:tcPr>
            <w:tcW w:w="313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●《养老机构管理办法》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●《养老机构等级划分与评定》（GB/T37276-2018)                      ●《养老机构服务质量基本规范》（GB/T35796-2017）                   ●《重庆市养老机构管理办法》             ●《养老机构等级划分与评定》（DB50/T 908-2019）</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制定或获取评估结果之日起10个工作日内</w:t>
            </w:r>
          </w:p>
        </w:tc>
        <w:tc>
          <w:tcPr>
            <w:tcW w:w="820" w:type="dxa"/>
            <w:shd w:val="clear" w:color="auto" w:fill="auto"/>
            <w:vAlign w:val="center"/>
          </w:tcPr>
          <w:p>
            <w:pPr>
              <w:overflowPunct w:val="0"/>
              <w:snapToGrid w:val="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市民政</w:t>
            </w:r>
            <w:r>
              <w:rPr>
                <w:rFonts w:hint="eastAsia" w:ascii="宋体" w:hAnsi="宋体" w:eastAsia="宋体" w:cs="宋体"/>
                <w:color w:val="000000"/>
                <w:kern w:val="0"/>
                <w:sz w:val="18"/>
                <w:szCs w:val="18"/>
                <w:lang w:eastAsia="zh-CN"/>
              </w:rPr>
              <w:t>局</w:t>
            </w: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8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●行政处罚事项及标准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●行政处罚结果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●行政复议、行政诉讼、监督方式及电话</w:t>
            </w:r>
          </w:p>
        </w:tc>
        <w:tc>
          <w:tcPr>
            <w:tcW w:w="313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●《中华人民共和国老年人权益保障法》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●《中华人民共和国行政强制法》、《中华人民共和国行政处罚法》及其他有关法律、行政法规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●《养老机构管理办法》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●《重庆市老年人权益保障条例》《重庆市养老机构管理办法》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行政处罚决定做出之日起5个工作日内</w:t>
            </w:r>
          </w:p>
        </w:tc>
        <w:tc>
          <w:tcPr>
            <w:tcW w:w="820" w:type="dxa"/>
            <w:shd w:val="clear" w:color="auto" w:fill="auto"/>
            <w:vAlign w:val="center"/>
          </w:tcPr>
          <w:p>
            <w:pPr>
              <w:overflowPunct w:val="0"/>
              <w:snapToGrid w:val="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县民政局</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检查事项及标准、检查结果</w:t>
            </w:r>
          </w:p>
        </w:tc>
        <w:tc>
          <w:tcPr>
            <w:tcW w:w="313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●《中华人民共和国老年人权益保障法》                                ●《养老机构管理办法》               ●《重庆市老年人权益保障条例》                        ●《重庆市养老机构管理办法》                  ●《养老机构服务质量基本规范》（GB/T35796-2017）                                    ●信息公开规定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检查结果做出之日起5个工作日内</w:t>
            </w:r>
          </w:p>
        </w:tc>
        <w:tc>
          <w:tcPr>
            <w:tcW w:w="82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市民政</w:t>
            </w:r>
            <w:r>
              <w:rPr>
                <w:rFonts w:hint="eastAsia" w:ascii="宋体" w:hAnsi="宋体" w:eastAsia="宋体" w:cs="宋体"/>
                <w:color w:val="000000"/>
                <w:kern w:val="0"/>
                <w:sz w:val="18"/>
                <w:szCs w:val="18"/>
                <w:lang w:eastAsia="zh-CN"/>
              </w:rPr>
              <w:t>局</w:t>
            </w: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8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行政奖励</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表彰事项、奖励事项</w:t>
            </w:r>
          </w:p>
        </w:tc>
        <w:tc>
          <w:tcPr>
            <w:tcW w:w="313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●《养老机构管理办法》                       ●《农村五保供养工作条例》                       ●《重庆市养老机构管理办法》                                    ●信息公开规定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获得表彰或奖励结果之日起5个工作日内</w:t>
            </w:r>
          </w:p>
        </w:tc>
        <w:tc>
          <w:tcPr>
            <w:tcW w:w="82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市民政</w:t>
            </w:r>
            <w:r>
              <w:rPr>
                <w:rFonts w:hint="eastAsia" w:ascii="宋体" w:hAnsi="宋体" w:eastAsia="宋体" w:cs="宋体"/>
                <w:color w:val="000000"/>
                <w:kern w:val="0"/>
                <w:sz w:val="18"/>
                <w:szCs w:val="18"/>
                <w:lang w:eastAsia="zh-CN"/>
              </w:rPr>
              <w:t>局</w:t>
            </w: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8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jc w:val="center"/>
        </w:trPr>
        <w:tc>
          <w:tcPr>
            <w:tcW w:w="45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76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79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对养老服务收费项目及标准进行监督管理</w:t>
            </w:r>
          </w:p>
        </w:tc>
        <w:tc>
          <w:tcPr>
            <w:tcW w:w="1331"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监督项目及标准</w:t>
            </w:r>
          </w:p>
        </w:tc>
        <w:tc>
          <w:tcPr>
            <w:tcW w:w="313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●《中华人民共和国老年人权益保障法》                                ●《重庆市老年人权益保障条例》                        ●《重庆市养老机构管理办法》                              ●信息公开规定</w:t>
            </w:r>
          </w:p>
        </w:tc>
        <w:tc>
          <w:tcPr>
            <w:tcW w:w="597"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检查结果做出之日起5个工作日内</w:t>
            </w:r>
          </w:p>
        </w:tc>
        <w:tc>
          <w:tcPr>
            <w:tcW w:w="820" w:type="dxa"/>
            <w:shd w:val="clear" w:color="auto" w:fill="auto"/>
            <w:vAlign w:val="center"/>
          </w:tcPr>
          <w:p>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县民政</w:t>
            </w:r>
            <w:r>
              <w:rPr>
                <w:rFonts w:hint="eastAsia" w:ascii="宋体" w:hAnsi="宋体" w:eastAsia="宋体" w:cs="宋体"/>
                <w:color w:val="000000"/>
                <w:kern w:val="0"/>
                <w:sz w:val="18"/>
                <w:szCs w:val="18"/>
                <w:lang w:eastAsia="zh-CN"/>
              </w:rPr>
              <w:t>局</w:t>
            </w:r>
            <w:r>
              <w:rPr>
                <w:rFonts w:hint="eastAsia" w:ascii="宋体" w:hAnsi="宋体" w:eastAsia="宋体" w:cs="宋体"/>
                <w:color w:val="000000"/>
                <w:kern w:val="0"/>
                <w:sz w:val="18"/>
                <w:szCs w:val="18"/>
              </w:rPr>
              <w:t>、乡镇人民政府（街道办事处）</w:t>
            </w:r>
          </w:p>
        </w:tc>
        <w:tc>
          <w:tcPr>
            <w:tcW w:w="1613" w:type="dxa"/>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1"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2" w:type="dxa"/>
            <w:shd w:val="clear" w:color="auto" w:fill="auto"/>
            <w:vAlign w:val="center"/>
          </w:tcPr>
          <w:p>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sectPr>
      <w:headerReference r:id="rId4" w:type="first"/>
      <w:footerReference r:id="rId7" w:type="first"/>
      <w:footerReference r:id="rId5" w:type="default"/>
      <w:headerReference r:id="rId3" w:type="even"/>
      <w:footerReference r:id="rId6" w:type="even"/>
      <w:pgSz w:w="16838" w:h="11906" w:orient="landscape"/>
      <w:pgMar w:top="1531" w:right="2098" w:bottom="1531" w:left="1985" w:header="851" w:footer="1474" w:gutter="0"/>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mc:AlternateContent>
        <mc:Choice Requires="wps">
          <w:drawing>
            <wp:anchor distT="0" distB="0" distL="114300" distR="114300" simplePos="0" relativeHeight="251660288" behindDoc="0" locked="0" layoutInCell="1" allowOverlap="1">
              <wp:simplePos x="0" y="0"/>
              <wp:positionH relativeFrom="column">
                <wp:posOffset>-843915</wp:posOffset>
              </wp:positionH>
              <wp:positionV relativeFrom="paragraph">
                <wp:posOffset>-666750</wp:posOffset>
              </wp:positionV>
              <wp:extent cx="402590" cy="7239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402590" cy="723900"/>
                      </a:xfrm>
                      <a:prstGeom prst="rect">
                        <a:avLst/>
                      </a:prstGeom>
                      <a:solidFill>
                        <a:srgbClr val="FFFFFF">
                          <a:alpha val="0"/>
                        </a:srgbClr>
                      </a:solidFill>
                      <a:ln w="9525">
                        <a:noFill/>
                      </a:ln>
                    </wps:spPr>
                    <wps:txbx>
                      <w:txbxContent>
                        <w:p>
                          <w:pPr>
                            <w:pStyle w:val="2"/>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23</w:t>
                          </w:r>
                          <w:r>
                            <w:rPr>
                              <w:sz w:val="28"/>
                              <w:szCs w:val="28"/>
                            </w:rPr>
                            <w:fldChar w:fldCharType="end"/>
                          </w:r>
                          <w:r>
                            <w:rPr>
                              <w:sz w:val="28"/>
                              <w:szCs w:val="28"/>
                            </w:rPr>
                            <w:t xml:space="preserve"> —</w:t>
                          </w:r>
                        </w:p>
                      </w:txbxContent>
                    </wps:txbx>
                    <wps:bodyPr vert="eaVert" wrap="none" upright="1">
                      <a:spAutoFit/>
                    </wps:bodyPr>
                  </wps:wsp>
                </a:graphicData>
              </a:graphic>
            </wp:anchor>
          </w:drawing>
        </mc:Choice>
        <mc:Fallback>
          <w:pict>
            <v:shape id="_x0000_s1026" o:spid="_x0000_s1026" o:spt="202" type="#_x0000_t202" style="position:absolute;left:0pt;margin-left:-66.45pt;margin-top:-52.5pt;height:57pt;width:31.7pt;mso-wrap-distance-bottom:0pt;mso-wrap-distance-left:9pt;mso-wrap-distance-right:9pt;mso-wrap-distance-top:0pt;mso-wrap-style:none;z-index:251660288;mso-width-relative:page;mso-height-relative:page;" fillcolor="#FFFFFF" filled="t" stroked="f" coordsize="21600,21600" o:gfxdata="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6w4tA2AAAAAsBAAAPAAAAAAAAAAEAIAAAACIAAABkcnMvZG93bnJldi54bWxQSwECFAAUAAAA&#10;CACHTuJAzlcEFe4BAADQAwAADgAAAAAAAAABACAAAAAnAQAAZHJzL2Uyb0RvYy54bWxQSwUGAAAA&#10;AAYABgBZAQAAhwUAAAAA&#10;">
              <v:fill on="t" opacity="0f" focussize="0,0"/>
              <v:stroke on="f"/>
              <v:imagedata o:title=""/>
              <o:lock v:ext="edit" aspectratio="f"/>
              <v:textbox style="layout-flow:vertical-ideographic;mso-fit-shape-to-text:t;">
                <w:txbxContent>
                  <w:p>
                    <w:pPr>
                      <w:pStyle w:val="2"/>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23</w:t>
                    </w:r>
                    <w:r>
                      <w:rPr>
                        <w:sz w:val="28"/>
                        <w:szCs w:val="28"/>
                      </w:rPr>
                      <w:fldChar w:fldCharType="end"/>
                    </w:r>
                    <w:r>
                      <w:rPr>
                        <w:sz w:val="28"/>
                        <w:szCs w:val="28"/>
                      </w:rPr>
                      <w:t xml:space="preserve"> —</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1312" behindDoc="0" locked="0" layoutInCell="1" allowOverlap="1">
              <wp:simplePos x="0" y="0"/>
              <wp:positionH relativeFrom="column">
                <wp:posOffset>-828675</wp:posOffset>
              </wp:positionH>
              <wp:positionV relativeFrom="paragraph">
                <wp:posOffset>469265</wp:posOffset>
              </wp:positionV>
              <wp:extent cx="402590" cy="72390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402590" cy="723900"/>
                      </a:xfrm>
                      <a:prstGeom prst="rect">
                        <a:avLst/>
                      </a:prstGeom>
                      <a:solidFill>
                        <a:srgbClr val="FFFFFF">
                          <a:alpha val="0"/>
                        </a:srgbClr>
                      </a:solidFill>
                      <a:ln w="9525">
                        <a:noFill/>
                      </a:ln>
                    </wps:spPr>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24</w:t>
                          </w:r>
                          <w:r>
                            <w:rPr>
                              <w:sz w:val="28"/>
                              <w:szCs w:val="28"/>
                            </w:rPr>
                            <w:fldChar w:fldCharType="end"/>
                          </w:r>
                          <w:r>
                            <w:rPr>
                              <w:sz w:val="28"/>
                              <w:szCs w:val="28"/>
                            </w:rPr>
                            <w:t xml:space="preserve"> —</w:t>
                          </w:r>
                        </w:p>
                      </w:txbxContent>
                    </wps:txbx>
                    <wps:bodyPr vert="eaVert" wrap="none" upright="1">
                      <a:spAutoFit/>
                    </wps:bodyPr>
                  </wps:wsp>
                </a:graphicData>
              </a:graphic>
            </wp:anchor>
          </w:drawing>
        </mc:Choice>
        <mc:Fallback>
          <w:pict>
            <v:shape id="_x0000_s1026" o:spid="_x0000_s1026" o:spt="202" type="#_x0000_t202" style="position:absolute;left:0pt;margin-left:-65.25pt;margin-top:36.95pt;height:57pt;width:31.7pt;mso-wrap-distance-bottom:0pt;mso-wrap-distance-left:9pt;mso-wrap-distance-right:9pt;mso-wrap-distance-top:0pt;mso-wrap-style:none;z-index:251661312;mso-width-relative:page;mso-height-relative:page;" fillcolor="#FFFFFF" filled="t" stroked="f" coordsize="21600,21600" o:gfxdata="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FKCE2QAAAAsBAAAPAAAAAAAAAAEAIAAAACIAAABkcnMvZG93bnJldi54bWxQSwECFAAUAAAA&#10;CACHTuJA6dHh7+0BAADQAwAADgAAAAAAAAABACAAAAAoAQAAZHJzL2Uyb0RvYy54bWxQSwUGAAAA&#10;AAYABgBZAQAAhwUAAAAA&#10;">
              <v:fill on="t" opacity="0f" focussize="0,0"/>
              <v:stroke on="f"/>
              <v:imagedata o:title=""/>
              <o:lock v:ext="edit" aspectratio="f"/>
              <v:textbox style="layout-flow:vertical-ideographic;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24</w:t>
                    </w:r>
                    <w:r>
                      <w:rPr>
                        <w:sz w:val="28"/>
                        <w:szCs w:val="28"/>
                      </w:rPr>
                      <w:fldChar w:fldCharType="end"/>
                    </w:r>
                    <w:r>
                      <w:rPr>
                        <w:sz w:val="28"/>
                        <w:szCs w:val="28"/>
                      </w:rPr>
                      <w:t xml:space="preserve"> —</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column">
                <wp:posOffset>-695325</wp:posOffset>
              </wp:positionH>
              <wp:positionV relativeFrom="paragraph">
                <wp:posOffset>421640</wp:posOffset>
              </wp:positionV>
              <wp:extent cx="402590" cy="7239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402590" cy="723900"/>
                      </a:xfrm>
                      <a:prstGeom prst="rect">
                        <a:avLst/>
                      </a:prstGeom>
                      <a:solidFill>
                        <a:srgbClr val="FFFFFF">
                          <a:alpha val="0"/>
                        </a:srgbClr>
                      </a:solidFill>
                      <a:ln w="9525">
                        <a:noFill/>
                      </a:ln>
                    </wps:spPr>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14</w:t>
                          </w:r>
                          <w:r>
                            <w:rPr>
                              <w:sz w:val="28"/>
                              <w:szCs w:val="28"/>
                            </w:rPr>
                            <w:fldChar w:fldCharType="end"/>
                          </w:r>
                          <w:r>
                            <w:rPr>
                              <w:sz w:val="28"/>
                              <w:szCs w:val="28"/>
                            </w:rPr>
                            <w:t xml:space="preserve"> —</w:t>
                          </w:r>
                        </w:p>
                      </w:txbxContent>
                    </wps:txbx>
                    <wps:bodyPr vert="eaVert" wrap="none" upright="1">
                      <a:spAutoFit/>
                    </wps:bodyPr>
                  </wps:wsp>
                </a:graphicData>
              </a:graphic>
            </wp:anchor>
          </w:drawing>
        </mc:Choice>
        <mc:Fallback>
          <w:pict>
            <v:shape id="_x0000_s1026" o:spid="_x0000_s1026" o:spt="202" type="#_x0000_t202" style="position:absolute;left:0pt;margin-left:-54.75pt;margin-top:33.2pt;height:57pt;width:31.7pt;mso-wrap-distance-bottom:0pt;mso-wrap-distance-left:9pt;mso-wrap-distance-right:9pt;mso-wrap-distance-top:0pt;mso-wrap-style:none;z-index:251659264;mso-width-relative:page;mso-height-relative:page;" fillcolor="#FFFFFF" filled="t" stroked="f" coordsize="21600,21600" o:gfxdata="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4xRb9kAAAALAQAADwAAAAAAAAABACAAAAAiAAAAZHJzL2Rvd25yZXYueG1sUEsBAhQAFAAA&#10;AAgAh07iQObbW8HuAQAA0AMAAA4AAAAAAAAAAQAgAAAAKAEAAGRycy9lMm9Eb2MueG1sUEsFBgAA&#10;AAAGAAYAWQEAAIgFAAAAAA==&#10;">
              <v:fill on="t" opacity="0f" focussize="0,0"/>
              <v:stroke on="f"/>
              <v:imagedata o:title=""/>
              <o:lock v:ext="edit" aspectratio="f"/>
              <v:textbox style="layout-flow:vertical-ideographic;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14</w:t>
                    </w:r>
                    <w:r>
                      <w:rPr>
                        <w:sz w:val="28"/>
                        <w:szCs w:val="28"/>
                      </w:rPr>
                      <w:fldChar w:fldCharType="end"/>
                    </w:r>
                    <w:r>
                      <w:rPr>
                        <w:sz w:val="28"/>
                        <w:szCs w:val="28"/>
                      </w:rPr>
                      <w:t xml:space="preserve"> —</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ODAxODhiYWIxYzBjZjk5OTM4N2Y1ZWQ1NWY0MjcifQ=="/>
  </w:docVars>
  <w:rsids>
    <w:rsidRoot w:val="00172A27"/>
    <w:rsid w:val="195D4765"/>
    <w:rsid w:val="2CCD5CCD"/>
    <w:rsid w:val="40680A92"/>
    <w:rsid w:val="49D013B4"/>
    <w:rsid w:val="4DD26D0B"/>
    <w:rsid w:val="52974420"/>
    <w:rsid w:val="59E45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5276</Words>
  <Characters>5346</Characters>
  <Lines>0</Lines>
  <Paragraphs>0</Paragraphs>
  <TotalTime>7</TotalTime>
  <ScaleCrop>false</ScaleCrop>
  <LinksUpToDate>false</LinksUpToDate>
  <CharactersWithSpaces>25558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2020-07-30T07:08:00Z</dcterms:created>
  <dc:creator>Administrator</dc:creator>
  <cp:lastModifiedBy>一只废话篓</cp:lastModifiedBy>
  <dcterms:modified xsi:type="dcterms:W3CDTF">2023-11-06T10:49:17Z</dcterms:modified>
  <dc:title>秀山县养老服务领域政务公开标准目录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4A0EFB9E0C0A41C4B3C73140CC9AF3AF_13</vt:lpwstr>
  </property>
</Properties>
</file>