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320A">
      <w:pPr>
        <w:rPr>
          <w:rFonts w:hint="eastAsia"/>
        </w:rPr>
      </w:pPr>
    </w:p>
    <w:p w14:paraId="31047B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14:paraId="493BE5DC">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秀山土家族苗族自治县发展和改革委员会</w:t>
      </w:r>
      <w:r>
        <w:rPr>
          <w:rFonts w:hint="default" w:ascii="方正小标宋_GBK" w:hAnsi="方正小标宋_GBK" w:eastAsia="方正小标宋_GBK" w:cs="方正小标宋_GBK"/>
          <w:sz w:val="44"/>
          <w:szCs w:val="44"/>
          <w:lang w:val="en-US" w:eastAsia="zh-CN"/>
        </w:rPr>
        <w:t>关于202</w:t>
      </w:r>
      <w:r>
        <w:rPr>
          <w:rFonts w:hint="eastAsia" w:ascii="方正小标宋_GBK" w:hAnsi="方正小标宋_GBK" w:eastAsia="方正小标宋_GBK" w:cs="方正小标宋_GBK"/>
          <w:sz w:val="44"/>
          <w:szCs w:val="44"/>
          <w:lang w:val="en-US" w:eastAsia="zh-CN"/>
        </w:rPr>
        <w:t>3年度</w:t>
      </w:r>
      <w:r>
        <w:rPr>
          <w:rFonts w:hint="default" w:ascii="方正小标宋_GBK" w:hAnsi="方正小标宋_GBK" w:eastAsia="方正小标宋_GBK" w:cs="方正小标宋_GBK"/>
          <w:sz w:val="44"/>
          <w:szCs w:val="44"/>
          <w:lang w:val="en-US" w:eastAsia="zh-CN"/>
        </w:rPr>
        <w:t>法治</w:t>
      </w:r>
      <w:r>
        <w:rPr>
          <w:rFonts w:hint="eastAsia" w:ascii="方正小标宋_GBK" w:hAnsi="方正小标宋_GBK" w:eastAsia="方正小标宋_GBK" w:cs="方正小标宋_GBK"/>
          <w:sz w:val="44"/>
          <w:szCs w:val="44"/>
          <w:lang w:val="en-US" w:eastAsia="zh-CN"/>
        </w:rPr>
        <w:t>政府</w:t>
      </w:r>
      <w:r>
        <w:rPr>
          <w:rFonts w:hint="default" w:ascii="方正小标宋_GBK" w:hAnsi="方正小标宋_GBK" w:eastAsia="方正小标宋_GBK" w:cs="方正小标宋_GBK"/>
          <w:sz w:val="44"/>
          <w:szCs w:val="44"/>
          <w:lang w:val="en-US" w:eastAsia="zh-CN"/>
        </w:rPr>
        <w:t>建设情况报告</w:t>
      </w:r>
    </w:p>
    <w:p w14:paraId="31B585F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_GBK" w:hAnsi="方正小标宋_GBK" w:eastAsia="方正小标宋_GBK" w:cs="方正小标宋_GBK"/>
          <w:sz w:val="44"/>
          <w:szCs w:val="44"/>
        </w:rPr>
      </w:pPr>
    </w:p>
    <w:p w14:paraId="28B5B68C">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县委办公室</w:t>
      </w:r>
      <w:r>
        <w:rPr>
          <w:rFonts w:hint="default" w:ascii="Times New Roman" w:hAnsi="Times New Roman" w:eastAsia="方正仿宋_GBK" w:cs="Times New Roman"/>
          <w:sz w:val="32"/>
          <w:szCs w:val="32"/>
          <w:lang w:val="en-US" w:eastAsia="zh-CN"/>
        </w:rPr>
        <w:t>：</w:t>
      </w:r>
    </w:p>
    <w:p w14:paraId="16A6428B">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年，我委严格按照</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委全面依法治</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委员会的部署安排，始终坚持以习近平新时代中国特色社会主义思想为指导，深学笃用习近平法治思想，全面贯彻党的二十大精神，加快推进政府治理体系和治理能力现代化，法治政府建设取得重要进展。</w:t>
      </w:r>
    </w:p>
    <w:p w14:paraId="43ADF2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630" w:leftChars="0" w:right="0" w:rightChars="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val="en-US" w:eastAsia="zh-CN"/>
        </w:rPr>
        <w:t>工作开展情况</w:t>
      </w:r>
    </w:p>
    <w:p w14:paraId="07BF5D79">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（一）加强组织领导和保障。</w:t>
      </w:r>
      <w:r>
        <w:rPr>
          <w:rFonts w:hint="default" w:ascii="Times New Roman" w:hAnsi="Times New Roman" w:eastAsia="方正仿宋_GBK" w:cs="Times New Roman"/>
          <w:sz w:val="32"/>
          <w:szCs w:val="32"/>
          <w:lang w:val="en-US" w:eastAsia="zh-CN"/>
        </w:rPr>
        <w:t>坚持委党组统一领导、全体职工共同参与的法治建设工作机制，明确工作职责，分解工作任务，采取有力保障，落实法治建设任务。</w:t>
      </w:r>
      <w:r>
        <w:rPr>
          <w:rFonts w:hint="eastAsia" w:ascii="Times New Roman" w:hAnsi="Times New Roman" w:eastAsia="方正仿宋_GBK" w:cs="Times New Roman"/>
          <w:sz w:val="32"/>
          <w:szCs w:val="32"/>
          <w:lang w:val="en-US" w:eastAsia="zh-CN"/>
        </w:rPr>
        <w:t>党组</w:t>
      </w:r>
      <w:r>
        <w:rPr>
          <w:rFonts w:hint="default" w:ascii="Times New Roman" w:hAnsi="Times New Roman" w:eastAsia="方正仿宋_GBK" w:cs="Times New Roman"/>
          <w:sz w:val="32"/>
          <w:szCs w:val="32"/>
          <w:lang w:val="en-US" w:eastAsia="zh-CN"/>
        </w:rPr>
        <w:t>成员按照职责分工，自觉把法治政府建设任务要求融入分管业务工作中，及时解决工作中存在问题，确保法治政府建设责任落实到位。落实法治政府建设工作各项保障，将普法工作经费纳入年度经费预算，结合实际</w:t>
      </w:r>
      <w:r>
        <w:rPr>
          <w:rFonts w:hint="eastAsia" w:ascii="Times New Roman" w:hAnsi="Times New Roman" w:eastAsia="方正仿宋_GBK" w:cs="Times New Roman"/>
          <w:sz w:val="32"/>
          <w:szCs w:val="32"/>
          <w:lang w:val="en-US" w:eastAsia="zh-CN"/>
        </w:rPr>
        <w:t>投入</w:t>
      </w:r>
      <w:r>
        <w:rPr>
          <w:rFonts w:hint="default" w:ascii="Times New Roman" w:hAnsi="Times New Roman" w:eastAsia="方正仿宋_GBK" w:cs="Times New Roman"/>
          <w:sz w:val="32"/>
          <w:szCs w:val="32"/>
          <w:lang w:val="en-US" w:eastAsia="zh-CN"/>
        </w:rPr>
        <w:t>经费支持，确保</w:t>
      </w:r>
      <w:r>
        <w:rPr>
          <w:rFonts w:hint="eastAsia" w:ascii="Times New Roman" w:hAnsi="Times New Roman" w:eastAsia="方正仿宋_GBK" w:cs="Times New Roman"/>
          <w:sz w:val="32"/>
          <w:szCs w:val="32"/>
          <w:lang w:val="en-US" w:eastAsia="zh-CN"/>
        </w:rPr>
        <w:t>法治政府建设</w:t>
      </w:r>
      <w:r>
        <w:rPr>
          <w:rFonts w:hint="default" w:ascii="Times New Roman" w:hAnsi="Times New Roman" w:eastAsia="方正仿宋_GBK" w:cs="Times New Roman"/>
          <w:sz w:val="32"/>
          <w:szCs w:val="32"/>
          <w:lang w:val="en-US" w:eastAsia="zh-CN"/>
        </w:rPr>
        <w:t>各项工作有效开展。</w:t>
      </w:r>
    </w:p>
    <w:p w14:paraId="29BEE0B4">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lang w:val="en-US" w:eastAsia="zh-CN"/>
        </w:rPr>
        <w:t>二</w:t>
      </w:r>
      <w:r>
        <w:rPr>
          <w:rFonts w:hint="default"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lang w:val="en-US" w:eastAsia="zh-CN"/>
        </w:rPr>
        <w:t>落实党政主要负责人法治建设责任。</w:t>
      </w:r>
      <w:r>
        <w:rPr>
          <w:rFonts w:hint="eastAsia" w:ascii="Times New Roman" w:hAnsi="Times New Roman" w:eastAsia="方正仿宋_GBK" w:cs="Times New Roman"/>
          <w:sz w:val="32"/>
          <w:szCs w:val="32"/>
          <w:lang w:val="en-US" w:eastAsia="zh-CN"/>
        </w:rPr>
        <w:t>委机关党组书记作为推进法治政府建设第一责任人，充分发挥党组在推进法治建设中的领导核心作用，全面贯彻落实党中央和市、县关于法治建设的重大决策部署，自觉运用法治思维和法治方式深化改革、推动发展、化解矛盾、维护稳定。对法治建设重要工作亲自部署、重大问题亲自过问、重点环节亲自协调、重要任务亲自督办，将法治建设贯穿到工作的每个方面和每个环节。</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年初召开工作部署会，安排法治政府建设工作，将法治建设纳入年度工作计划，细化工作要求及责任科室。</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健全完善党内法规制度，提高党内法规制度的执行力，严格依法依规决策，及时报备党内规范性文件。</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强化权力制约监督，坚持民主集中制，落实法律顾问制度，涉法问题及各项重大决策，坚持法律顾问参与，发挥法律顾问作用，进行科学论证、法律把关，确保科学决策、民主决策、依法决策。</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带头支持人大、政府、政协、法院、检察院依法依章程履行职能，督促领导班子其他成员和各科室（中心）负责人依法办事。</w:t>
      </w:r>
    </w:p>
    <w:p w14:paraId="52AF5CC7">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（三）严格规范行政执法。</w:t>
      </w:r>
      <w:r>
        <w:rPr>
          <w:rFonts w:hint="eastAsia" w:ascii="Times New Roman" w:hAnsi="Times New Roman" w:eastAsia="方正仿宋_GBK" w:cs="Times New Roman"/>
          <w:sz w:val="32"/>
          <w:szCs w:val="32"/>
          <w:lang w:val="en-US" w:eastAsia="zh-CN"/>
        </w:rPr>
        <w:t>严格按照《中华人民共和国行政处罚法》《中华人民共和国行政强制法》等法律、行政法规规定，规范行政处罚处理程序，实行行政处罚案件和处理案件法制审核制度、行政执法公示制度和全过程记录制度。严格按照要求规范文书制作，未</w:t>
      </w:r>
      <w:r>
        <w:rPr>
          <w:rFonts w:hint="eastAsia" w:ascii="Times New Roman" w:hAnsi="Times New Roman" w:eastAsia="方正仿宋_GBK" w:cs="Times New Roman"/>
          <w:sz w:val="32"/>
          <w:szCs w:val="32"/>
          <w:highlight w:val="none"/>
          <w:lang w:val="en-US" w:eastAsia="zh-CN"/>
        </w:rPr>
        <w:t>经审查或者经审查不合法、不合规的，不予审议或制定出台。</w:t>
      </w:r>
    </w:p>
    <w:p w14:paraId="11604FEF">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highlight w:val="none"/>
          <w:lang w:val="en-US" w:eastAsia="zh-CN"/>
        </w:rPr>
        <w:t>（四）法治建设主要举措及成效。</w:t>
      </w:r>
      <w:r>
        <w:rPr>
          <w:rFonts w:hint="eastAsia" w:ascii="Times New Roman" w:hAnsi="Times New Roman" w:eastAsia="方正仿宋_GBK" w:cs="Times New Roman"/>
          <w:b/>
          <w:bCs/>
          <w:sz w:val="32"/>
          <w:szCs w:val="32"/>
          <w:highlight w:val="none"/>
          <w:lang w:val="en-US" w:eastAsia="zh-CN"/>
        </w:rPr>
        <w:t>一是</w:t>
      </w:r>
      <w:r>
        <w:rPr>
          <w:rFonts w:hint="eastAsia" w:ascii="Times New Roman" w:hAnsi="Times New Roman" w:eastAsia="方正仿宋_GBK" w:cs="Times New Roman"/>
          <w:sz w:val="32"/>
          <w:szCs w:val="32"/>
          <w:highlight w:val="none"/>
          <w:lang w:val="en-US" w:eastAsia="zh-CN"/>
        </w:rPr>
        <w:t>规范政府投资项目管理。贯彻执行《重庆市政府投资管理办法</w:t>
      </w:r>
      <w:r>
        <w:rPr>
          <w:rFonts w:hint="eastAsia" w:ascii="Times New Roman" w:hAnsi="Times New Roman" w:eastAsia="方正仿宋_GBK" w:cs="Times New Roman"/>
          <w:sz w:val="32"/>
          <w:szCs w:val="32"/>
          <w:lang w:val="en-US" w:eastAsia="zh-CN"/>
        </w:rPr>
        <w:t>》，规范政府投资项目建设，充分发挥政府投资作用，严格执行重大投资项目审批的专家论证、风险评估、合法性审查与集体讨论相结合的行政决策程序，确保行政决策的合法性、科学性和民主性。</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强化招投标监管。强化工程建设项目招标文件备案管理，加强对招投标各方主体的业务指导，认真开展工程建设项目招标投标活动监督检查，对发现的违法违规行为依法进行查处，促进招标人依法履行主体责任，进一步保障公平公正。</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3年，我委共查处违法违规案件</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6件，对2家投标人、11名评标专家、1家招标代理机构进行了不良行为信用记分处理，对</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家公司应招未招行为进行了罚款32.05万元的行政处罚。</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加强价格收费监管。按照《重庆市定价目录》，完成对巡游出租车、民办教育收费和川河盖景区门票等执行政府定价的制定和调整；按委托、受理、实物查验、价格调查、价格认定等程序依法、依规做好刑事案件物品价格认定工作；加强对101个重要民生商品日常监测，为全县113家民办幼儿园、33家公共停车场经营者、31家物业企业提供价格服务，及时公示保教费、停车费、物业服务费，切实缓解价费矛盾。</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切实抓好粮食安全监管。将粮食质量安全纳入目标考核，压实乡镇街粮食安全属地责任，加强政策性粮食质量监管，开展各类检查30余家次。开展政策性粮食库存检查督促承储企业严格执行粮食出入库必检项目，委托重庆市粮油质检站对2501吨县级储备粮开展出库质量检验。未经检测合格的粮食严禁纳入政策性粮食储备或流入口粮市场，完成5000吨市级超标粮食处置，确保全部用于饲料加工。</w:t>
      </w:r>
      <w:r>
        <w:rPr>
          <w:rFonts w:hint="eastAsia" w:ascii="Times New Roman" w:hAnsi="Times New Roman" w:eastAsia="方正仿宋_GBK" w:cs="Times New Roman"/>
          <w:b/>
          <w:bCs/>
          <w:sz w:val="32"/>
          <w:szCs w:val="32"/>
          <w:lang w:val="en-US" w:eastAsia="zh-CN"/>
        </w:rPr>
        <w:t>五是</w:t>
      </w:r>
      <w:r>
        <w:rPr>
          <w:rFonts w:hint="eastAsia" w:ascii="Times New Roman" w:hAnsi="Times New Roman" w:eastAsia="方正仿宋_GBK" w:cs="Times New Roman"/>
          <w:sz w:val="32"/>
          <w:szCs w:val="32"/>
          <w:lang w:val="en-US" w:eastAsia="zh-CN"/>
        </w:rPr>
        <w:t>加强人防工程建设管理。加大异地建设费的征收力度和管理力度，做到“应建必建，应收必收”，2023年累计批建防空地下室项目29个，征收人防易地建设费433.79万元，对在建设工程质量监督，开展竣工工程巡查检查，对已竣工的11个人防工程开展安全排查行动，为我县国防动员系统营造一个安全稳定的环境。</w:t>
      </w:r>
      <w:r>
        <w:rPr>
          <w:rFonts w:hint="eastAsia" w:ascii="Times New Roman" w:hAnsi="Times New Roman" w:eastAsia="方正仿宋_GBK" w:cs="Times New Roman"/>
          <w:b/>
          <w:bCs/>
          <w:sz w:val="32"/>
          <w:szCs w:val="32"/>
          <w:lang w:val="en-US" w:eastAsia="zh-CN"/>
        </w:rPr>
        <w:t>六是</w:t>
      </w:r>
      <w:r>
        <w:rPr>
          <w:rFonts w:hint="eastAsia" w:ascii="Times New Roman" w:hAnsi="Times New Roman" w:eastAsia="方正仿宋_GBK" w:cs="Times New Roman"/>
          <w:sz w:val="32"/>
          <w:szCs w:val="32"/>
          <w:lang w:val="en-US" w:eastAsia="zh-CN"/>
        </w:rPr>
        <w:t>深入推进“双随机、一公开”监管。</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3年组织开展双随机联合抽查</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项，对抽取的2家工程咨询单位、</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家招标代理机构，针对备案信息一致性情况、开展业务遵守法律法规情况等事项开展专项抽查，整个过程规范有序、全程留痕，并将检查结果在国家企业信用信息公示系统进行公示公开。</w:t>
      </w:r>
      <w:r>
        <w:rPr>
          <w:rFonts w:hint="eastAsia" w:ascii="Times New Roman" w:hAnsi="Times New Roman" w:eastAsia="方正仿宋_GBK" w:cs="Times New Roman"/>
          <w:b/>
          <w:bCs/>
          <w:sz w:val="32"/>
          <w:szCs w:val="32"/>
          <w:lang w:val="en-US" w:eastAsia="zh-CN"/>
        </w:rPr>
        <w:t>七是</w:t>
      </w:r>
      <w:r>
        <w:rPr>
          <w:rFonts w:hint="eastAsia" w:ascii="Times New Roman" w:hAnsi="Times New Roman" w:eastAsia="方正仿宋_GBK" w:cs="Times New Roman"/>
          <w:sz w:val="32"/>
          <w:szCs w:val="32"/>
          <w:lang w:val="en-US" w:eastAsia="zh-CN"/>
        </w:rPr>
        <w:t>合理合法做好信访稳定工作。依法受理并及时答复“互联网</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政务”、市政府公开信箱、信访信息系统、掌上信访和网络问政等网上信访案件，2023年共收到并受理9起信访案件，均按时办结完成，办结率</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bCs/>
          <w:sz w:val="32"/>
          <w:szCs w:val="32"/>
          <w:lang w:val="en-US" w:eastAsia="zh-CN"/>
        </w:rPr>
        <w:t>八是</w:t>
      </w:r>
      <w:r>
        <w:rPr>
          <w:rFonts w:hint="eastAsia" w:ascii="Times New Roman" w:hAnsi="Times New Roman" w:eastAsia="方正仿宋_GBK" w:cs="Times New Roman"/>
          <w:sz w:val="32"/>
          <w:szCs w:val="32"/>
          <w:lang w:val="en-US" w:eastAsia="zh-CN"/>
        </w:rPr>
        <w:t>加强队伍建设。加强基层法治工作机构和队伍建设，完善体制建设，提升法治建设能力，统一组织全体行政执法人员参加法律知识培训、网上学法培训，不断提升行政执法人员素质和能力，积极报名参与县内组织的年度行政执法资格通用法律知识培训学习，通过培训、考试新申领行政执法人员执法证11人。</w:t>
      </w:r>
      <w:r>
        <w:rPr>
          <w:rFonts w:hint="eastAsia" w:ascii="Times New Roman" w:hAnsi="Times New Roman" w:eastAsia="方正仿宋_GBK" w:cs="Times New Roman"/>
          <w:b/>
          <w:bCs/>
          <w:sz w:val="32"/>
          <w:szCs w:val="32"/>
          <w:lang w:val="en-US" w:eastAsia="zh-CN"/>
        </w:rPr>
        <w:t>九是</w:t>
      </w:r>
      <w:r>
        <w:rPr>
          <w:rFonts w:hint="eastAsia" w:ascii="Times New Roman" w:hAnsi="Times New Roman" w:eastAsia="方正仿宋_GBK" w:cs="Times New Roman"/>
          <w:sz w:val="32"/>
          <w:szCs w:val="32"/>
          <w:lang w:val="en-US" w:eastAsia="zh-CN"/>
        </w:rPr>
        <w:t>加强政务信息公开。按照深化政务公开、加强政务服务的总体要求，推进行政权力运行程序化和透明化。持续做好政府信息依申请公开，畅通依申请公开渠道，及时将全委的概况、法规文件、工作动态、人事信息、行政执法、公共服务等信息在网上公开发布，依法保障群众的知情权和监督权。</w:t>
      </w:r>
      <w:r>
        <w:rPr>
          <w:rFonts w:hint="eastAsia" w:ascii="Times New Roman" w:hAnsi="Times New Roman" w:eastAsia="方正仿宋_GBK" w:cs="Times New Roman"/>
          <w:b/>
          <w:bCs/>
          <w:sz w:val="32"/>
          <w:szCs w:val="32"/>
          <w:lang w:val="en-US" w:eastAsia="zh-CN"/>
        </w:rPr>
        <w:t>十是</w:t>
      </w:r>
      <w:r>
        <w:rPr>
          <w:rFonts w:hint="eastAsia" w:ascii="Times New Roman" w:hAnsi="Times New Roman" w:eastAsia="方正仿宋_GBK" w:cs="Times New Roman"/>
          <w:sz w:val="32"/>
          <w:szCs w:val="32"/>
          <w:lang w:val="en-US" w:eastAsia="zh-CN"/>
        </w:rPr>
        <w:t>注重法治宣传。持续开展“八五”普法活动，有效推进普法宣传教育工作的开展，发放宣传资料，提升群众对相关政策法规的了解。开展“以案四说”警示教育，推进以案促改、以案促治工作，以典型的案例开展相关法律法规的主题学习宣传活动。积极组织开展“12·4”国家宪法日暨法治宣传月宣传活动，采用微信、视频展播、网上答题等多种形式开展各类普法活动，落实“谁执法谁普法”普法责任制，进一步明确各相关业务科室的普法职责。</w:t>
      </w:r>
    </w:p>
    <w:p w14:paraId="4BB20F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630" w:leftChars="0" w:right="0" w:rightChars="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二、2022年推进法治政府建设存在的不足和原因</w:t>
      </w:r>
    </w:p>
    <w:p w14:paraId="4089FE94">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我委在推进法治政府建设工作上取得一定成效，但也存在一些问题和不足，主要体现在：</w:t>
      </w:r>
    </w:p>
    <w:p w14:paraId="56F18F54">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（一）法治学习的深度有待加强。</w:t>
      </w:r>
      <w:r>
        <w:rPr>
          <w:rFonts w:hint="eastAsia" w:ascii="Times New Roman" w:hAnsi="Times New Roman" w:eastAsia="方正仿宋_GBK" w:cs="Times New Roman"/>
          <w:sz w:val="32"/>
          <w:szCs w:val="32"/>
          <w:lang w:val="en-US" w:eastAsia="zh-CN"/>
        </w:rPr>
        <w:t>虽然每年度将法治学习纳入学习计划并扎实开展学习，但是在学习的深度上仍有欠缺，学习内容的安排还不够系统，对法治思维的培养还有不足。</w:t>
      </w:r>
    </w:p>
    <w:p w14:paraId="17212D2D">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（二）依法行政意识还有欠缺。</w:t>
      </w:r>
      <w:r>
        <w:rPr>
          <w:rFonts w:hint="eastAsia" w:ascii="Times New Roman" w:hAnsi="Times New Roman" w:eastAsia="方正仿宋_GBK" w:cs="Times New Roman"/>
          <w:sz w:val="32"/>
          <w:szCs w:val="32"/>
          <w:lang w:val="en-US" w:eastAsia="zh-CN"/>
        </w:rPr>
        <w:t>部分执法人员对全面推进法治政府建设工作的重要性认识不足，运用法治思维和法治方式解决问题的能力还有待提高，依法行政能力还需进一步提升。</w:t>
      </w:r>
    </w:p>
    <w:p w14:paraId="31C018BF">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（三）普法宣传形式较为单一。</w:t>
      </w:r>
      <w:r>
        <w:rPr>
          <w:rFonts w:hint="eastAsia" w:ascii="Times New Roman" w:hAnsi="Times New Roman" w:eastAsia="方正仿宋_GBK" w:cs="Times New Roman"/>
          <w:sz w:val="32"/>
          <w:szCs w:val="32"/>
          <w:lang w:val="en-US" w:eastAsia="zh-CN"/>
        </w:rPr>
        <w:t>由于普法力量不足，普法培训主要按工作计划部署展开，宣传形式主要是灌输式，互动式、沉浸式普法较少，宣传内容主要以法律法规条文为主，以案释法等方式较少，宣传工作形式不够丰富，宣传手段创新性还有待提高。</w:t>
      </w:r>
    </w:p>
    <w:p w14:paraId="6ABD052D">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（四）运用法治思维和法治方式处理问题的能力不足。</w:t>
      </w:r>
      <w:r>
        <w:rPr>
          <w:rFonts w:hint="eastAsia" w:ascii="Times New Roman" w:hAnsi="Times New Roman" w:eastAsia="方正仿宋_GBK" w:cs="Times New Roman"/>
          <w:sz w:val="32"/>
          <w:szCs w:val="32"/>
          <w:lang w:val="en-US" w:eastAsia="zh-CN"/>
        </w:rPr>
        <w:t>部分干部职工对法律学习的针对性和实用性还不够强，还需进一步提升法治思维能力，自觉在法治轨道上运用法治思维和法治方式深化改革、推动发展、化解矛盾、维护稳定。</w:t>
      </w:r>
    </w:p>
    <w:p w14:paraId="14C2A4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630" w:leftChars="0" w:right="0" w:rightChars="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三、2024年推进法治政府建设的工作思路目标举措</w:t>
      </w:r>
    </w:p>
    <w:p w14:paraId="5CB2497B">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（一）以政治建设筑牢信念。</w:t>
      </w:r>
      <w:r>
        <w:rPr>
          <w:rFonts w:hint="eastAsia" w:ascii="Times New Roman" w:hAnsi="Times New Roman" w:eastAsia="方正仿宋_GBK" w:cs="Times New Roman"/>
          <w:sz w:val="32"/>
          <w:szCs w:val="32"/>
          <w:lang w:val="en-US" w:eastAsia="zh-CN"/>
        </w:rPr>
        <w:t>全面贯彻落实党的二十大精神，忠诚拥护“两个确立”，增强“四个意识”、坚定“四个自信”、做到“两个维护”，牢记“三个务必”，不折不扣贯彻落实党中央决策部署和市委、县委工作要求。严格落实意识形态工作责任制，严守政治纪律和政治规矩持续营造和巩固风清气正的良好政治生态。</w:t>
      </w:r>
    </w:p>
    <w:p w14:paraId="6EEE3D3C">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（二）以法治建设夯实基础。</w:t>
      </w:r>
      <w:r>
        <w:rPr>
          <w:rFonts w:hint="eastAsia" w:ascii="Times New Roman" w:hAnsi="Times New Roman" w:eastAsia="方正仿宋_GBK" w:cs="Times New Roman"/>
          <w:sz w:val="32"/>
          <w:szCs w:val="32"/>
          <w:lang w:val="en-US" w:eastAsia="zh-CN"/>
        </w:rPr>
        <w:t>深学笃用习近平法治思想，坚持党委理论学习中心组、行政办公会集体学法制度。全面推进依法行政，依法接受人大法律监督和工作监督，自觉接受舆论监督和社会监督，认真办理人大代表建议和政协提案。发挥公证、人民调解、法律顾问、“法律明白人”等作用，进一步深化自治、法治、德治“三治结合”建设，妥善处置政府涉法涉诉问题。</w:t>
      </w:r>
    </w:p>
    <w:p w14:paraId="3EE202EC">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（三）以人民立场服务群众。</w:t>
      </w:r>
      <w:r>
        <w:rPr>
          <w:rFonts w:hint="eastAsia" w:ascii="Times New Roman" w:hAnsi="Times New Roman" w:eastAsia="方正仿宋_GBK" w:cs="Times New Roman"/>
          <w:sz w:val="32"/>
          <w:szCs w:val="32"/>
          <w:lang w:val="en-US" w:eastAsia="zh-CN"/>
        </w:rPr>
        <w:t>持续开展民法典、12·4宪法宣传教育活动，围绕就业、教育、生态环保、安全等方面法律法规开展法治宣传教育，使群众切实感受到“法在身边”。落实行政执法体制改革，强化柔性执法、文明执法。依法落实政务公开，完善村（社区）、机关科室权责清单，推进“互联网＋政务服务”，加快实现便民服务事项“一窗综办、一网通办”。</w:t>
      </w:r>
    </w:p>
    <w:p w14:paraId="308368CE">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（四）以清正廉洁贯穿始终。</w:t>
      </w:r>
      <w:r>
        <w:rPr>
          <w:rFonts w:hint="eastAsia" w:ascii="Times New Roman" w:hAnsi="Times New Roman" w:eastAsia="方正仿宋_GBK" w:cs="Times New Roman"/>
          <w:sz w:val="32"/>
          <w:szCs w:val="32"/>
          <w:lang w:val="en-US" w:eastAsia="zh-CN"/>
        </w:rPr>
        <w:t>加强政府系统党风廉政建设和反腐败斗争，聚焦工程建设、征地拆迁、财政支出等重点领域，坚决整治群众身边腐败问题。落实过“紧日子”要求，坚持项目县定原则，强化预算执行刚性约束，加强内部审计。深化拓展“以案促改”“以案促治”，积极营造风清气正良好政治生态。</w:t>
      </w:r>
    </w:p>
    <w:p w14:paraId="4608B6C6">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p>
    <w:p w14:paraId="43D5F671">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p>
    <w:p w14:paraId="64F5F773">
      <w:pPr>
        <w:keepNext w:val="0"/>
        <w:keepLines w:val="0"/>
        <w:pageBreakBefore w:val="0"/>
        <w:widowControl w:val="0"/>
        <w:kinsoku/>
        <w:wordWrap/>
        <w:overflowPunct/>
        <w:topLinePunct w:val="0"/>
        <w:autoSpaceDE/>
        <w:autoSpaceDN/>
        <w:bidi w:val="0"/>
        <w:adjustRightInd/>
        <w:snapToGrid/>
        <w:spacing w:line="480" w:lineRule="exact"/>
        <w:ind w:right="0" w:rightChars="0" w:firstLine="2240" w:firstLineChars="7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秀山土家族苗族自治县发展和改革委员会</w:t>
      </w:r>
    </w:p>
    <w:p w14:paraId="1AD8CE2F">
      <w:pPr>
        <w:keepNext w:val="0"/>
        <w:keepLines w:val="0"/>
        <w:pageBreakBefore w:val="0"/>
        <w:widowControl w:val="0"/>
        <w:kinsoku/>
        <w:wordWrap/>
        <w:overflowPunct/>
        <w:topLinePunct w:val="0"/>
        <w:autoSpaceDE/>
        <w:autoSpaceDN/>
        <w:bidi w:val="0"/>
        <w:adjustRightInd/>
        <w:snapToGrid/>
        <w:spacing w:line="480" w:lineRule="exact"/>
        <w:ind w:right="0" w:rightChars="0" w:firstLine="4480" w:firstLineChars="1400"/>
        <w:jc w:val="lef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p>
    <w:p w14:paraId="40E96AE0">
      <w:pPr>
        <w:pStyle w:val="2"/>
        <w:jc w:val="both"/>
        <w:rPr>
          <w:rFonts w:hint="eastAsia"/>
          <w:lang w:val="en-US" w:eastAsia="zh-CN"/>
        </w:rPr>
      </w:pPr>
    </w:p>
    <w:p w14:paraId="02950ED2">
      <w:pPr>
        <w:rPr>
          <w:rFonts w:hint="eastAsia"/>
          <w:lang w:val="en-US" w:eastAsia="zh-CN"/>
        </w:rPr>
      </w:pPr>
    </w:p>
    <w:p w14:paraId="7B4BF7E9">
      <w:pPr>
        <w:rPr>
          <w:rFonts w:hint="eastAsia"/>
          <w:lang w:val="en-US" w:eastAsia="zh-CN"/>
        </w:rPr>
      </w:pPr>
    </w:p>
    <w:p w14:paraId="03381178">
      <w:pPr>
        <w:pStyle w:val="2"/>
        <w:jc w:val="both"/>
        <w:rPr>
          <w:rFonts w:hint="eastAsia"/>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黑体_GBK">
    <w:panose1 w:val="0201060001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604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E8F27">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1E8F27">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003DE"/>
    <w:rsid w:val="0335761E"/>
    <w:rsid w:val="0443260D"/>
    <w:rsid w:val="051C76D4"/>
    <w:rsid w:val="059F523A"/>
    <w:rsid w:val="06391DC1"/>
    <w:rsid w:val="0730223F"/>
    <w:rsid w:val="08081CEB"/>
    <w:rsid w:val="082537E6"/>
    <w:rsid w:val="08314E1F"/>
    <w:rsid w:val="08CE587B"/>
    <w:rsid w:val="0ADD07EB"/>
    <w:rsid w:val="0BF16250"/>
    <w:rsid w:val="0C054832"/>
    <w:rsid w:val="0C757831"/>
    <w:rsid w:val="0EFD38D5"/>
    <w:rsid w:val="0FC7275D"/>
    <w:rsid w:val="0FE7427B"/>
    <w:rsid w:val="11F71F83"/>
    <w:rsid w:val="12A17E9A"/>
    <w:rsid w:val="14324409"/>
    <w:rsid w:val="143C6AEE"/>
    <w:rsid w:val="14B73663"/>
    <w:rsid w:val="151F3329"/>
    <w:rsid w:val="153222B6"/>
    <w:rsid w:val="16487E05"/>
    <w:rsid w:val="167C0EC9"/>
    <w:rsid w:val="169633A4"/>
    <w:rsid w:val="1816275A"/>
    <w:rsid w:val="184B5658"/>
    <w:rsid w:val="18AB06F1"/>
    <w:rsid w:val="19112886"/>
    <w:rsid w:val="192D28EF"/>
    <w:rsid w:val="196D4C06"/>
    <w:rsid w:val="1A311AE9"/>
    <w:rsid w:val="1B3474D3"/>
    <w:rsid w:val="1B410D94"/>
    <w:rsid w:val="1B5E2FDE"/>
    <w:rsid w:val="1C150842"/>
    <w:rsid w:val="1CCC2CAE"/>
    <w:rsid w:val="1DD86DE7"/>
    <w:rsid w:val="1FA9655C"/>
    <w:rsid w:val="1FB959C6"/>
    <w:rsid w:val="2105490C"/>
    <w:rsid w:val="210C5A4F"/>
    <w:rsid w:val="212D101F"/>
    <w:rsid w:val="227B5480"/>
    <w:rsid w:val="229D1269"/>
    <w:rsid w:val="23183D46"/>
    <w:rsid w:val="23252341"/>
    <w:rsid w:val="24616998"/>
    <w:rsid w:val="24BB1A36"/>
    <w:rsid w:val="24CF18CD"/>
    <w:rsid w:val="25DD60B9"/>
    <w:rsid w:val="27D802C7"/>
    <w:rsid w:val="27F30605"/>
    <w:rsid w:val="28F51A11"/>
    <w:rsid w:val="295E0DD2"/>
    <w:rsid w:val="295F12D3"/>
    <w:rsid w:val="29F971CD"/>
    <w:rsid w:val="2B395CEA"/>
    <w:rsid w:val="2B4A33D7"/>
    <w:rsid w:val="2C2228D5"/>
    <w:rsid w:val="2DE37DBE"/>
    <w:rsid w:val="2F770C1E"/>
    <w:rsid w:val="315F20C4"/>
    <w:rsid w:val="31FE4C71"/>
    <w:rsid w:val="32936FE3"/>
    <w:rsid w:val="32AE10DB"/>
    <w:rsid w:val="34AF3E0A"/>
    <w:rsid w:val="34BD1A8D"/>
    <w:rsid w:val="362227E4"/>
    <w:rsid w:val="36994AD0"/>
    <w:rsid w:val="36CC710D"/>
    <w:rsid w:val="387632E2"/>
    <w:rsid w:val="38F26BD8"/>
    <w:rsid w:val="395A2B5A"/>
    <w:rsid w:val="3AC8570E"/>
    <w:rsid w:val="3BB64E4B"/>
    <w:rsid w:val="3CA453BF"/>
    <w:rsid w:val="3D1D2DBD"/>
    <w:rsid w:val="3DF53552"/>
    <w:rsid w:val="3E1D302B"/>
    <w:rsid w:val="3E2E6752"/>
    <w:rsid w:val="3ED8263A"/>
    <w:rsid w:val="3F2624D3"/>
    <w:rsid w:val="401932DA"/>
    <w:rsid w:val="402E6912"/>
    <w:rsid w:val="40862CCC"/>
    <w:rsid w:val="43052F84"/>
    <w:rsid w:val="436A2A76"/>
    <w:rsid w:val="43DC5578"/>
    <w:rsid w:val="446449BD"/>
    <w:rsid w:val="450C7C7A"/>
    <w:rsid w:val="45DD53AE"/>
    <w:rsid w:val="47400B58"/>
    <w:rsid w:val="47BC4705"/>
    <w:rsid w:val="49074623"/>
    <w:rsid w:val="49301F15"/>
    <w:rsid w:val="49453CF3"/>
    <w:rsid w:val="4A3215AB"/>
    <w:rsid w:val="4A736127"/>
    <w:rsid w:val="4A7F55D9"/>
    <w:rsid w:val="4AE214DB"/>
    <w:rsid w:val="4B087577"/>
    <w:rsid w:val="4C2F4180"/>
    <w:rsid w:val="4D8C7074"/>
    <w:rsid w:val="4E72642D"/>
    <w:rsid w:val="4EC36C28"/>
    <w:rsid w:val="4FA5304B"/>
    <w:rsid w:val="50EE5EA7"/>
    <w:rsid w:val="51076E84"/>
    <w:rsid w:val="522369A2"/>
    <w:rsid w:val="525C02A2"/>
    <w:rsid w:val="529E5784"/>
    <w:rsid w:val="52A64E6D"/>
    <w:rsid w:val="52F663DC"/>
    <w:rsid w:val="533E4E84"/>
    <w:rsid w:val="539E293B"/>
    <w:rsid w:val="543803F2"/>
    <w:rsid w:val="56735647"/>
    <w:rsid w:val="56B34BC2"/>
    <w:rsid w:val="56EE7815"/>
    <w:rsid w:val="57081194"/>
    <w:rsid w:val="58A00DB1"/>
    <w:rsid w:val="594E6011"/>
    <w:rsid w:val="5A175410"/>
    <w:rsid w:val="5AD65D9E"/>
    <w:rsid w:val="5B19309C"/>
    <w:rsid w:val="5B4A05DC"/>
    <w:rsid w:val="5C32600D"/>
    <w:rsid w:val="5E523999"/>
    <w:rsid w:val="5E6A2213"/>
    <w:rsid w:val="615A712C"/>
    <w:rsid w:val="61C75345"/>
    <w:rsid w:val="61CF20BF"/>
    <w:rsid w:val="62724C85"/>
    <w:rsid w:val="62B75C56"/>
    <w:rsid w:val="62CB4A75"/>
    <w:rsid w:val="63351D3D"/>
    <w:rsid w:val="636005A0"/>
    <w:rsid w:val="63DF264C"/>
    <w:rsid w:val="644432D3"/>
    <w:rsid w:val="65AE3524"/>
    <w:rsid w:val="6619429F"/>
    <w:rsid w:val="691F324E"/>
    <w:rsid w:val="69812E0F"/>
    <w:rsid w:val="6B761D7F"/>
    <w:rsid w:val="6BB76E51"/>
    <w:rsid w:val="6CF434F3"/>
    <w:rsid w:val="6D2F6B44"/>
    <w:rsid w:val="6E735284"/>
    <w:rsid w:val="6FF63462"/>
    <w:rsid w:val="712324E3"/>
    <w:rsid w:val="72791584"/>
    <w:rsid w:val="72CB441F"/>
    <w:rsid w:val="72ED5CA4"/>
    <w:rsid w:val="734A0166"/>
    <w:rsid w:val="735E705A"/>
    <w:rsid w:val="739E6014"/>
    <w:rsid w:val="73EF7E46"/>
    <w:rsid w:val="74272CD2"/>
    <w:rsid w:val="74334B04"/>
    <w:rsid w:val="754D6FB2"/>
    <w:rsid w:val="756B3C4D"/>
    <w:rsid w:val="76324C5A"/>
    <w:rsid w:val="78687859"/>
    <w:rsid w:val="79815839"/>
    <w:rsid w:val="7A0B78B2"/>
    <w:rsid w:val="7AE9149E"/>
    <w:rsid w:val="7B8541DC"/>
    <w:rsid w:val="7C30143D"/>
    <w:rsid w:val="7D465416"/>
    <w:rsid w:val="7E486C0B"/>
    <w:rsid w:val="7E7D6707"/>
    <w:rsid w:val="7F15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3522</Words>
  <Characters>3590</Characters>
  <Lines>0</Lines>
  <Paragraphs>0</Paragraphs>
  <TotalTime>9</TotalTime>
  <ScaleCrop>false</ScaleCrop>
  <LinksUpToDate>false</LinksUpToDate>
  <CharactersWithSpaces>3760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~~稔语草熙</cp:lastModifiedBy>
  <cp:lastPrinted>2023-11-01T07:25:00Z</cp:lastPrinted>
  <dcterms:modified xsi:type="dcterms:W3CDTF">2025-07-11T02:53:03Z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eyJoZGlkIjoiZTNiMmJjMGUyMDNhMGI0MjllZTc4OTE3ODRjOTBjMWQiLCJ1c2VySWQiOiIyOTYxNzA4NjQifQ==</vt:lpwstr>
  </property>
  <property fmtid="{D5CDD505-2E9C-101B-9397-08002B2CF9AE}" pid="4" name="ICV">
    <vt:lpwstr>FFDAD3D1F78447E29A9C45970D1D7D27_12</vt:lpwstr>
  </property>
</Properties>
</file>