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both"/>
        <w:textAlignment w:val="auto"/>
        <w:rPr>
          <w:rFonts w:ascii="方正小标宋_GBK" w:hAnsi="方正小标宋_GBK" w:eastAsia="方正小标宋_GBK" w:cs="方正小标宋_GBK"/>
          <w:sz w:val="36"/>
          <w:szCs w:val="36"/>
        </w:rPr>
      </w:pP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秀山土家族苗族自治县雅江镇卫生院</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hint="eastAsia" w:ascii="方正小标宋_GBK" w:hAnsi="方正小标宋_GBK" w:eastAsia="方正小标宋_GBK" w:cs="方正小标宋_GBK"/>
          <w:sz w:val="44"/>
          <w:szCs w:val="44"/>
          <w:shd w:val="clear" w:color="auto" w:fill="FFFFFF"/>
        </w:rPr>
        <w:t>年度决算公开</w:t>
      </w:r>
      <w:bookmarkStart w:id="0" w:name="_GoBack"/>
      <w:bookmarkEnd w:id="0"/>
      <w:r>
        <w:rPr>
          <w:rFonts w:hint="eastAsia" w:ascii="方正小标宋_GBK" w:hAnsi="方正小标宋_GBK" w:eastAsia="方正小标宋_GBK" w:cs="方正小标宋_GBK"/>
          <w:sz w:val="44"/>
          <w:szCs w:val="44"/>
          <w:shd w:val="clear" w:color="auto" w:fill="FFFFFF"/>
        </w:rPr>
        <w:t>说明</w:t>
      </w:r>
    </w:p>
    <w:p>
      <w:pPr>
        <w:pStyle w:val="8"/>
        <w:keepNext w:val="0"/>
        <w:keepLines w:val="0"/>
        <w:pageBreakBefore w:val="0"/>
        <w:widowControl/>
        <w:kinsoku/>
        <w:wordWrap/>
        <w:overflowPunct/>
        <w:topLinePunct w:val="0"/>
        <w:autoSpaceDN/>
        <w:bidi w:val="0"/>
        <w:adjustRightInd/>
        <w:spacing w:before="0" w:beforeAutospacing="0" w:after="0" w:afterAutospacing="0" w:line="560" w:lineRule="exact"/>
        <w:ind w:firstLine="880" w:firstLineChars="200"/>
        <w:jc w:val="both"/>
        <w:textAlignment w:val="auto"/>
        <w:outlineLvl w:val="9"/>
        <w:rPr>
          <w:rFonts w:hint="default" w:ascii="方正小标宋_GBK" w:hAnsi="方正小标宋_GBK" w:eastAsia="方正小标宋_GBK" w:cs="方正小标宋_GBK"/>
          <w:sz w:val="44"/>
          <w:szCs w:val="44"/>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10"/>
          <w:rFonts w:hint="eastAsia" w:ascii="方正楷体_GBK" w:hAnsi="方正楷体_GBK" w:eastAsia="方正楷体_GBK" w:cs="方正楷体_GBK"/>
          <w:b w:val="0"/>
          <w:bCs/>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r>
        <w:rPr>
          <w:rFonts w:hint="eastAsia" w:ascii="方正仿宋_GBK" w:hAnsi="方正仿宋_GBK" w:eastAsia="方正仿宋_GBK" w:cs="方正仿宋_GBK"/>
          <w:b w:val="0"/>
          <w:bCs w:val="0"/>
          <w:sz w:val="32"/>
          <w:szCs w:val="32"/>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1</w:t>
      </w:r>
      <w:r>
        <w:rPr>
          <w:rFonts w:hint="eastAsia" w:ascii="方正仿宋_GBK" w:hAnsi="方正仿宋_GBK" w:eastAsia="方正仿宋_GBK" w:cs="方正仿宋_GBK"/>
          <w:b w:val="0"/>
          <w:bCs w:val="0"/>
          <w:sz w:val="32"/>
          <w:szCs w:val="32"/>
        </w:rPr>
        <w:t>.根据国家和本市规定收集、报送辖区内卫生健康信息，建立和管理居民健康档案，提出改进辖区公共卫生状况的建议；</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2</w:t>
      </w:r>
      <w:r>
        <w:rPr>
          <w:rFonts w:hint="eastAsia" w:ascii="方正仿宋_GBK" w:hAnsi="方正仿宋_GBK" w:eastAsia="方正仿宋_GBK" w:cs="方正仿宋_GBK"/>
          <w:b w:val="0"/>
          <w:bCs w:val="0"/>
          <w:sz w:val="32"/>
          <w:szCs w:val="32"/>
        </w:rPr>
        <w:t>.开展健康教育，普及健康知识；</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3</w:t>
      </w:r>
      <w:r>
        <w:rPr>
          <w:rFonts w:hint="eastAsia" w:ascii="方正仿宋_GBK" w:hAnsi="方正仿宋_GBK" w:eastAsia="方正仿宋_GBK" w:cs="方正仿宋_GBK"/>
          <w:b w:val="0"/>
          <w:bCs w:val="0"/>
          <w:sz w:val="32"/>
          <w:szCs w:val="32"/>
        </w:rPr>
        <w:t>.协助开展传染病以及地方病、寄生虫病的预防控制，配合开展爱国卫生工作；</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4</w:t>
      </w:r>
      <w:r>
        <w:rPr>
          <w:rFonts w:hint="eastAsia" w:ascii="方正仿宋_GBK" w:hAnsi="方正仿宋_GBK" w:eastAsia="方正仿宋_GBK" w:cs="方正仿宋_GBK"/>
          <w:b w:val="0"/>
          <w:bCs w:val="0"/>
          <w:sz w:val="32"/>
          <w:szCs w:val="32"/>
        </w:rPr>
        <w:t>.做好高危人群、重点慢性病患者的筛查和病例管理；</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5</w:t>
      </w:r>
      <w:r>
        <w:rPr>
          <w:rFonts w:hint="eastAsia" w:ascii="方正仿宋_GBK" w:hAnsi="方正仿宋_GBK" w:eastAsia="方正仿宋_GBK" w:cs="方正仿宋_GBK"/>
          <w:b w:val="0"/>
          <w:bCs w:val="0"/>
          <w:sz w:val="32"/>
          <w:szCs w:val="32"/>
        </w:rPr>
        <w:t>.提供心理健康指导服务，实施精神病社区管理；</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6</w:t>
      </w:r>
      <w:r>
        <w:rPr>
          <w:rFonts w:hint="eastAsia" w:ascii="方正仿宋_GBK" w:hAnsi="方正仿宋_GBK" w:eastAsia="方正仿宋_GBK" w:cs="方正仿宋_GBK"/>
          <w:b w:val="0"/>
          <w:bCs w:val="0"/>
          <w:sz w:val="32"/>
          <w:szCs w:val="32"/>
        </w:rPr>
        <w:t>.为妇女、儿童、老年人、残疾人等重点人群提供保健和康复服务；</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7</w:t>
      </w:r>
      <w:r>
        <w:rPr>
          <w:rFonts w:hint="eastAsia" w:ascii="方正仿宋_GBK" w:hAnsi="方正仿宋_GBK" w:eastAsia="方正仿宋_GBK" w:cs="方正仿宋_GBK"/>
          <w:b w:val="0"/>
          <w:bCs w:val="0"/>
          <w:sz w:val="32"/>
          <w:szCs w:val="32"/>
        </w:rPr>
        <w:t>.提供计划生育技术服务，协助处置辖区内突发公共卫生事件等；</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8</w:t>
      </w:r>
      <w:r>
        <w:rPr>
          <w:rFonts w:hint="eastAsia" w:ascii="方正仿宋_GBK" w:hAnsi="方正仿宋_GBK" w:eastAsia="方正仿宋_GBK" w:cs="方正仿宋_GBK"/>
          <w:b w:val="0"/>
          <w:bCs w:val="0"/>
          <w:sz w:val="32"/>
          <w:szCs w:val="32"/>
        </w:rPr>
        <w:t>.按要求提供其他公共卫生服务。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10"/>
          <w:rFonts w:hint="eastAsia" w:ascii="方正楷体_GBK" w:hAnsi="方正楷体_GBK" w:eastAsia="方正楷体_GBK" w:cs="方正楷体_GBK"/>
          <w:b w:val="0"/>
          <w:bCs/>
          <w:sz w:val="32"/>
          <w:szCs w:val="32"/>
          <w:shd w:val="clear" w:color="auto" w:fill="FFFFFF"/>
        </w:rPr>
        <w:t>（二）机构设置</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eastAsia="方正仿宋_GBK"/>
          <w:b w:val="0"/>
          <w:bCs w:val="0"/>
          <w:sz w:val="32"/>
          <w:szCs w:val="32"/>
        </w:rPr>
      </w:pPr>
      <w:r>
        <w:rPr>
          <w:rFonts w:eastAsia="方正仿宋_GBK"/>
          <w:b w:val="0"/>
          <w:bCs w:val="0"/>
          <w:sz w:val="32"/>
          <w:szCs w:val="32"/>
        </w:rPr>
        <w:t>本单位下设办公室、财务室、医务科、门诊部、中医科、医技科、库房、药房、收费室、综合住院部</w:t>
      </w:r>
      <w:r>
        <w:rPr>
          <w:rFonts w:hint="eastAsia" w:eastAsia="方正仿宋_GBK"/>
          <w:b w:val="0"/>
          <w:bCs w:val="0"/>
          <w:sz w:val="32"/>
          <w:szCs w:val="32"/>
          <w:lang w:eastAsia="zh-CN"/>
        </w:rPr>
        <w:t>、公卫科</w:t>
      </w:r>
      <w:r>
        <w:rPr>
          <w:rFonts w:eastAsia="方正仿宋_GBK"/>
          <w:b w:val="0"/>
          <w:bCs w:val="0"/>
          <w:sz w:val="32"/>
          <w:szCs w:val="32"/>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决算</w:t>
      </w:r>
      <w:r>
        <w:rPr>
          <w:rStyle w:val="10"/>
          <w:rFonts w:hint="eastAsia" w:ascii="方正黑体_GBK" w:hAnsi="方正黑体_GBK" w:eastAsia="方正黑体_GBK" w:cs="方正黑体_GBK"/>
          <w:b w:val="0"/>
          <w:bCs/>
          <w:sz w:val="32"/>
          <w:szCs w:val="32"/>
          <w:shd w:val="clear" w:color="auto" w:fill="FFFFFF"/>
          <w:lang w:eastAsia="zh-CN"/>
        </w:rPr>
        <w:t>收支</w:t>
      </w:r>
      <w:r>
        <w:rPr>
          <w:rStyle w:val="10"/>
          <w:rFonts w:hint="eastAsia" w:ascii="方正黑体_GBK" w:hAnsi="方正黑体_GBK" w:eastAsia="方正黑体_GBK" w:cs="方正黑体_GBK"/>
          <w:b w:val="0"/>
          <w:bCs/>
          <w:sz w:val="32"/>
          <w:szCs w:val="32"/>
          <w:shd w:val="clear" w:color="auto" w:fill="FFFFFF"/>
        </w:rPr>
        <w:t>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8"/>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FF0000"/>
          <w:sz w:val="32"/>
          <w:szCs w:val="32"/>
          <w:shd w:val="clear" w:color="auto" w:fill="FFFFFF"/>
          <w:lang w:val="en-US"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536.40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收、支与2023年度相比，减少110.02万元，下降17.0%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i w:val="0"/>
          <w:caps w:val="0"/>
          <w:color w:val="000000"/>
          <w:spacing w:val="0"/>
          <w:sz w:val="32"/>
          <w:szCs w:val="32"/>
          <w:shd w:val="clear" w:fill="FFFFFF"/>
        </w:rPr>
        <w:t>基本公共卫生服务资金财政拨款及业务收入均减少</w:t>
      </w:r>
      <w:r>
        <w:rPr>
          <w:rFonts w:hint="eastAsia" w:ascii="方正仿宋_GBK" w:hAnsi="方正仿宋_GBK" w:eastAsia="方正仿宋_GBK" w:cs="方正仿宋_GBK"/>
          <w:i w:val="0"/>
          <w:caps w:val="0"/>
          <w:color w:val="000000"/>
          <w:spacing w:val="0"/>
          <w:sz w:val="32"/>
          <w:szCs w:val="32"/>
          <w:shd w:val="clear" w:fill="FFFFFF"/>
          <w:lang w:eastAsia="zh-CN"/>
        </w:rPr>
        <w:t>。</w:t>
      </w:r>
    </w:p>
    <w:p>
      <w:pPr>
        <w:pStyle w:val="8"/>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lang w:val="en-US" w:eastAsia="zh-CN"/>
        </w:rPr>
        <w:t>1</w:t>
      </w:r>
      <w:r>
        <w:rPr>
          <w:rStyle w:val="10"/>
          <w:rFonts w:hint="default" w:ascii="Times New Roman" w:hAnsi="Times New Roman" w:eastAsia="方正楷体_GBK" w:cs="Times New Roman"/>
          <w:b w:val="0"/>
          <w:bCs/>
          <w:sz w:val="32"/>
          <w:szCs w:val="32"/>
          <w:shd w:val="clear" w:color="auto" w:fill="FFFFFF"/>
        </w:rPr>
        <w:t>.</w:t>
      </w:r>
      <w:r>
        <w:rPr>
          <w:rStyle w:val="10"/>
          <w:rFonts w:hint="eastAsia" w:ascii="方正楷体_GBK" w:hAnsi="方正楷体_GBK" w:eastAsia="方正楷体_GBK" w:cs="方正楷体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年度收入合计</w:t>
      </w:r>
      <w:r>
        <w:rPr>
          <w:rFonts w:hint="default" w:ascii="Times New Roman" w:hAnsi="Times New Roman" w:eastAsia="方正仿宋_GBK"/>
          <w:sz w:val="32"/>
          <w:szCs w:val="32"/>
          <w:shd w:val="clear" w:color="auto" w:fill="FFFFFF"/>
        </w:rPr>
        <w:t>519.72</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与2023年度相比，减少118.17万元，下降18.5%</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i w:val="0"/>
          <w:caps w:val="0"/>
          <w:color w:val="000000"/>
          <w:spacing w:val="0"/>
          <w:sz w:val="32"/>
          <w:szCs w:val="32"/>
          <w:shd w:val="clear" w:fill="FFFFFF"/>
        </w:rPr>
        <w:t>基本公共卫生服务资金财政拨款及业务收入均减少</w:t>
      </w:r>
      <w:r>
        <w:rPr>
          <w:rFonts w:hint="eastAsia" w:ascii="方正仿宋_GBK" w:hAnsi="方正仿宋_GBK" w:eastAsia="方正仿宋_GBK" w:cs="方正仿宋_GBK"/>
          <w:i w:val="0"/>
          <w:caps w:val="0"/>
          <w:color w:val="000000"/>
          <w:spacing w:val="0"/>
          <w:sz w:val="32"/>
          <w:szCs w:val="32"/>
          <w:shd w:val="clear" w:fill="FFFFFF"/>
          <w:lang w:eastAsia="zh-CN"/>
        </w:rPr>
        <w:t>。</w:t>
      </w:r>
      <w:r>
        <w:rPr>
          <w:rFonts w:ascii="方正仿宋_GBK" w:hAnsi="方正仿宋_GBK" w:eastAsia="方正仿宋_GBK" w:cs="方正仿宋_GBK"/>
          <w:sz w:val="32"/>
          <w:szCs w:val="32"/>
          <w:shd w:val="clear" w:color="auto" w:fill="FFFFFF"/>
        </w:rPr>
        <w:t>其中：财政拨款收入</w:t>
      </w:r>
      <w:r>
        <w:rPr>
          <w:rFonts w:hint="default" w:ascii="Times New Roman" w:hAnsi="Times New Roman" w:eastAsia="方正仿宋_GBK"/>
          <w:sz w:val="32"/>
          <w:szCs w:val="32"/>
          <w:shd w:val="clear" w:color="auto" w:fill="FFFFFF"/>
        </w:rPr>
        <w:t>236.87</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45.6%</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277.76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53.4%</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5.10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1.0%</w:t>
      </w:r>
      <w:r>
        <w:rPr>
          <w:rFonts w:ascii="方正仿宋_GBK" w:hAnsi="方正仿宋_GBK" w:eastAsia="方正仿宋_GBK" w:cs="方正仿宋_GBK"/>
          <w:sz w:val="32"/>
          <w:szCs w:val="32"/>
          <w:shd w:val="clear" w:color="auto" w:fill="FFFFFF"/>
        </w:rPr>
        <w:t>。此外，</w:t>
      </w:r>
      <w:r>
        <w:rPr>
          <w:rFonts w:hint="eastAsia" w:ascii="方正仿宋_GBK" w:hAnsi="方正仿宋_GBK" w:eastAsia="方正仿宋_GBK" w:cs="方正仿宋_GBK"/>
          <w:sz w:val="32"/>
          <w:szCs w:val="32"/>
          <w:shd w:val="clear" w:color="auto" w:fill="FFFFFF"/>
        </w:rPr>
        <w:t>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16.67</w:t>
      </w:r>
      <w:r>
        <w:rPr>
          <w:rFonts w:ascii="方正仿宋_GBK" w:hAnsi="方正仿宋_GBK" w:eastAsia="方正仿宋_GBK" w:cs="方正仿宋_GBK"/>
          <w:sz w:val="32"/>
          <w:szCs w:val="32"/>
          <w:shd w:val="clear" w:color="auto" w:fill="FFFFFF"/>
        </w:rPr>
        <w:t>万元。</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lang w:val="en-US" w:eastAsia="zh-CN"/>
        </w:rPr>
        <w:t>2</w:t>
      </w:r>
      <w:r>
        <w:rPr>
          <w:rStyle w:val="10"/>
          <w:rFonts w:hint="default" w:ascii="Times New Roman" w:hAnsi="Times New Roman" w:eastAsia="方正楷体_GBK" w:cs="Times New Roman"/>
          <w:b w:val="0"/>
          <w:bCs/>
          <w:sz w:val="32"/>
          <w:szCs w:val="32"/>
          <w:shd w:val="clear" w:color="auto" w:fill="FFFFFF"/>
        </w:rPr>
        <w:t>.</w:t>
      </w:r>
      <w:r>
        <w:rPr>
          <w:rStyle w:val="10"/>
          <w:rFonts w:hint="eastAsia" w:ascii="方正楷体_GBK" w:hAnsi="方正楷体_GBK" w:eastAsia="方正楷体_GBK" w:cs="方正楷体_GBK"/>
          <w:b w:val="0"/>
          <w:bCs/>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536.40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与2023年度相比，减少93.34万元，下降14.8%</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i w:val="0"/>
          <w:caps w:val="0"/>
          <w:color w:val="000000"/>
          <w:spacing w:val="0"/>
          <w:sz w:val="32"/>
          <w:szCs w:val="32"/>
          <w:shd w:val="clear" w:fill="FFFFFF"/>
        </w:rPr>
        <w:t>药品耗材</w:t>
      </w:r>
      <w:r>
        <w:rPr>
          <w:rFonts w:hint="eastAsia" w:ascii="方正仿宋_GBK" w:hAnsi="方正仿宋_GBK" w:eastAsia="方正仿宋_GBK" w:cs="方正仿宋_GBK"/>
          <w:i w:val="0"/>
          <w:caps w:val="0"/>
          <w:color w:val="000000"/>
          <w:spacing w:val="0"/>
          <w:sz w:val="32"/>
          <w:szCs w:val="32"/>
          <w:shd w:val="clear" w:fill="FFFFFF"/>
          <w:lang w:eastAsia="zh-CN"/>
        </w:rPr>
        <w:t>、</w:t>
      </w:r>
      <w:r>
        <w:rPr>
          <w:rFonts w:hint="eastAsia" w:ascii="方正仿宋_GBK" w:hAnsi="方正仿宋_GBK" w:eastAsia="方正仿宋_GBK" w:cs="方正仿宋_GBK"/>
          <w:i w:val="0"/>
          <w:caps w:val="0"/>
          <w:color w:val="000000"/>
          <w:spacing w:val="0"/>
          <w:sz w:val="32"/>
          <w:szCs w:val="32"/>
          <w:shd w:val="clear" w:fill="FFFFFF"/>
        </w:rPr>
        <w:t>印刷资料费</w:t>
      </w:r>
      <w:r>
        <w:rPr>
          <w:rFonts w:hint="eastAsia" w:ascii="方正仿宋_GBK" w:hAnsi="方正仿宋_GBK" w:eastAsia="方正仿宋_GBK" w:cs="方正仿宋_GBK"/>
          <w:i w:val="0"/>
          <w:caps w:val="0"/>
          <w:color w:val="000000"/>
          <w:spacing w:val="0"/>
          <w:sz w:val="32"/>
          <w:szCs w:val="32"/>
          <w:shd w:val="clear" w:fill="FFFFFF"/>
          <w:lang w:eastAsia="zh-CN"/>
        </w:rPr>
        <w:t>及</w:t>
      </w:r>
      <w:r>
        <w:rPr>
          <w:rFonts w:hint="eastAsia" w:ascii="方正仿宋_GBK" w:hAnsi="方正仿宋_GBK" w:eastAsia="方正仿宋_GBK" w:cs="方正仿宋_GBK"/>
          <w:i w:val="0"/>
          <w:caps w:val="0"/>
          <w:color w:val="000000"/>
          <w:spacing w:val="0"/>
          <w:sz w:val="32"/>
          <w:szCs w:val="32"/>
          <w:shd w:val="clear" w:fill="FFFFFF"/>
        </w:rPr>
        <w:t>办公费</w:t>
      </w:r>
      <w:r>
        <w:rPr>
          <w:rFonts w:hint="eastAsia" w:ascii="方正仿宋_GBK" w:hAnsi="方正仿宋_GBK" w:eastAsia="方正仿宋_GBK" w:cs="方正仿宋_GBK"/>
          <w:i w:val="0"/>
          <w:caps w:val="0"/>
          <w:color w:val="000000"/>
          <w:spacing w:val="0"/>
          <w:sz w:val="32"/>
          <w:szCs w:val="32"/>
          <w:shd w:val="clear" w:fill="FFFFFF"/>
          <w:lang w:eastAsia="zh-CN"/>
        </w:rPr>
        <w:t>支出</w:t>
      </w:r>
      <w:r>
        <w:rPr>
          <w:rFonts w:hint="eastAsia" w:ascii="方正仿宋_GBK" w:hAnsi="方正仿宋_GBK" w:eastAsia="方正仿宋_GBK" w:cs="方正仿宋_GBK"/>
          <w:i w:val="0"/>
          <w:caps w:val="0"/>
          <w:color w:val="000000"/>
          <w:spacing w:val="0"/>
          <w:sz w:val="32"/>
          <w:szCs w:val="32"/>
          <w:shd w:val="clear" w:fill="FFFFFF"/>
        </w:rPr>
        <w:t>减少；</w:t>
      </w:r>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sz w:val="32"/>
          <w:szCs w:val="32"/>
          <w:shd w:val="clear" w:color="auto" w:fill="FFFFFF"/>
        </w:rPr>
        <w:t>531.27</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99.0%</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5.13</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1.0%</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lang w:val="en-US" w:eastAsia="zh-CN"/>
        </w:rPr>
      </w:pPr>
      <w:r>
        <w:rPr>
          <w:rStyle w:val="10"/>
          <w:rFonts w:hint="default" w:ascii="Times New Roman" w:hAnsi="Times New Roman" w:eastAsia="方正楷体_GBK" w:cs="Times New Roman"/>
          <w:b w:val="0"/>
          <w:bCs/>
          <w:sz w:val="32"/>
          <w:szCs w:val="32"/>
          <w:shd w:val="clear" w:color="auto" w:fill="FFFFFF"/>
          <w:lang w:val="en-US" w:eastAsia="zh-CN"/>
        </w:rPr>
        <w:t>3</w:t>
      </w:r>
      <w:r>
        <w:rPr>
          <w:rStyle w:val="10"/>
          <w:rFonts w:hint="default" w:ascii="Times New Roman" w:hAnsi="Times New Roman" w:eastAsia="方正楷体_GBK" w:cs="Times New Roman"/>
          <w:b w:val="0"/>
          <w:bCs/>
          <w:sz w:val="32"/>
          <w:szCs w:val="32"/>
          <w:shd w:val="clear" w:color="auto" w:fill="FFFFFF"/>
        </w:rPr>
        <w:t>.</w:t>
      </w:r>
      <w:r>
        <w:rPr>
          <w:rStyle w:val="10"/>
          <w:rFonts w:hint="eastAsia" w:ascii="方正楷体_GBK" w:hAnsi="方正楷体_GBK" w:eastAsia="方正楷体_GBK" w:cs="方正楷体_GBK"/>
          <w:b w:val="0"/>
          <w:bCs/>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与2023年度相比，减少16.67万元，下降100.0%</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color w:val="auto"/>
          <w:sz w:val="32"/>
          <w:szCs w:val="32"/>
          <w:shd w:val="clear" w:color="auto" w:fill="FFFFFF"/>
          <w:lang w:val="en-US" w:eastAsia="zh-CN"/>
        </w:rPr>
        <w:t>2024</w:t>
      </w:r>
      <w:r>
        <w:rPr>
          <w:rFonts w:hint="eastAsia" w:ascii="Times New Roman" w:hAnsi="Times New Roman" w:eastAsia="方正仿宋_GBK" w:cs="Times New Roman"/>
          <w:color w:val="auto"/>
          <w:sz w:val="32"/>
          <w:szCs w:val="32"/>
          <w:shd w:val="clear" w:color="auto" w:fill="FFFFFF"/>
          <w:lang w:val="en-US" w:eastAsia="zh-CN"/>
        </w:rPr>
        <w:t>年本单位</w:t>
      </w:r>
      <w:r>
        <w:rPr>
          <w:rFonts w:hint="eastAsia" w:ascii="方正仿宋_GBK" w:hAnsi="方正仿宋_GBK" w:eastAsia="方正仿宋_GBK" w:cs="方正仿宋_GBK"/>
          <w:i w:val="0"/>
          <w:caps w:val="0"/>
          <w:color w:val="000000"/>
          <w:spacing w:val="0"/>
          <w:sz w:val="32"/>
          <w:szCs w:val="32"/>
          <w:shd w:val="clear" w:fill="FFFFFF"/>
          <w:lang w:eastAsia="zh-CN"/>
        </w:rPr>
        <w:t>无结转结余。</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249.48</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财政拨款收、支总计各减少62.00万元，下降19.9%</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i w:val="0"/>
          <w:caps w:val="0"/>
          <w:color w:val="000000"/>
          <w:spacing w:val="0"/>
          <w:sz w:val="32"/>
          <w:szCs w:val="32"/>
          <w:shd w:val="clear" w:fill="FFFFFF"/>
        </w:rPr>
        <w:t>基本公共卫生服务资金财政拨款减少</w:t>
      </w:r>
      <w:r>
        <w:rPr>
          <w:rFonts w:hint="eastAsia" w:ascii="方正仿宋_GBK" w:hAnsi="方正仿宋_GBK" w:eastAsia="方正仿宋_GBK" w:cs="方正仿宋_GBK"/>
          <w:i w:val="0"/>
          <w:caps w:val="0"/>
          <w:color w:val="000000"/>
          <w:spacing w:val="0"/>
          <w:sz w:val="32"/>
          <w:szCs w:val="32"/>
          <w:shd w:val="clear" w:fill="FFFFFF"/>
          <w:lang w:eastAsia="zh-CN"/>
        </w:rPr>
        <w:t>。</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default" w:ascii="Times New Roman" w:hAnsi="Times New Roman" w:eastAsia="方正仿宋_GBK" w:cs="Times New Roman"/>
          <w:b w:val="0"/>
          <w:bCs/>
          <w:sz w:val="32"/>
          <w:szCs w:val="32"/>
          <w:shd w:val="clear" w:color="auto" w:fill="FFFFFF"/>
        </w:rPr>
        <w:t>1.</w:t>
      </w:r>
      <w:r>
        <w:rPr>
          <w:rStyle w:val="10"/>
          <w:rFonts w:hint="eastAsia" w:ascii="方正楷体_GBK" w:hAnsi="方正楷体_GBK" w:eastAsia="方正楷体_GBK" w:cs="方正楷体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236.87</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与2023年度相比，减少74.61万元，下降24.0%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i w:val="0"/>
          <w:caps w:val="0"/>
          <w:color w:val="000000"/>
          <w:spacing w:val="0"/>
          <w:sz w:val="32"/>
          <w:szCs w:val="32"/>
          <w:shd w:val="clear" w:fill="FFFFFF"/>
        </w:rPr>
        <w:t>基本公共卫生服务资金财政拨款减少</w:t>
      </w:r>
      <w:r>
        <w:rPr>
          <w:rFonts w:hint="eastAsia" w:ascii="方正仿宋_GBK" w:hAnsi="方正仿宋_GBK" w:eastAsia="方正仿宋_GBK" w:cs="方正仿宋_GBK"/>
          <w:i w:val="0"/>
          <w:caps w:val="0"/>
          <w:color w:val="000000"/>
          <w:spacing w:val="0"/>
          <w:sz w:val="32"/>
          <w:szCs w:val="32"/>
          <w:shd w:val="clear" w:fill="FFFFFF"/>
          <w:lang w:eastAsia="zh-CN"/>
        </w:rPr>
        <w:t>。</w:t>
      </w:r>
      <w:r>
        <w:rPr>
          <w:rFonts w:hint="default" w:ascii="Times New Roman" w:hAnsi="Times New Roman" w:eastAsia="方正仿宋_GBK"/>
          <w:sz w:val="32"/>
          <w:szCs w:val="32"/>
          <w:shd w:val="clear" w:color="auto" w:fill="FFFFFF"/>
        </w:rPr>
        <w:t>较年初预算数增加81.18万元，增长52.1%</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b w:val="0"/>
          <w:bCs w:val="0"/>
          <w:sz w:val="32"/>
          <w:szCs w:val="32"/>
          <w:shd w:val="clear" w:color="auto" w:fill="FFFFFF"/>
        </w:rPr>
        <w:t>主要原因是</w:t>
      </w:r>
      <w:r>
        <w:rPr>
          <w:rFonts w:hint="default" w:ascii="Times New Roman" w:hAnsi="Times New Roman" w:eastAsia="方正仿宋_GBK" w:cs="Times New Roman"/>
          <w:b w:val="0"/>
          <w:bCs w:val="0"/>
          <w:sz w:val="32"/>
          <w:szCs w:val="32"/>
          <w:lang w:val="en-US" w:eastAsia="zh-CN"/>
        </w:rPr>
        <w:t>单位情况预估核算，实际财政拨款收入由财政根据资金分配情况统一安排拨款。</w:t>
      </w:r>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12.61</w:t>
      </w:r>
      <w:r>
        <w:rPr>
          <w:rFonts w:ascii="方正仿宋_GBK" w:hAnsi="方正仿宋_GBK" w:eastAsia="方正仿宋_GBK" w:cs="方正仿宋_GBK"/>
          <w:sz w:val="32"/>
          <w:szCs w:val="32"/>
          <w:shd w:val="clear" w:color="auto" w:fill="FFFFFF"/>
        </w:rPr>
        <w:t>万元。</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FF0000"/>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2.</w:t>
      </w:r>
      <w:r>
        <w:rPr>
          <w:rStyle w:val="10"/>
          <w:rFonts w:hint="eastAsia" w:ascii="方正楷体_GBK" w:hAnsi="方正楷体_GBK" w:eastAsia="方正楷体_GBK" w:cs="方正楷体_GBK"/>
          <w:b w:val="0"/>
          <w:bCs/>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249.48</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与2023年度相比，减少49.39万元，下降16.5%</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b w:val="0"/>
          <w:bCs w:val="0"/>
          <w:sz w:val="32"/>
          <w:szCs w:val="32"/>
          <w:shd w:val="clear" w:color="auto" w:fill="FFFFFF"/>
        </w:rPr>
        <w:t>主要原因</w:t>
      </w:r>
      <w:r>
        <w:rPr>
          <w:rFonts w:ascii="方正仿宋_GBK" w:hAnsi="方正仿宋_GBK" w:eastAsia="方正仿宋_GBK" w:cs="方正仿宋_GBK"/>
          <w:b w:val="0"/>
          <w:bCs w:val="0"/>
          <w:sz w:val="32"/>
          <w:szCs w:val="32"/>
          <w:highlight w:val="none"/>
          <w:shd w:val="clear" w:color="auto" w:fill="FFFFFF"/>
        </w:rPr>
        <w:t>是</w:t>
      </w:r>
      <w:r>
        <w:rPr>
          <w:rFonts w:hint="eastAsia" w:ascii="方正仿宋_GBK" w:hAnsi="方正仿宋_GBK" w:eastAsia="方正仿宋_GBK" w:cs="方正仿宋_GBK"/>
          <w:b w:val="0"/>
          <w:bCs w:val="0"/>
          <w:sz w:val="32"/>
          <w:szCs w:val="32"/>
          <w:highlight w:val="none"/>
          <w:shd w:val="clear" w:color="auto" w:fill="FFFFFF"/>
          <w:lang w:eastAsia="zh-CN"/>
        </w:rPr>
        <w:t>人员经费支出减少</w:t>
      </w:r>
      <w:r>
        <w:rPr>
          <w:rFonts w:hint="eastAsia" w:ascii="方正仿宋_GBK" w:hAnsi="方正仿宋_GBK" w:eastAsia="方正仿宋_GBK" w:cs="方正仿宋_GBK"/>
          <w:b w:val="0"/>
          <w:bCs w:val="0"/>
          <w:sz w:val="32"/>
          <w:szCs w:val="32"/>
          <w:shd w:val="clear" w:color="auto" w:fill="FFFFFF"/>
          <w:lang w:eastAsia="zh-CN"/>
        </w:rPr>
        <w:t>。</w:t>
      </w:r>
      <w:r>
        <w:rPr>
          <w:rFonts w:ascii="方正仿宋_GBK" w:hAnsi="方正仿宋_GBK" w:eastAsia="方正仿宋_GBK" w:cs="方正仿宋_GBK"/>
          <w:b w:val="0"/>
          <w:bCs w:val="0"/>
          <w:sz w:val="32"/>
          <w:szCs w:val="32"/>
          <w:shd w:val="clear" w:color="auto" w:fill="FFFFFF"/>
        </w:rPr>
        <w:t>人员经费用途主要包括</w:t>
      </w:r>
      <w:r>
        <w:rPr>
          <w:rFonts w:hint="default" w:ascii="Times New Roman" w:hAnsi="Times New Roman" w:eastAsia="方正仿宋_GBK" w:cs="Times New Roman"/>
          <w:b w:val="0"/>
          <w:bCs w:val="0"/>
          <w:sz w:val="32"/>
          <w:szCs w:val="32"/>
          <w:lang w:val="en-US" w:eastAsia="zh-CN"/>
        </w:rPr>
        <w:t>人员社会保障、工资、绩效、津补贴支出等。</w:t>
      </w:r>
      <w:r>
        <w:rPr>
          <w:rFonts w:hint="default" w:ascii="Times New Roman" w:hAnsi="Times New Roman" w:eastAsia="方正仿宋_GBK"/>
          <w:sz w:val="32"/>
          <w:szCs w:val="32"/>
          <w:shd w:val="clear" w:color="auto" w:fill="FFFFFF"/>
        </w:rPr>
        <w:t>较年初预算数增加93.79万元，增长60.2%</w:t>
      </w:r>
      <w:r>
        <w:rPr>
          <w:rFonts w:ascii="方正仿宋_GBK" w:hAnsi="方正仿宋_GBK" w:eastAsia="方正仿宋_GBK" w:cs="方正仿宋_GBK"/>
          <w:sz w:val="32"/>
          <w:szCs w:val="32"/>
          <w:shd w:val="clear" w:color="auto" w:fill="FFFFFF"/>
        </w:rPr>
        <w:t>。主</w:t>
      </w:r>
      <w:r>
        <w:rPr>
          <w:rFonts w:ascii="方正仿宋_GBK" w:hAnsi="方正仿宋_GBK" w:eastAsia="方正仿宋_GBK" w:cs="方正仿宋_GBK"/>
          <w:b w:val="0"/>
          <w:bCs w:val="0"/>
          <w:sz w:val="32"/>
          <w:szCs w:val="32"/>
          <w:shd w:val="clear" w:color="auto" w:fill="FFFFFF"/>
        </w:rPr>
        <w:t>要原因是</w:t>
      </w:r>
      <w:r>
        <w:rPr>
          <w:rFonts w:hint="default" w:ascii="Times New Roman" w:hAnsi="Times New Roman" w:eastAsia="方正仿宋_GBK" w:cs="Times New Roman"/>
          <w:b w:val="0"/>
          <w:bCs w:val="0"/>
          <w:sz w:val="32"/>
          <w:szCs w:val="32"/>
          <w:lang w:val="en-US" w:eastAsia="zh-CN"/>
        </w:rPr>
        <w:t>单位情况预估核算，实际财政拨款收入由财政根据资金分配情况统一安排拨款。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sz w:val="32"/>
          <w:szCs w:val="32"/>
          <w:highlight w:val="none"/>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8"/>
        <w:keepNext w:val="0"/>
        <w:keepLines w:val="0"/>
        <w:pageBreakBefore w:val="0"/>
        <w:numPr>
          <w:ilvl w:val="0"/>
          <w:numId w:val="0"/>
        </w:numPr>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shd w:val="clear" w:color="auto" w:fill="FFFFFF"/>
          <w:lang w:val="en-US" w:eastAsia="zh-CN"/>
        </w:rPr>
      </w:pPr>
      <w:r>
        <w:rPr>
          <w:rFonts w:hint="eastAsia" w:ascii="方正仿宋_GBK" w:hAnsi="方正仿宋_GBK" w:eastAsia="方正仿宋_GBK" w:cs="方正仿宋_GBK"/>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1</w:t>
      </w:r>
      <w:r>
        <w:rPr>
          <w:rFonts w:hint="eastAsia" w:ascii="方正仿宋_GBK" w:hAnsi="方正仿宋_GBK" w:eastAsia="方正仿宋_GBK" w:cs="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社会保障</w:t>
      </w:r>
      <w:r>
        <w:rPr>
          <w:rFonts w:hint="eastAsia" w:ascii="方正仿宋_GBK" w:hAnsi="方正仿宋_GBK" w:eastAsia="方正仿宋_GBK" w:cs="方正仿宋_GBK"/>
          <w:sz w:val="32"/>
          <w:szCs w:val="32"/>
          <w:shd w:val="clear" w:color="auto" w:fill="FFFFFF"/>
          <w:lang w:eastAsia="zh-CN"/>
        </w:rPr>
        <w:t>和</w:t>
      </w:r>
      <w:r>
        <w:rPr>
          <w:rFonts w:ascii="方正仿宋_GBK" w:hAnsi="方正仿宋_GBK" w:eastAsia="方正仿宋_GBK" w:cs="方正仿宋_GBK"/>
          <w:sz w:val="32"/>
          <w:szCs w:val="32"/>
          <w:shd w:val="clear" w:color="auto" w:fill="FFFFFF"/>
        </w:rPr>
        <w:t>就业支出</w:t>
      </w:r>
      <w:r>
        <w:rPr>
          <w:rFonts w:hint="default" w:ascii="Times New Roman" w:hAnsi="Times New Roman" w:eastAsia="方正仿宋_GBK"/>
          <w:sz w:val="32"/>
          <w:szCs w:val="32"/>
          <w:shd w:val="clear" w:color="auto" w:fill="FFFFFF"/>
        </w:rPr>
        <w:t>36.91</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14.8%</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较年初预算数增加16.51万元，增长80.9%</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shd w:val="clear" w:color="auto" w:fill="FFFFFF"/>
          <w:lang w:val="en-US" w:eastAsia="zh-CN"/>
        </w:rPr>
        <w:t>2024</w:t>
      </w:r>
      <w:r>
        <w:rPr>
          <w:rFonts w:hint="eastAsia" w:ascii="方正仿宋_GBK" w:hAnsi="方正仿宋_GBK" w:eastAsia="方正仿宋_GBK" w:cs="方正仿宋_GBK"/>
          <w:sz w:val="32"/>
          <w:szCs w:val="32"/>
          <w:shd w:val="clear" w:color="auto" w:fill="FFFFFF"/>
          <w:lang w:val="en-US" w:eastAsia="zh-CN"/>
        </w:rPr>
        <w:t>年机关事业单位基本养老保险缴费和职业年金缴费支出增加。</w:t>
      </w:r>
    </w:p>
    <w:p>
      <w:pPr>
        <w:pStyle w:val="8"/>
        <w:keepNext w:val="0"/>
        <w:keepLines w:val="0"/>
        <w:pageBreakBefore w:val="0"/>
        <w:numPr>
          <w:ilvl w:val="0"/>
          <w:numId w:val="0"/>
        </w:numPr>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2</w:t>
      </w:r>
      <w:r>
        <w:rPr>
          <w:rFonts w:hint="eastAsia" w:ascii="方正仿宋_GBK" w:hAnsi="方正仿宋_GBK" w:eastAsia="方正仿宋_GBK" w:cs="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卫生健康支出</w:t>
      </w:r>
      <w:r>
        <w:rPr>
          <w:rFonts w:hint="default" w:ascii="Times New Roman" w:hAnsi="Times New Roman" w:eastAsia="方正仿宋_GBK"/>
          <w:sz w:val="32"/>
          <w:szCs w:val="32"/>
          <w:shd w:val="clear" w:color="auto" w:fill="FFFFFF"/>
        </w:rPr>
        <w:t>203.91</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81.7%</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较年初预算数增加77.28万元，增长61.0%</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b w:val="0"/>
          <w:bCs w:val="0"/>
          <w:sz w:val="32"/>
          <w:szCs w:val="32"/>
          <w:shd w:val="clear" w:color="auto" w:fill="FFFFFF"/>
        </w:rPr>
        <w:t>主要原因是</w:t>
      </w:r>
      <w:r>
        <w:rPr>
          <w:rFonts w:hint="eastAsia" w:ascii="方正仿宋_GBK" w:hAnsi="方正仿宋_GBK" w:eastAsia="方正仿宋_GBK" w:cs="方正仿宋_GBK"/>
          <w:b w:val="0"/>
          <w:bCs w:val="0"/>
          <w:sz w:val="32"/>
          <w:szCs w:val="32"/>
          <w:shd w:val="clear" w:color="auto" w:fill="FFFFFF"/>
          <w:lang w:eastAsia="zh-CN"/>
        </w:rPr>
        <w:t>基本工资、绩效工资及津贴补贴支出增加。</w:t>
      </w:r>
    </w:p>
    <w:p>
      <w:pPr>
        <w:keepNext w:val="0"/>
        <w:keepLines w:val="0"/>
        <w:pageBreakBefore w:val="0"/>
        <w:kinsoku/>
        <w:wordWrap/>
        <w:overflowPunct/>
        <w:topLinePunct w:val="0"/>
        <w:autoSpaceDN/>
        <w:bidi w:val="0"/>
        <w:spacing w:afterAutospacing="0" w:line="560" w:lineRule="exact"/>
        <w:ind w:firstLine="640" w:firstLineChars="200"/>
        <w:jc w:val="both"/>
        <w:textAlignment w:val="auto"/>
        <w:outlineLvl w:val="9"/>
        <w:rPr>
          <w:rFonts w:hint="eastAsia" w:ascii="方正仿宋_GBK" w:hAnsi="方正仿宋_GBK" w:eastAsia="方正仿宋_GBK" w:cs="方正仿宋_GBK"/>
          <w:color w:val="FF0000"/>
          <w:sz w:val="32"/>
          <w:szCs w:val="32"/>
          <w:shd w:val="clear" w:color="auto" w:fill="FFFFFF"/>
          <w:lang w:eastAsia="zh-CN"/>
        </w:rPr>
      </w:pPr>
      <w:r>
        <w:rPr>
          <w:rFonts w:hint="eastAsia"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shd w:val="clear" w:color="auto" w:fill="FFFFFF"/>
        </w:rPr>
        <w:t>3</w:t>
      </w:r>
      <w:r>
        <w:rPr>
          <w:rFonts w:hint="eastAsia"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住房保障支出</w:t>
      </w:r>
      <w:r>
        <w:rPr>
          <w:rFonts w:hint="default" w:ascii="Times New Roman" w:hAnsi="Times New Roman" w:eastAsia="方正仿宋_GBK"/>
          <w:sz w:val="32"/>
          <w:szCs w:val="32"/>
          <w:shd w:val="clear" w:color="auto" w:fill="FFFFFF"/>
        </w:rPr>
        <w:t>8.65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3.5%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较年初预算数无增减</w:t>
      </w:r>
      <w:r>
        <w:rPr>
          <w:rFonts w:hint="eastAsia" w:ascii="Times New Roman" w:hAnsi="Times New Roman" w:eastAsia="方正仿宋_GBK"/>
          <w:sz w:val="32"/>
          <w:szCs w:val="32"/>
          <w:shd w:val="clear" w:color="auto" w:fill="FFFFFF"/>
          <w:lang w:eastAsia="zh-CN"/>
        </w:rPr>
        <w:t>。</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lang w:val="en-US" w:eastAsia="zh-CN"/>
        </w:rPr>
      </w:pPr>
      <w:r>
        <w:rPr>
          <w:rStyle w:val="10"/>
          <w:rFonts w:hint="default" w:ascii="Times New Roman" w:hAnsi="Times New Roman" w:eastAsia="方正仿宋_GBK" w:cs="Times New Roman"/>
          <w:b w:val="0"/>
          <w:bCs/>
          <w:sz w:val="32"/>
          <w:szCs w:val="32"/>
          <w:shd w:val="clear" w:color="auto" w:fill="FFFFFF"/>
        </w:rPr>
        <w:t>3</w:t>
      </w:r>
      <w:r>
        <w:rPr>
          <w:rStyle w:val="10"/>
          <w:rFonts w:ascii="方正仿宋_GBK" w:hAnsi="方正仿宋_GBK" w:eastAsia="方正仿宋_GBK" w:cs="方正仿宋_GBK"/>
          <w:b w:val="0"/>
          <w:bCs/>
          <w:sz w:val="32"/>
          <w:szCs w:val="32"/>
          <w:shd w:val="clear" w:color="auto" w:fill="FFFFFF"/>
        </w:rPr>
        <w:t>.</w:t>
      </w:r>
      <w:r>
        <w:rPr>
          <w:rStyle w:val="10"/>
          <w:rFonts w:hint="eastAsia" w:ascii="方正楷体_GBK" w:hAnsi="方正楷体_GBK" w:eastAsia="方正楷体_GBK" w:cs="方正楷体_GBK"/>
          <w:b w:val="0"/>
          <w:bCs/>
          <w:sz w:val="32"/>
          <w:szCs w:val="32"/>
          <w:shd w:val="clear" w:color="auto" w:fill="FFFFFF"/>
        </w:rPr>
        <w:t>结转结余情况</w:t>
      </w:r>
      <w:r>
        <w:rPr>
          <w:rStyle w:val="10"/>
          <w:rFonts w:ascii="方正仿宋_GBK" w:hAnsi="方正仿宋_GBK" w:eastAsia="方正仿宋_GBK" w:cs="方正仿宋_GBK"/>
          <w:b w:val="0"/>
          <w:bCs/>
          <w:sz w:val="32"/>
          <w:szCs w:val="32"/>
          <w:shd w:val="clear" w:color="auto" w:fill="FFFFFF"/>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与2023年度相比，减少12.61万元，下降100.0%</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shd w:val="clear" w:color="auto" w:fill="FFFFFF"/>
          <w:lang w:val="en-US" w:eastAsia="zh-CN"/>
        </w:rPr>
        <w:t>202</w:t>
      </w:r>
      <w:r>
        <w:rPr>
          <w:rFonts w:hint="eastAsia" w:ascii="Times New Roman" w:hAnsi="Times New Roman" w:eastAsia="方正仿宋_GBK" w:cs="Times New Roman"/>
          <w:sz w:val="32"/>
          <w:szCs w:val="32"/>
          <w:shd w:val="clear" w:color="auto" w:fill="FFFFFF"/>
          <w:lang w:val="en-US" w:eastAsia="zh-CN"/>
        </w:rPr>
        <w:t>4</w:t>
      </w:r>
      <w:r>
        <w:rPr>
          <w:rFonts w:hint="eastAsia" w:ascii="方正仿宋_GBK" w:hAnsi="方正仿宋_GBK" w:eastAsia="方正仿宋_GBK" w:cs="方正仿宋_GBK"/>
          <w:sz w:val="32"/>
          <w:szCs w:val="32"/>
          <w:shd w:val="clear" w:color="auto" w:fill="FFFFFF"/>
          <w:lang w:val="en-US" w:eastAsia="zh-CN"/>
        </w:rPr>
        <w:t>年本单位无结转结余。</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244.35</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pPr>
        <w:keepNext w:val="0"/>
        <w:keepLines w:val="0"/>
        <w:pageBreakBefore w:val="0"/>
        <w:kinsoku/>
        <w:wordWrap/>
        <w:overflowPunct/>
        <w:topLinePunct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val="en-US" w:eastAsia="zh-CN"/>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244.35</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与2023年度相比，增加14.89万元，增长6.5%</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b w:val="0"/>
          <w:bCs w:val="0"/>
          <w:sz w:val="32"/>
          <w:szCs w:val="32"/>
          <w:shd w:val="clear" w:color="auto" w:fill="FFFFFF"/>
        </w:rPr>
        <w:t>主要原因</w:t>
      </w:r>
      <w:r>
        <w:rPr>
          <w:rFonts w:ascii="方正仿宋_GBK" w:hAnsi="方正仿宋_GBK" w:eastAsia="方正仿宋_GBK" w:cs="方正仿宋_GBK"/>
          <w:b w:val="0"/>
          <w:bCs w:val="0"/>
          <w:sz w:val="32"/>
          <w:szCs w:val="32"/>
          <w:highlight w:val="none"/>
          <w:shd w:val="clear" w:color="auto" w:fill="FFFFFF"/>
        </w:rPr>
        <w:t>是</w:t>
      </w:r>
      <w:r>
        <w:rPr>
          <w:rFonts w:hint="eastAsia" w:ascii="方正仿宋_GBK" w:hAnsi="方正仿宋_GBK" w:eastAsia="方正仿宋_GBK" w:cs="方正仿宋_GBK"/>
          <w:b w:val="0"/>
          <w:bCs w:val="0"/>
          <w:sz w:val="32"/>
          <w:szCs w:val="32"/>
          <w:highlight w:val="none"/>
          <w:shd w:val="clear" w:color="auto" w:fill="FFFFFF"/>
          <w:lang w:eastAsia="zh-CN"/>
        </w:rPr>
        <w:t>职工的基本工资、津贴补贴支出</w:t>
      </w:r>
      <w:r>
        <w:rPr>
          <w:rFonts w:hint="eastAsia" w:ascii="方正仿宋_GBK" w:hAnsi="方正仿宋_GBK" w:eastAsia="方正仿宋_GBK" w:cs="方正仿宋_GBK"/>
          <w:b w:val="0"/>
          <w:bCs w:val="0"/>
          <w:sz w:val="32"/>
          <w:szCs w:val="32"/>
          <w:highlight w:val="none"/>
          <w:shd w:val="clear" w:color="auto" w:fill="FFFFFF"/>
          <w:lang w:val="en-US" w:eastAsia="zh-CN"/>
        </w:rPr>
        <w:t>及</w:t>
      </w:r>
      <w:r>
        <w:rPr>
          <w:rFonts w:hint="eastAsia" w:ascii="方正仿宋_GBK" w:hAnsi="方正仿宋_GBK" w:eastAsia="方正仿宋_GBK" w:cs="方正仿宋_GBK"/>
          <w:b w:val="0"/>
          <w:bCs w:val="0"/>
          <w:sz w:val="32"/>
          <w:szCs w:val="32"/>
          <w:highlight w:val="none"/>
          <w:shd w:val="clear" w:color="auto" w:fill="FFFFFF"/>
          <w:lang w:eastAsia="zh-CN"/>
        </w:rPr>
        <w:t>其他工作福利支出增加</w:t>
      </w:r>
      <w:r>
        <w:rPr>
          <w:rFonts w:hint="eastAsia" w:ascii="方正仿宋_GBK" w:hAnsi="方正仿宋_GBK" w:eastAsia="方正仿宋_GBK" w:cs="方正仿宋_GBK"/>
          <w:b w:val="0"/>
          <w:bCs w:val="0"/>
          <w:sz w:val="32"/>
          <w:szCs w:val="32"/>
          <w:shd w:val="clear" w:color="auto" w:fill="FFFFFF"/>
          <w:lang w:eastAsia="zh-CN"/>
        </w:rPr>
        <w:t>。</w:t>
      </w:r>
      <w:r>
        <w:rPr>
          <w:rFonts w:ascii="方正仿宋_GBK" w:hAnsi="方正仿宋_GBK" w:eastAsia="方正仿宋_GBK" w:cs="方正仿宋_GBK"/>
          <w:b w:val="0"/>
          <w:bCs w:val="0"/>
          <w:sz w:val="32"/>
          <w:szCs w:val="32"/>
          <w:shd w:val="clear" w:color="auto" w:fill="FFFFFF"/>
        </w:rPr>
        <w:t>人员经费用途主要包括</w:t>
      </w:r>
      <w:r>
        <w:rPr>
          <w:rFonts w:hint="default" w:ascii="Times New Roman" w:hAnsi="Times New Roman" w:eastAsia="方正仿宋_GBK" w:cs="Times New Roman"/>
          <w:b w:val="0"/>
          <w:bCs w:val="0"/>
          <w:sz w:val="32"/>
          <w:szCs w:val="32"/>
          <w:lang w:val="en-US" w:eastAsia="zh-CN"/>
        </w:rPr>
        <w:t>人员社会保障、工资、绩效、津补贴支出等。</w:t>
      </w:r>
    </w:p>
    <w:p>
      <w:pPr>
        <w:keepNext w:val="0"/>
        <w:keepLines w:val="0"/>
        <w:pageBreakBefore w:val="0"/>
        <w:kinsoku/>
        <w:wordWrap/>
        <w:overflowPunct/>
        <w:topLinePunct w:val="0"/>
        <w:autoSpaceDN/>
        <w:bidi w:val="0"/>
        <w:adjustRightInd w:val="0"/>
        <w:snapToGrid w:val="0"/>
        <w:spacing w:beforeAutospacing="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与2023年度相比，减少50.00万元，下降100.0%</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b w:val="0"/>
          <w:bCs w:val="0"/>
          <w:sz w:val="32"/>
          <w:szCs w:val="32"/>
          <w:highlight w:val="none"/>
          <w:shd w:val="clear" w:color="auto" w:fill="FFFFFF"/>
        </w:rPr>
        <w:t>主要原因是</w:t>
      </w:r>
      <w:r>
        <w:rPr>
          <w:rFonts w:hint="default" w:ascii="Times New Roman" w:hAnsi="Times New Roman" w:eastAsia="方正仿宋_GBK" w:cs="Times New Roman"/>
          <w:b w:val="0"/>
          <w:bCs w:val="0"/>
          <w:sz w:val="32"/>
          <w:szCs w:val="32"/>
          <w:highlight w:val="none"/>
          <w:shd w:val="clear" w:color="auto" w:fill="FFFFFF"/>
          <w:lang w:val="en-US" w:eastAsia="zh-CN"/>
        </w:rPr>
        <w:t>2024</w:t>
      </w:r>
      <w:r>
        <w:rPr>
          <w:rFonts w:hint="eastAsia" w:ascii="方正仿宋_GBK" w:hAnsi="方正仿宋_GBK" w:eastAsia="方正仿宋_GBK" w:cs="方正仿宋_GBK"/>
          <w:b w:val="0"/>
          <w:bCs w:val="0"/>
          <w:sz w:val="32"/>
          <w:szCs w:val="32"/>
          <w:highlight w:val="none"/>
          <w:shd w:val="clear" w:color="auto" w:fill="FFFFFF"/>
          <w:lang w:val="en-US" w:eastAsia="zh-CN"/>
        </w:rPr>
        <w:t>年无财政拨款公用经费</w:t>
      </w:r>
      <w:r>
        <w:rPr>
          <w:rFonts w:hint="default" w:ascii="Times New Roman" w:hAnsi="Times New Roman" w:eastAsia="方正仿宋_GBK" w:cs="Times New Roman"/>
          <w:b w:val="0"/>
          <w:bCs w:val="0"/>
          <w:sz w:val="32"/>
          <w:szCs w:val="32"/>
          <w:highlight w:val="none"/>
          <w:lang w:val="en-US" w:eastAsia="zh-CN"/>
        </w:rPr>
        <w:t>。</w:t>
      </w:r>
      <w:r>
        <w:rPr>
          <w:rFonts w:ascii="方正仿宋_GBK" w:hAnsi="方正仿宋_GBK" w:eastAsia="方正仿宋_GBK" w:cs="方正仿宋_GBK"/>
          <w:b w:val="0"/>
          <w:bCs w:val="0"/>
          <w:sz w:val="32"/>
          <w:szCs w:val="32"/>
          <w:shd w:val="clear" w:color="auto" w:fill="FFFFFF"/>
        </w:rPr>
        <w:t>公用经费用途主要包括</w:t>
      </w:r>
      <w:r>
        <w:rPr>
          <w:rFonts w:hint="eastAsia" w:ascii="方正仿宋_GBK" w:hAnsi="方正仿宋_GBK" w:eastAsia="方正仿宋_GBK" w:cs="方正仿宋_GBK"/>
          <w:b w:val="0"/>
          <w:bCs w:val="0"/>
          <w:sz w:val="32"/>
          <w:szCs w:val="32"/>
          <w:shd w:val="clear" w:color="auto" w:fill="FFFFFF"/>
          <w:lang w:eastAsia="zh-CN"/>
        </w:rPr>
        <w:t>办公费、印刷费、会议费、差旅费、培训费、专用材料费、公务接待费等。</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000000" w:themeColor="text1"/>
          <w:sz w:val="32"/>
          <w:szCs w:val="32"/>
          <w:shd w:val="clear" w:color="auto" w:fill="auto"/>
          <w14:textFill>
            <w14:solidFill>
              <w14:schemeClr w14:val="tx1"/>
            </w14:solidFill>
          </w14:textFill>
        </w:rPr>
      </w:pPr>
      <w:r>
        <w:rPr>
          <w:rStyle w:val="10"/>
          <w:rFonts w:hint="eastAsia" w:ascii="方正仿宋_GBK" w:hAnsi="方正仿宋_GBK" w:eastAsia="方正仿宋_GBK" w:cs="方正仿宋_GBK"/>
          <w:b w:val="0"/>
          <w:bCs/>
          <w:color w:val="000000" w:themeColor="text1"/>
          <w:sz w:val="32"/>
          <w:szCs w:val="32"/>
          <w:shd w:val="clear" w:color="auto" w:fill="auto"/>
          <w14:textFill>
            <w14:solidFill>
              <w14:schemeClr w14:val="tx1"/>
            </w14:solidFill>
          </w14:textFill>
        </w:rPr>
        <w:t>本</w:t>
      </w:r>
      <w:r>
        <w:rPr>
          <w:rStyle w:val="10"/>
          <w:rFonts w:hint="eastAsia" w:ascii="方正仿宋_GBK" w:hAnsi="方正仿宋_GBK" w:eastAsia="方正仿宋_GBK" w:cs="方正仿宋_GBK"/>
          <w:b w:val="0"/>
          <w:bCs/>
          <w:color w:val="000000" w:themeColor="text1"/>
          <w:sz w:val="32"/>
          <w:szCs w:val="32"/>
          <w:shd w:val="clear" w:color="auto" w:fill="auto"/>
          <w:lang w:eastAsia="zh-CN"/>
          <w14:textFill>
            <w14:solidFill>
              <w14:schemeClr w14:val="tx1"/>
            </w14:solidFill>
          </w14:textFill>
        </w:rPr>
        <w:t>单位</w:t>
      </w:r>
      <w:r>
        <w:rPr>
          <w:rStyle w:val="10"/>
          <w:rFonts w:hint="default" w:ascii="Times New Roman" w:hAnsi="Times New Roman" w:eastAsia="方正仿宋_GBK" w:cs="Times New Roman"/>
          <w:b w:val="0"/>
          <w:bCs/>
          <w:color w:val="000000" w:themeColor="text1"/>
          <w:sz w:val="32"/>
          <w:szCs w:val="32"/>
          <w:shd w:val="clear" w:color="auto" w:fill="auto"/>
          <w14:textFill>
            <w14:solidFill>
              <w14:schemeClr w14:val="tx1"/>
            </w14:solidFill>
          </w14:textFill>
        </w:rPr>
        <w:t>2024</w:t>
      </w:r>
      <w:r>
        <w:rPr>
          <w:rStyle w:val="10"/>
          <w:rFonts w:hint="eastAsia" w:ascii="方正仿宋_GBK" w:hAnsi="方正仿宋_GBK" w:eastAsia="方正仿宋_GBK" w:cs="方正仿宋_GBK"/>
          <w:b w:val="0"/>
          <w:bCs/>
          <w:color w:val="000000" w:themeColor="text1"/>
          <w:sz w:val="32"/>
          <w:szCs w:val="32"/>
          <w:shd w:val="clear" w:color="auto" w:fill="auto"/>
          <w14:textFill>
            <w14:solidFill>
              <w14:schemeClr w14:val="tx1"/>
            </w14:solidFill>
          </w14:textFill>
        </w:rPr>
        <w:t>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638" w:leftChars="266" w:firstLine="0" w:firstLineChars="0"/>
        <w:jc w:val="both"/>
        <w:textAlignment w:val="auto"/>
        <w:rPr>
          <w:rStyle w:val="10"/>
          <w:rFonts w:hint="eastAsia" w:ascii="方正黑体_GBK" w:hAnsi="方正黑体_GBK" w:eastAsia="方正黑体_GBK" w:cs="方正黑体_GBK"/>
          <w:b w:val="0"/>
          <w:bCs w:val="0"/>
          <w:sz w:val="32"/>
          <w:szCs w:val="32"/>
          <w:shd w:val="clear" w:color="auto" w:fill="FFFFFF"/>
        </w:rPr>
      </w:pPr>
      <w:r>
        <w:rPr>
          <w:rFonts w:hint="eastAsia" w:ascii="Times New Roman" w:hAnsi="Times New Roman" w:eastAsia="方正仿宋_GBK"/>
          <w:sz w:val="32"/>
          <w:szCs w:val="32"/>
          <w:shd w:val="clear" w:color="auto" w:fill="FFFFFF"/>
          <w:lang w:eastAsia="zh-CN"/>
        </w:rPr>
        <w:t>本单位</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w:t>
      </w:r>
      <w:r>
        <w:rPr>
          <w:rFonts w:hint="eastAsia" w:ascii="方正仿宋_GBK" w:hAnsi="方正仿宋_GBK" w:eastAsia="方正仿宋_GBK" w:cs="方正仿宋_GBK"/>
          <w:sz w:val="32"/>
          <w:szCs w:val="32"/>
          <w:shd w:val="clear" w:color="auto" w:fill="FFFFFF"/>
          <w:lang w:eastAsia="zh-CN"/>
        </w:rPr>
        <w:t>无国有资本经营预算财政拨款支出。</w:t>
      </w:r>
      <w:r>
        <w:rPr>
          <w:rStyle w:val="10"/>
          <w:rFonts w:hint="eastAsia" w:ascii="方正黑体_GBK" w:hAnsi="方正黑体_GBK" w:eastAsia="方正黑体_GBK" w:cs="方正黑体_GBK"/>
          <w:b w:val="0"/>
          <w:bCs w:val="0"/>
          <w:sz w:val="32"/>
          <w:szCs w:val="32"/>
          <w:shd w:val="clear" w:color="auto" w:fill="FFFFFF"/>
        </w:rPr>
        <w:t>三、</w:t>
      </w:r>
      <w:r>
        <w:rPr>
          <w:rStyle w:val="10"/>
          <w:rFonts w:hint="eastAsia" w:ascii="方正黑体_GBK" w:hAnsi="方正黑体_GBK" w:eastAsia="方正黑体_GBK" w:cs="方正黑体_GBK"/>
          <w:b w:val="0"/>
          <w:bCs w:val="0"/>
          <w:sz w:val="32"/>
          <w:szCs w:val="32"/>
          <w:shd w:val="clear" w:color="auto" w:fill="FFFFFF"/>
          <w:lang w:eastAsia="zh-CN"/>
        </w:rPr>
        <w:t>财政拨款</w:t>
      </w:r>
      <w:r>
        <w:rPr>
          <w:rStyle w:val="10"/>
          <w:rFonts w:hint="eastAsia" w:ascii="方正黑体_GBK" w:hAnsi="方正黑体_GBK" w:eastAsia="方正黑体_GBK" w:cs="方正黑体_GBK"/>
          <w:b w:val="0"/>
          <w:bCs w:val="0"/>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（一）“三公”经费支出总体情况说明</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Fonts w:hint="eastAsia" w:ascii="Times New Roman" w:hAnsi="Times New Roman" w:eastAsia="方正仿宋_GBK" w:cs="方正仿宋_GBK"/>
          <w:b w:val="0"/>
          <w:bCs w:val="0"/>
          <w:color w:val="auto"/>
          <w:sz w:val="32"/>
          <w:szCs w:val="32"/>
          <w:shd w:val="clear" w:color="auto" w:fill="FFFFFF"/>
          <w:lang w:eastAsia="zh-CN"/>
        </w:rPr>
        <w:t>本</w:t>
      </w:r>
      <w:r>
        <w:rPr>
          <w:rFonts w:ascii="Times New Roman" w:hAnsi="Times New Roman" w:eastAsia="方正仿宋_GBK" w:cs="方正仿宋_GBK"/>
          <w:b w:val="0"/>
          <w:bCs w:val="0"/>
          <w:color w:val="auto"/>
          <w:sz w:val="32"/>
          <w:szCs w:val="32"/>
          <w:shd w:val="clear" w:color="auto" w:fill="FFFFFF"/>
        </w:rPr>
        <w:t>单位属于差额拨款单位，</w:t>
      </w:r>
      <w:r>
        <w:rPr>
          <w:rFonts w:hint="eastAsia" w:ascii="Times New Roman" w:hAnsi="Times New Roman" w:eastAsia="方正仿宋_GBK" w:cs="方正仿宋_GBK"/>
          <w:b w:val="0"/>
          <w:bCs w:val="0"/>
          <w:color w:val="auto"/>
          <w:sz w:val="32"/>
          <w:szCs w:val="32"/>
          <w:shd w:val="clear" w:color="auto" w:fill="FFFFFF"/>
          <w:lang w:eastAsia="zh-CN"/>
        </w:rPr>
        <w:t>未使用财政资金保障</w:t>
      </w:r>
      <w:r>
        <w:rPr>
          <w:rFonts w:ascii="Times New Roman" w:hAnsi="Times New Roman" w:eastAsia="方正仿宋_GBK" w:cs="方正仿宋_GBK"/>
          <w:b w:val="0"/>
          <w:bCs w:val="0"/>
          <w:color w:val="auto"/>
          <w:sz w:val="32"/>
          <w:szCs w:val="32"/>
          <w:shd w:val="clear" w:color="auto" w:fill="FFFFFF"/>
        </w:rPr>
        <w:t>“三公”经费。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（二）“三公”经费分项支出情况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因公出国（境）费用，费用支出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车购置费，费用支出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车运行维护费，费用支出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公务接待费，费用支出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（三）“三公”经费实物量情况</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因公出国（境）共计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个团组，</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人；公务用车购置</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辆，公务车保有量为</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辆；国内公务接待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人，其中：国内外事接待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人；国（境）外公务接待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人均接待费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元，车均购置费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万元，车均维护费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（一）财政拨款会议费、培训费和差旅费情况说明</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lang w:eastAsia="zh-CN"/>
        </w:rPr>
      </w:pPr>
      <w:r>
        <w:rPr>
          <w:rFonts w:hint="default" w:ascii="Times New Roman" w:hAnsi="Times New Roman" w:eastAsia="方正仿宋_GBK" w:cs="Times New Roman"/>
          <w:b w:val="0"/>
          <w:bCs w:val="0"/>
          <w:kern w:val="0"/>
          <w:sz w:val="32"/>
          <w:szCs w:val="32"/>
          <w:lang w:val="en-US" w:eastAsia="zh-CN"/>
        </w:rPr>
        <w:t>因本单位</w:t>
      </w:r>
      <w:r>
        <w:rPr>
          <w:rFonts w:hint="eastAsia" w:ascii="Times New Roman" w:hAnsi="Times New Roman" w:eastAsia="方正仿宋_GBK" w:cs="Times New Roman"/>
          <w:b w:val="0"/>
          <w:bCs w:val="0"/>
          <w:kern w:val="0"/>
          <w:sz w:val="32"/>
          <w:szCs w:val="32"/>
          <w:lang w:val="en-US" w:eastAsia="zh-CN"/>
        </w:rPr>
        <w:t>为</w:t>
      </w:r>
      <w:r>
        <w:rPr>
          <w:rFonts w:hint="default" w:ascii="Times New Roman" w:hAnsi="Times New Roman" w:eastAsia="方正仿宋_GBK" w:cs="Times New Roman"/>
          <w:b w:val="0"/>
          <w:bCs w:val="0"/>
          <w:kern w:val="0"/>
          <w:sz w:val="32"/>
          <w:szCs w:val="32"/>
          <w:lang w:val="en-US" w:eastAsia="zh-CN"/>
        </w:rPr>
        <w:t>差额拨款单位，</w:t>
      </w:r>
      <w:r>
        <w:rPr>
          <w:rFonts w:hint="eastAsia" w:ascii="Times New Roman" w:hAnsi="Times New Roman" w:eastAsia="方正仿宋_GBK" w:cs="Times New Roman"/>
          <w:b w:val="0"/>
          <w:bCs w:val="0"/>
          <w:kern w:val="0"/>
          <w:sz w:val="32"/>
          <w:szCs w:val="32"/>
          <w:lang w:val="en-US" w:eastAsia="zh-CN"/>
        </w:rPr>
        <w:t>未使用财政资金保障</w:t>
      </w:r>
      <w:r>
        <w:rPr>
          <w:rFonts w:hint="default" w:ascii="Times New Roman" w:hAnsi="Times New Roman" w:eastAsia="方正仿宋_GBK" w:cs="Times New Roman"/>
          <w:b w:val="0"/>
          <w:bCs w:val="0"/>
          <w:kern w:val="0"/>
          <w:sz w:val="32"/>
          <w:szCs w:val="32"/>
          <w:lang w:val="en-US" w:eastAsia="zh-CN"/>
        </w:rPr>
        <w:t>会议费</w:t>
      </w:r>
      <w:r>
        <w:rPr>
          <w:rFonts w:hint="eastAsia" w:ascii="Times New Roman" w:hAnsi="Times New Roman" w:eastAsia="方正仿宋_GBK" w:cs="Times New Roman"/>
          <w:b w:val="0"/>
          <w:bCs w:val="0"/>
          <w:kern w:val="0"/>
          <w:sz w:val="32"/>
          <w:szCs w:val="32"/>
          <w:lang w:val="en-US" w:eastAsia="zh-CN"/>
        </w:rPr>
        <w:t>、</w:t>
      </w:r>
      <w:r>
        <w:rPr>
          <w:rFonts w:hint="default" w:ascii="Times New Roman" w:hAnsi="Times New Roman" w:eastAsia="方正仿宋_GBK" w:cs="Times New Roman"/>
          <w:b w:val="0"/>
          <w:bCs w:val="0"/>
          <w:kern w:val="0"/>
          <w:sz w:val="32"/>
          <w:szCs w:val="32"/>
          <w:lang w:val="en-US" w:eastAsia="zh-CN"/>
        </w:rPr>
        <w:t>培训费</w:t>
      </w:r>
      <w:r>
        <w:rPr>
          <w:rFonts w:hint="eastAsia" w:ascii="Times New Roman" w:hAnsi="Times New Roman" w:eastAsia="方正仿宋_GBK" w:cs="Times New Roman"/>
          <w:b w:val="0"/>
          <w:bCs w:val="0"/>
          <w:kern w:val="0"/>
          <w:sz w:val="32"/>
          <w:szCs w:val="32"/>
          <w:lang w:val="en-US" w:eastAsia="zh-CN"/>
        </w:rPr>
        <w:t>和差旅费。</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default" w:ascii="方正仿宋_GBK" w:hAnsi="方正仿宋_GBK" w:eastAsia="方正仿宋_GBK" w:cs="方正仿宋_GBK"/>
          <w:color w:val="auto"/>
          <w:sz w:val="32"/>
          <w:szCs w:val="32"/>
          <w:highlight w:val="yellow"/>
        </w:rPr>
      </w:pPr>
      <w:r>
        <w:rPr>
          <w:rFonts w:hint="eastAsia" w:ascii="Times New Roman" w:hAnsi="Times New Roman" w:eastAsia="方正仿宋_GBK" w:cs="Times New Roman"/>
          <w:b w:val="0"/>
          <w:bCs w:val="0"/>
          <w:kern w:val="0"/>
          <w:sz w:val="32"/>
          <w:szCs w:val="32"/>
          <w:lang w:val="en-US" w:eastAsia="zh-CN"/>
        </w:rPr>
        <w:t>因</w:t>
      </w:r>
      <w:r>
        <w:rPr>
          <w:rFonts w:hint="default" w:ascii="Times New Roman" w:hAnsi="Times New Roman" w:eastAsia="方正仿宋_GBK" w:cs="Times New Roman"/>
          <w:b w:val="0"/>
          <w:bCs w:val="0"/>
          <w:kern w:val="0"/>
          <w:sz w:val="32"/>
          <w:szCs w:val="32"/>
          <w:lang w:val="en-US" w:eastAsia="zh-CN"/>
        </w:rPr>
        <w:t>本单位</w:t>
      </w:r>
      <w:r>
        <w:rPr>
          <w:rFonts w:hint="eastAsia" w:ascii="Times New Roman" w:hAnsi="Times New Roman" w:eastAsia="方正仿宋_GBK" w:cs="Times New Roman"/>
          <w:b w:val="0"/>
          <w:bCs w:val="0"/>
          <w:kern w:val="0"/>
          <w:sz w:val="32"/>
          <w:szCs w:val="32"/>
          <w:lang w:val="en-US" w:eastAsia="zh-CN"/>
        </w:rPr>
        <w:t>为</w:t>
      </w:r>
      <w:r>
        <w:rPr>
          <w:rFonts w:hint="default" w:ascii="Times New Roman" w:hAnsi="Times New Roman" w:eastAsia="方正仿宋_GBK" w:cs="Times New Roman"/>
          <w:b w:val="0"/>
          <w:bCs w:val="0"/>
          <w:kern w:val="0"/>
          <w:sz w:val="32"/>
          <w:szCs w:val="32"/>
          <w:lang w:val="en-US" w:eastAsia="zh-CN"/>
        </w:rPr>
        <w:t>差额拨款单位，</w:t>
      </w:r>
      <w:r>
        <w:rPr>
          <w:rFonts w:hint="eastAsia" w:ascii="Times New Roman" w:hAnsi="Times New Roman" w:eastAsia="方正仿宋_GBK" w:cs="Times New Roman"/>
          <w:b w:val="0"/>
          <w:bCs w:val="0"/>
          <w:kern w:val="0"/>
          <w:sz w:val="32"/>
          <w:szCs w:val="32"/>
          <w:lang w:val="en-US" w:eastAsia="zh-CN"/>
        </w:rPr>
        <w:t>未使用财政资金保障机关运行经费。</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shd w:val="clear" w:color="auto" w:fill="FFFFFF"/>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政府采购支出总额</w:t>
      </w:r>
      <w:r>
        <w:rPr>
          <w:rFonts w:hint="default" w:ascii="Times New Roman" w:hAnsi="Times New Roman" w:eastAsia="方正仿宋_GBK"/>
          <w:sz w:val="32"/>
          <w:szCs w:val="32"/>
          <w:shd w:val="clear" w:color="auto" w:fill="FFFFFF"/>
        </w:rPr>
        <w:t>3.59</w:t>
      </w:r>
      <w:r>
        <w:rPr>
          <w:rFonts w:ascii="方正仿宋_GBK" w:hAnsi="方正仿宋_GBK" w:eastAsia="方正仿宋_GBK" w:cs="方正仿宋_GBK"/>
          <w:sz w:val="32"/>
          <w:szCs w:val="32"/>
          <w:shd w:val="clear" w:color="auto" w:fill="FFFFFF"/>
        </w:rPr>
        <w:t>万元，其中：政府采购货物支出</w:t>
      </w:r>
      <w:r>
        <w:rPr>
          <w:rFonts w:hint="default" w:ascii="Times New Roman" w:hAnsi="Times New Roman" w:eastAsia="方正仿宋_GBK"/>
          <w:sz w:val="32"/>
          <w:szCs w:val="32"/>
          <w:shd w:val="clear" w:color="auto" w:fill="FFFFFF"/>
        </w:rPr>
        <w:t>3.59</w:t>
      </w:r>
      <w:r>
        <w:rPr>
          <w:rFonts w:ascii="方正仿宋_GBK" w:hAnsi="方正仿宋_GBK" w:eastAsia="方正仿宋_GBK" w:cs="方正仿宋_GBK"/>
          <w:sz w:val="32"/>
          <w:szCs w:val="32"/>
          <w:shd w:val="clear" w:color="auto" w:fill="FFFFFF"/>
        </w:rPr>
        <w:t>万元、政府采购工程支出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万元、政府采购服务支出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万元。授予中小企业合同金额</w:t>
      </w:r>
      <w:r>
        <w:rPr>
          <w:rFonts w:hint="default" w:ascii="Times New Roman" w:hAnsi="Times New Roman" w:eastAsia="方正仿宋_GBK"/>
          <w:sz w:val="32"/>
          <w:szCs w:val="32"/>
          <w:shd w:val="clear" w:color="auto" w:fill="FFFFFF"/>
        </w:rPr>
        <w:t>3.59</w:t>
      </w:r>
      <w:r>
        <w:rPr>
          <w:rFonts w:ascii="方正仿宋_GBK" w:hAnsi="方正仿宋_GBK" w:eastAsia="方正仿宋_GBK" w:cs="方正仿宋_GBK"/>
          <w:sz w:val="32"/>
          <w:szCs w:val="32"/>
        </w:rPr>
        <w:t>万</w:t>
      </w:r>
      <w:r>
        <w:rPr>
          <w:rFonts w:ascii="方正仿宋_GBK" w:hAnsi="方正仿宋_GBK" w:eastAsia="方正仿宋_GBK" w:cs="方正仿宋_GBK"/>
          <w:sz w:val="32"/>
          <w:szCs w:val="32"/>
          <w:shd w:val="clear" w:color="auto" w:fill="FFFFFF"/>
        </w:rPr>
        <w:t>元，占政府采购支出总额的</w:t>
      </w:r>
      <w:r>
        <w:rPr>
          <w:rFonts w:hint="default" w:ascii="Times New Roman" w:hAnsi="Times New Roman" w:eastAsia="方正仿宋_GBK"/>
          <w:sz w:val="32"/>
          <w:szCs w:val="32"/>
          <w:shd w:val="clear" w:color="auto" w:fill="FFFFFF"/>
        </w:rPr>
        <w:t>100.0%</w:t>
      </w:r>
      <w:r>
        <w:rPr>
          <w:rFonts w:ascii="方正仿宋_GBK" w:hAnsi="方正仿宋_GBK" w:eastAsia="方正仿宋_GBK" w:cs="方正仿宋_GBK"/>
          <w:sz w:val="32"/>
          <w:szCs w:val="32"/>
          <w:shd w:val="clear" w:color="auto" w:fill="FFFFFF"/>
        </w:rPr>
        <w:t>，其中：授予小微企业合同金额</w:t>
      </w:r>
      <w:r>
        <w:rPr>
          <w:rFonts w:hint="default" w:ascii="Times New Roman" w:hAnsi="Times New Roman" w:eastAsia="方正仿宋_GBK"/>
          <w:sz w:val="32"/>
          <w:szCs w:val="32"/>
          <w:shd w:val="clear" w:color="auto" w:fill="FFFFFF"/>
        </w:rPr>
        <w:t>3.59</w:t>
      </w:r>
      <w:r>
        <w:rPr>
          <w:rFonts w:ascii="方正仿宋_GBK" w:hAnsi="方正仿宋_GBK" w:eastAsia="方正仿宋_GBK" w:cs="方正仿宋_GBK"/>
          <w:sz w:val="32"/>
          <w:szCs w:val="32"/>
          <w:shd w:val="clear" w:color="auto" w:fill="FFFFFF"/>
        </w:rPr>
        <w:t>万元，占政府采购支出总额的</w:t>
      </w:r>
      <w:r>
        <w:rPr>
          <w:rFonts w:hint="default" w:ascii="Times New Roman" w:hAnsi="Times New Roman" w:eastAsia="方正仿宋_GBK"/>
          <w:sz w:val="32"/>
          <w:szCs w:val="32"/>
          <w:shd w:val="clear" w:color="auto" w:fill="FFFFFF"/>
        </w:rPr>
        <w:t>100.0 %</w:t>
      </w:r>
      <w:r>
        <w:rPr>
          <w:rFonts w:ascii="方正仿宋_GBK" w:hAnsi="方正仿宋_GBK" w:eastAsia="方正仿宋_GBK" w:cs="方正仿宋_GBK"/>
          <w:sz w:val="32"/>
          <w:szCs w:val="32"/>
          <w:shd w:val="clear" w:color="auto" w:fill="FFFFFF"/>
        </w:rPr>
        <w:t>。主要用于采购</w:t>
      </w:r>
      <w:r>
        <w:rPr>
          <w:rFonts w:hint="eastAsia" w:ascii="方正仿宋_GBK" w:hAnsi="方正仿宋_GBK" w:eastAsia="方正仿宋_GBK" w:cs="方正仿宋_GBK"/>
          <w:sz w:val="32"/>
          <w:szCs w:val="32"/>
          <w:shd w:val="clear" w:color="auto" w:fill="FFFFFF"/>
          <w:lang w:eastAsia="zh-CN"/>
        </w:rPr>
        <w:t>办公物资等。</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黑体_GBK" w:hAnsi="方正黑体_GBK" w:eastAsia="方正黑体_GBK" w:cs="方正黑体_GBK"/>
          <w:b w:val="0"/>
          <w:bCs/>
          <w:sz w:val="32"/>
          <w:szCs w:val="32"/>
          <w:highlight w:val="yellow"/>
          <w:shd w:val="clear" w:color="auto" w:fill="FFFFFF"/>
          <w:lang w:bidi="ar"/>
        </w:rPr>
      </w:pPr>
      <w:r>
        <w:rPr>
          <w:rStyle w:val="10"/>
          <w:rFonts w:hint="eastAsia" w:ascii="方正黑体_GBK" w:hAnsi="方正黑体_GBK" w:eastAsia="方正黑体_GBK" w:cs="方正黑体_GBK"/>
          <w:b w:val="0"/>
          <w:bCs/>
          <w:sz w:val="32"/>
          <w:szCs w:val="32"/>
          <w:shd w:val="clear" w:color="auto" w:fill="FFFFFF"/>
        </w:rPr>
        <w:t>五、</w:t>
      </w:r>
      <w:r>
        <w:rPr>
          <w:rStyle w:val="10"/>
          <w:rFonts w:hint="eastAsia" w:ascii="方正黑体_GBK" w:hAnsi="方正黑体_GBK" w:eastAsia="方正黑体_GBK" w:cs="方正黑体_GBK"/>
          <w:b w:val="0"/>
          <w:bCs/>
          <w:sz w:val="32"/>
          <w:szCs w:val="32"/>
          <w:shd w:val="clear" w:color="auto" w:fill="FFFFFF"/>
          <w:lang w:eastAsia="zh-CN"/>
        </w:rPr>
        <w:t>预算</w:t>
      </w:r>
      <w:r>
        <w:rPr>
          <w:rStyle w:val="10"/>
          <w:rFonts w:hint="eastAsia" w:ascii="方正黑体_GBK" w:hAnsi="方正黑体_GBK" w:eastAsia="方正黑体_GBK" w:cs="方正黑体_GBK"/>
          <w:b w:val="0"/>
          <w:bCs/>
          <w:sz w:val="32"/>
          <w:szCs w:val="32"/>
          <w:shd w:val="clear" w:color="auto" w:fill="FFFFFF"/>
          <w:lang w:val="en-US" w:eastAsia="zh-CN" w:bidi="ar-SA"/>
        </w:rPr>
        <w:t>绩效管理情况说明</w:t>
      </w:r>
    </w:p>
    <w:p>
      <w:pPr>
        <w:pStyle w:val="13"/>
        <w:keepNext w:val="0"/>
        <w:keepLines w:val="0"/>
        <w:pageBreakBefore w:val="0"/>
        <w:kinsoku/>
        <w:wordWrap/>
        <w:overflowPunct/>
        <w:topLinePunct w:val="0"/>
        <w:autoSpaceDE w:val="0"/>
        <w:autoSpaceDN/>
        <w:bidi w:val="0"/>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highlight w:val="yellow"/>
          <w:shd w:val="clear" w:color="auto" w:fill="FFFFFF"/>
          <w:lang w:val="en-US" w:eastAsia="zh-CN" w:bidi="ar"/>
        </w:rPr>
      </w:pPr>
      <w:r>
        <w:rPr>
          <w:rFonts w:hint="eastAsia" w:ascii="方正楷体_GBK" w:hAnsi="方正楷体_GBK" w:eastAsia="方正楷体_GBK" w:cs="方正楷体_GBK"/>
          <w:b w:val="0"/>
          <w:bCs w:val="0"/>
          <w:sz w:val="32"/>
          <w:szCs w:val="32"/>
          <w:shd w:val="clear" w:color="auto" w:fill="FFFFFF"/>
          <w:lang w:bidi="ar"/>
        </w:rPr>
        <w:t>（一）</w:t>
      </w:r>
      <w:r>
        <w:rPr>
          <w:rFonts w:hint="eastAsia" w:ascii="方正楷体_GBK" w:hAnsi="方正楷体_GBK" w:eastAsia="方正楷体_GBK" w:cs="方正楷体_GBK"/>
          <w:b w:val="0"/>
          <w:bCs w:val="0"/>
          <w:sz w:val="32"/>
          <w:szCs w:val="32"/>
          <w:shd w:val="clear" w:color="auto" w:fill="FFFFFF"/>
          <w:lang w:val="en-US" w:eastAsia="zh-CN" w:bidi="ar"/>
        </w:rPr>
        <w:t>单位</w:t>
      </w:r>
      <w:r>
        <w:rPr>
          <w:rFonts w:hint="eastAsia" w:ascii="方正楷体_GBK" w:hAnsi="方正楷体_GBK" w:eastAsia="方正楷体_GBK" w:cs="方正楷体_GBK"/>
          <w:b w:val="0"/>
          <w:bCs w:val="0"/>
          <w:sz w:val="32"/>
          <w:szCs w:val="32"/>
          <w:shd w:val="clear" w:color="auto" w:fill="FFFFFF"/>
          <w:lang w:bidi="ar"/>
        </w:rPr>
        <w:t>自评情况</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tbl>
      <w:tblPr>
        <w:tblStyle w:val="11"/>
        <w:tblW w:w="846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
      <w:tblGrid>
        <w:gridCol w:w="473"/>
        <w:gridCol w:w="1441"/>
        <w:gridCol w:w="1623"/>
        <w:gridCol w:w="633"/>
        <w:gridCol w:w="554"/>
        <w:gridCol w:w="633"/>
        <w:gridCol w:w="633"/>
        <w:gridCol w:w="715"/>
        <w:gridCol w:w="633"/>
        <w:gridCol w:w="473"/>
        <w:gridCol w:w="6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jc w:val="center"/>
        </w:trPr>
        <w:tc>
          <w:tcPr>
            <w:tcW w:w="8469"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ind w:firstLine="1285" w:firstLineChars="400"/>
              <w:jc w:val="both"/>
              <w:textAlignment w:val="center"/>
              <w:rPr>
                <w:rFonts w:hint="eastAsia" w:ascii="方正仿宋_GBK" w:hAnsi="方正仿宋_GBK" w:eastAsia="方正仿宋_GBK" w:cs="方正仿宋_GBK"/>
                <w:b/>
                <w:bCs w:val="0"/>
                <w:i w:val="0"/>
                <w:color w:val="auto"/>
                <w:kern w:val="0"/>
                <w:sz w:val="32"/>
                <w:szCs w:val="32"/>
                <w:highlight w:val="none"/>
                <w:u w:val="none"/>
                <w:lang w:val="en-US" w:eastAsia="zh-CN" w:bidi="ar"/>
              </w:rPr>
            </w:pPr>
            <w:r>
              <w:rPr>
                <w:rFonts w:hint="eastAsia" w:ascii="方正仿宋_GBK" w:hAnsi="方正仿宋_GBK" w:eastAsia="方正仿宋_GBK" w:cs="方正仿宋_GBK"/>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snapToGrid w:val="0"/>
              <w:jc w:val="center"/>
              <w:textAlignment w:val="center"/>
              <w:rPr>
                <w:rFonts w:hint="eastAsia" w:ascii="宋体" w:hAnsi="宋体" w:eastAsia="宋体" w:cs="宋体"/>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eastAsia" w:ascii="方正仿宋_GBK" w:hAnsi="方正仿宋_GBK" w:eastAsia="方正仿宋_GBK" w:cs="方正仿宋_GBK"/>
                <w:b/>
                <w:bCs w:val="0"/>
                <w:i w:val="0"/>
                <w:color w:val="auto"/>
                <w:kern w:val="0"/>
                <w:sz w:val="32"/>
                <w:szCs w:val="32"/>
                <w:highlight w:val="none"/>
                <w:u w:val="none"/>
                <w:lang w:val="en-US" w:eastAsia="zh-CN" w:bidi="ar"/>
              </w:rPr>
              <w:t>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56" w:type="dxa"/>
            <w:left w:w="77" w:type="dxa"/>
            <w:bottom w:w="56" w:type="dxa"/>
            <w:right w:w="77" w:type="dxa"/>
          </w:tblCellMar>
        </w:tblPrEx>
        <w:trPr>
          <w:trHeight w:val="0" w:hRule="atLeast"/>
          <w:jc w:val="center"/>
        </w:trPr>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56" w:type="dxa"/>
            <w:left w:w="77" w:type="dxa"/>
            <w:bottom w:w="56" w:type="dxa"/>
            <w:right w:w="77" w:type="dxa"/>
          </w:tblCellMar>
        </w:tblPrEx>
        <w:trPr>
          <w:trHeight w:val="0" w:hRule="atLeast"/>
          <w:jc w:val="center"/>
        </w:trPr>
        <w:tc>
          <w:tcPr>
            <w:tcW w:w="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14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56" w:type="dxa"/>
            <w:left w:w="77" w:type="dxa"/>
            <w:bottom w:w="56" w:type="dxa"/>
            <w:right w:w="77" w:type="dxa"/>
          </w:tblCellMar>
        </w:tblPrEx>
        <w:trPr>
          <w:trHeight w:val="0" w:hRule="atLeast"/>
          <w:jc w:val="center"/>
        </w:trPr>
        <w:tc>
          <w:tcPr>
            <w:tcW w:w="47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4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3"/>
        <w:keepNext w:val="0"/>
        <w:keepLines w:val="0"/>
        <w:pageBreakBefore w:val="0"/>
        <w:kinsoku/>
        <w:wordWrap/>
        <w:overflowPunct/>
        <w:topLinePunct w:val="0"/>
        <w:autoSpaceDE w:val="0"/>
        <w:autoSpaceDN/>
        <w:bidi w:val="0"/>
        <w:spacing w:afterAutospacing="0" w:line="560" w:lineRule="exact"/>
        <w:ind w:left="0" w:leftChars="0" w:firstLine="320" w:firstLineChars="100"/>
        <w:jc w:val="both"/>
        <w:textAlignment w:val="auto"/>
        <w:outlineLvl w:val="9"/>
        <w:rPr>
          <w:rFonts w:hint="eastAsia" w:ascii="方正楷体_GBK" w:hAnsi="方正楷体_GBK" w:eastAsia="方正楷体_GBK" w:cs="方正楷体_GBK"/>
          <w:b w:val="0"/>
          <w:bCs w:val="0"/>
          <w:sz w:val="32"/>
          <w:szCs w:val="32"/>
          <w:shd w:val="clear" w:color="auto" w:fill="FFFFFF"/>
          <w:lang w:bidi="ar"/>
        </w:rPr>
      </w:pPr>
    </w:p>
    <w:p>
      <w:pPr>
        <w:pStyle w:val="13"/>
        <w:keepNext w:val="0"/>
        <w:keepLines w:val="0"/>
        <w:pageBreakBefore w:val="0"/>
        <w:kinsoku/>
        <w:wordWrap/>
        <w:overflowPunct/>
        <w:topLinePunct w:val="0"/>
        <w:autoSpaceDE w:val="0"/>
        <w:autoSpaceDN/>
        <w:bidi w:val="0"/>
        <w:spacing w:afterAutospacing="0" w:line="560" w:lineRule="exact"/>
        <w:ind w:left="0" w:leftChars="0" w:firstLine="320" w:firstLineChars="100"/>
        <w:jc w:val="both"/>
        <w:textAlignment w:val="auto"/>
        <w:outlineLvl w:val="9"/>
        <w:rPr>
          <w:rFonts w:hint="eastAsia" w:ascii="方正楷体_GBK" w:hAnsi="方正楷体_GBK" w:eastAsia="方正楷体_GBK" w:cs="方正楷体_GBK"/>
          <w:b w:val="0"/>
          <w:bCs w:val="0"/>
          <w:sz w:val="32"/>
          <w:szCs w:val="32"/>
          <w:shd w:val="clear" w:color="auto" w:fill="FFFFFF"/>
          <w:lang w:bidi="ar"/>
        </w:rPr>
      </w:pPr>
      <w:r>
        <w:rPr>
          <w:rFonts w:hint="eastAsia" w:ascii="方正楷体_GBK" w:hAnsi="方正楷体_GBK" w:eastAsia="方正楷体_GBK" w:cs="方正楷体_GBK"/>
          <w:b w:val="0"/>
          <w:bCs w:val="0"/>
          <w:sz w:val="32"/>
          <w:szCs w:val="32"/>
          <w:shd w:val="clear" w:color="auto" w:fill="FFFFFF"/>
          <w:lang w:bidi="ar"/>
        </w:rPr>
        <w:t>（二）</w:t>
      </w:r>
      <w:r>
        <w:rPr>
          <w:rFonts w:hint="eastAsia" w:ascii="方正楷体_GBK" w:hAnsi="方正楷体_GBK" w:eastAsia="方正楷体_GBK" w:cs="方正楷体_GBK"/>
          <w:b w:val="0"/>
          <w:bCs w:val="0"/>
          <w:sz w:val="32"/>
          <w:szCs w:val="32"/>
          <w:shd w:val="clear" w:color="auto" w:fill="FFFFFF"/>
          <w:lang w:val="en-US" w:eastAsia="zh-CN" w:bidi="ar"/>
        </w:rPr>
        <w:t>单位</w:t>
      </w:r>
      <w:r>
        <w:rPr>
          <w:rFonts w:hint="eastAsia" w:ascii="方正楷体_GBK" w:hAnsi="方正楷体_GBK" w:eastAsia="方正楷体_GBK" w:cs="方正楷体_GBK"/>
          <w:b w:val="0"/>
          <w:bCs w:val="0"/>
          <w:sz w:val="32"/>
          <w:szCs w:val="32"/>
          <w:shd w:val="clear" w:color="auto" w:fill="FFFFFF"/>
          <w:lang w:bidi="ar"/>
        </w:rPr>
        <w:t>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Style w:val="10"/>
          <w:rFonts w:hint="eastAsia" w:ascii="黑体" w:hAnsi="黑体" w:eastAsia="黑体" w:cs="黑体"/>
          <w:sz w:val="32"/>
          <w:szCs w:val="32"/>
          <w:shd w:val="clear" w:color="auto" w:fill="FFFFFF"/>
          <w:lang w:val="en-US" w:eastAsia="zh-CN" w:bidi="ar-SA"/>
        </w:rPr>
      </w:pPr>
      <w:r>
        <w:rPr>
          <w:rFonts w:hint="eastAsia" w:ascii="方正仿宋_GBK" w:hAnsi="方正仿宋_GBK" w:eastAsia="方正仿宋_GBK" w:cs="方正仿宋_GBK"/>
          <w:sz w:val="32"/>
          <w:szCs w:val="32"/>
          <w:shd w:val="clear" w:color="auto" w:fill="FFFFFF"/>
          <w:lang w:eastAsia="zh-CN" w:bidi="ar"/>
        </w:rPr>
        <w:t>本单位未组织开展绩效评价。</w:t>
      </w:r>
    </w:p>
    <w:p>
      <w:pPr>
        <w:pStyle w:val="8"/>
        <w:keepNext w:val="0"/>
        <w:keepLines w:val="0"/>
        <w:pageBreakBefore w:val="0"/>
        <w:widowControl/>
        <w:numPr>
          <w:ilvl w:val="0"/>
          <w:numId w:val="1"/>
        </w:numPr>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专业名词解释</w:t>
      </w:r>
    </w:p>
    <w:p>
      <w:pPr>
        <w:pStyle w:val="8"/>
        <w:keepNext w:val="0"/>
        <w:keepLines w:val="0"/>
        <w:pageBreakBefore w:val="0"/>
        <w:widowControl/>
        <w:numPr>
          <w:ilvl w:val="0"/>
          <w:numId w:val="0"/>
        </w:numPr>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（二）事业收入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（三）经营收入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（四）其他收入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（五）使用非财政拨款结余</w:t>
      </w:r>
      <w:r>
        <w:rPr>
          <w:rStyle w:val="10"/>
          <w:rFonts w:hint="eastAsia" w:ascii="方正楷体_GBK" w:hAnsi="方正楷体_GBK" w:eastAsia="方正楷体_GBK" w:cs="方正楷体_GBK"/>
          <w:b w:val="0"/>
          <w:bCs/>
          <w:sz w:val="32"/>
          <w:szCs w:val="32"/>
          <w:shd w:val="clear" w:color="auto" w:fill="FFFFFF"/>
          <w:lang w:eastAsia="zh-CN"/>
        </w:rPr>
        <w:t>（含专用结余）</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（六）年初结转和结余</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（七）结余分配</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（八）年末结转和结余</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（九）基本支出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（十）项目支出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（十一）经营支出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（十二）“三公”经费</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（十三）机关运行经费</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（十四）工资福利支出（支出经济分类科目类级）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反映用于对个人和家庭的补助支出。</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（十七）其他资本性支出（支出经济分类科目类级）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lang w:eastAsia="zh-CN"/>
        </w:rPr>
        <w:t>七</w:t>
      </w:r>
      <w:r>
        <w:rPr>
          <w:rStyle w:val="10"/>
          <w:rFonts w:hint="eastAsia" w:ascii="方正黑体_GBK" w:hAnsi="方正黑体_GBK" w:eastAsia="方正黑体_GBK" w:cs="方正黑体_GBK"/>
          <w:b w:val="0"/>
          <w:bCs/>
          <w:sz w:val="32"/>
          <w:szCs w:val="32"/>
          <w:shd w:val="clear" w:color="auto" w:fill="FFFFFF"/>
        </w:rPr>
        <w:t>、决算公开联系方式及信息反馈渠道</w:t>
      </w:r>
    </w:p>
    <w:p>
      <w:pPr>
        <w:pStyle w:val="18"/>
        <w:keepNext w:val="0"/>
        <w:keepLines w:val="0"/>
        <w:pageBreakBefore w:val="0"/>
        <w:widowControl/>
        <w:numPr>
          <w:ilvl w:val="0"/>
          <w:numId w:val="0"/>
        </w:numPr>
        <w:tabs>
          <w:tab w:val="center" w:pos="4153"/>
          <w:tab w:val="left" w:pos="7275"/>
        </w:tabs>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p>
    <w:p>
      <w:pPr>
        <w:pStyle w:val="18"/>
        <w:keepNext w:val="0"/>
        <w:keepLines w:val="0"/>
        <w:pageBreakBefore w:val="0"/>
        <w:widowControl/>
        <w:numPr>
          <w:ilvl w:val="0"/>
          <w:numId w:val="0"/>
        </w:numPr>
        <w:tabs>
          <w:tab w:val="center" w:pos="4153"/>
          <w:tab w:val="left" w:pos="7275"/>
        </w:tabs>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eastAsia" w:ascii="方正仿宋_GBK" w:hAnsi="方正仿宋_GBK" w:eastAsia="方正仿宋_GBK" w:cs="方正仿宋_GBK"/>
          <w:b w:val="0"/>
          <w:bCs w:val="0"/>
          <w:sz w:val="32"/>
          <w:szCs w:val="32"/>
          <w:highlight w:val="none"/>
          <w:shd w:val="clear" w:color="auto" w:fill="FFFFFF"/>
          <w:lang w:val="en-US" w:eastAsia="zh-CN"/>
        </w:rPr>
        <w:t xml:space="preserve">田蜜  </w:t>
      </w:r>
      <w:r>
        <w:rPr>
          <w:rFonts w:hint="default" w:ascii="Times New Roman" w:hAnsi="Times New Roman" w:eastAsia="方正仿宋_GBK" w:cs="Times New Roman"/>
          <w:b w:val="0"/>
          <w:bCs w:val="0"/>
          <w:sz w:val="32"/>
          <w:szCs w:val="32"/>
          <w:highlight w:val="none"/>
          <w:lang w:val="en-US" w:eastAsia="zh-CN"/>
        </w:rPr>
        <w:t>023-76629120</w:t>
      </w:r>
    </w:p>
    <w:p>
      <w:pPr>
        <w:pStyle w:val="13"/>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Style w:val="10"/>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秀山土家族苗族自治县雅江镇卫生院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236.87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277.76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36.91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490.83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519.72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536.40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16.67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536.40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536.40</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4880" w:type="dxa"/>
        <w:tblInd w:w="0" w:type="dxa"/>
        <w:tblLayout w:type="fixed"/>
        <w:tblCellMar>
          <w:top w:w="0" w:type="dxa"/>
          <w:left w:w="0" w:type="dxa"/>
          <w:bottom w:w="0" w:type="dxa"/>
          <w:right w:w="0" w:type="dxa"/>
        </w:tblCellMar>
      </w:tblPr>
      <w:tblGrid>
        <w:gridCol w:w="1567"/>
        <w:gridCol w:w="2951"/>
        <w:gridCol w:w="1256"/>
        <w:gridCol w:w="1308"/>
        <w:gridCol w:w="1203"/>
        <w:gridCol w:w="1203"/>
        <w:gridCol w:w="1263"/>
        <w:gridCol w:w="1205"/>
        <w:gridCol w:w="1332"/>
        <w:gridCol w:w="1592"/>
      </w:tblGrid>
      <w:tr>
        <w:tblPrEx>
          <w:tblLayout w:type="fixed"/>
          <w:tblCellMar>
            <w:top w:w="0" w:type="dxa"/>
            <w:left w:w="0" w:type="dxa"/>
            <w:bottom w:w="0" w:type="dxa"/>
            <w:right w:w="0" w:type="dxa"/>
          </w:tblCellMar>
        </w:tblPrEx>
        <w:trPr>
          <w:trHeight w:val="90" w:hRule="atLeast"/>
        </w:trPr>
        <w:tc>
          <w:tcPr>
            <w:tcW w:w="14880" w:type="dxa"/>
            <w:gridSpan w:val="10"/>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jc w:val="center"/>
              <w:textAlignment w:val="bottom"/>
              <w:rPr>
                <w:rFonts w:hint="default" w:cs="宋体"/>
                <w:b/>
                <w:color w:val="000000"/>
                <w:sz w:val="18"/>
                <w:szCs w:val="18"/>
              </w:rPr>
            </w:pPr>
            <w:r>
              <w:rPr>
                <w:rFonts w:cs="宋体"/>
                <w:b/>
                <w:color w:val="000000"/>
                <w:sz w:val="18"/>
                <w:szCs w:val="18"/>
              </w:rPr>
              <w:t>收入决算表</w:t>
            </w:r>
          </w:p>
        </w:tc>
      </w:tr>
      <w:tr>
        <w:tblPrEx>
          <w:tblLayout w:type="fixed"/>
          <w:tblCellMar>
            <w:top w:w="0" w:type="dxa"/>
            <w:left w:w="0" w:type="dxa"/>
            <w:bottom w:w="0" w:type="dxa"/>
            <w:right w:w="0" w:type="dxa"/>
          </w:tblCellMar>
        </w:tblPrEx>
        <w:trPr>
          <w:trHeight w:val="90" w:hRule="atLeast"/>
        </w:trPr>
        <w:tc>
          <w:tcPr>
            <w:tcW w:w="5774"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r>
              <w:rPr>
                <w:rFonts w:cs="宋体"/>
                <w:sz w:val="18"/>
                <w:szCs w:val="18"/>
              </w:rPr>
              <w:t>单位：</w:t>
            </w:r>
            <w:r>
              <w:rPr>
                <w:sz w:val="18"/>
                <w:szCs w:val="18"/>
                <w:u w:color="auto"/>
              </w:rPr>
              <w:t>秀山土家族苗族自治县雅江镇卫生院</w:t>
            </w:r>
          </w:p>
        </w:tc>
        <w:tc>
          <w:tcPr>
            <w:tcW w:w="13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20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20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2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20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33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5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jc w:val="right"/>
              <w:textAlignment w:val="bottom"/>
              <w:rPr>
                <w:rFonts w:hint="default" w:cs="宋体"/>
                <w:color w:val="000000"/>
                <w:sz w:val="18"/>
                <w:szCs w:val="18"/>
              </w:rPr>
            </w:pPr>
            <w:r>
              <w:rPr>
                <w:rFonts w:cs="宋体"/>
                <w:color w:val="000000"/>
                <w:sz w:val="18"/>
                <w:szCs w:val="18"/>
              </w:rPr>
              <w:t>公开</w:t>
            </w:r>
            <w:r>
              <w:rPr>
                <w:rFonts w:hint="default" w:ascii="Times New Roman" w:hAnsi="Times New Roman" w:cs="Times New Roman"/>
                <w:color w:val="000000"/>
                <w:sz w:val="18"/>
                <w:szCs w:val="18"/>
              </w:rPr>
              <w:t>02</w:t>
            </w:r>
            <w:r>
              <w:rPr>
                <w:rFonts w:cs="宋体"/>
                <w:color w:val="000000"/>
                <w:sz w:val="18"/>
                <w:szCs w:val="18"/>
              </w:rPr>
              <w:t>表</w:t>
            </w:r>
          </w:p>
        </w:tc>
      </w:tr>
      <w:tr>
        <w:tblPrEx>
          <w:tblLayout w:type="fixed"/>
          <w:tblCellMar>
            <w:top w:w="0" w:type="dxa"/>
            <w:left w:w="0" w:type="dxa"/>
            <w:bottom w:w="0" w:type="dxa"/>
            <w:right w:w="0" w:type="dxa"/>
          </w:tblCellMar>
        </w:tblPrEx>
        <w:trPr>
          <w:trHeight w:val="90" w:hRule="atLeast"/>
        </w:trPr>
        <w:tc>
          <w:tcPr>
            <w:tcW w:w="5774"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3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20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20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2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20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33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rPr>
                <w:rFonts w:hint="default" w:cs="宋体"/>
                <w:color w:val="000000"/>
                <w:sz w:val="18"/>
                <w:szCs w:val="18"/>
              </w:rPr>
            </w:pPr>
          </w:p>
        </w:tc>
        <w:tc>
          <w:tcPr>
            <w:tcW w:w="15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jc w:val="right"/>
              <w:textAlignment w:val="bottom"/>
              <w:rPr>
                <w:rFonts w:hint="default" w:cs="宋体"/>
                <w:color w:val="000000"/>
                <w:sz w:val="18"/>
                <w:szCs w:val="18"/>
              </w:rPr>
            </w:pPr>
            <w:r>
              <w:rPr>
                <w:rFonts w:cs="宋体"/>
                <w:color w:val="000000"/>
                <w:sz w:val="18"/>
                <w:szCs w:val="18"/>
              </w:rPr>
              <w:t>单位：</w:t>
            </w:r>
            <w:r>
              <w:rPr>
                <w:rFonts w:cs="宋体"/>
                <w:sz w:val="18"/>
                <w:szCs w:val="18"/>
              </w:rPr>
              <w:t>万元</w:t>
            </w:r>
          </w:p>
        </w:tc>
      </w:tr>
      <w:tr>
        <w:tblPrEx>
          <w:tblLayout w:type="fixed"/>
          <w:tblCellMar>
            <w:top w:w="0" w:type="dxa"/>
            <w:left w:w="0" w:type="dxa"/>
            <w:bottom w:w="0" w:type="dxa"/>
            <w:right w:w="0" w:type="dxa"/>
          </w:tblCellMar>
        </w:tblPrEx>
        <w:trPr>
          <w:trHeight w:val="90" w:hRule="atLeast"/>
        </w:trPr>
        <w:tc>
          <w:tcPr>
            <w:tcW w:w="4518"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jc w:val="center"/>
              <w:textAlignment w:val="bottom"/>
              <w:rPr>
                <w:rFonts w:hint="default" w:cs="宋体"/>
                <w:b/>
                <w:color w:val="000000"/>
                <w:sz w:val="18"/>
                <w:szCs w:val="18"/>
              </w:rPr>
            </w:pPr>
            <w:r>
              <w:rPr>
                <w:rFonts w:cs="宋体"/>
                <w:b/>
                <w:color w:val="000000"/>
                <w:sz w:val="18"/>
                <w:szCs w:val="18"/>
              </w:rPr>
              <w:t>项目</w:t>
            </w: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本年收入合计</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财政拨款收入</w:t>
            </w: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上级补助收入</w:t>
            </w:r>
          </w:p>
        </w:tc>
        <w:tc>
          <w:tcPr>
            <w:tcW w:w="2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val="0"/>
              <w:kinsoku/>
              <w:overflowPunct/>
              <w:topLinePunct w:val="0"/>
              <w:autoSpaceDE/>
              <w:autoSpaceDN/>
              <w:bidi w:val="0"/>
              <w:adjustRightInd/>
              <w:snapToGrid/>
              <w:jc w:val="center"/>
              <w:textAlignment w:val="bottom"/>
              <w:rPr>
                <w:rFonts w:hint="default" w:cs="宋体"/>
                <w:b/>
                <w:color w:val="000000"/>
                <w:sz w:val="18"/>
                <w:szCs w:val="18"/>
              </w:rPr>
            </w:pPr>
            <w:r>
              <w:rPr>
                <w:rFonts w:cs="宋体"/>
                <w:b/>
                <w:color w:val="000000"/>
                <w:sz w:val="18"/>
                <w:szCs w:val="18"/>
              </w:rPr>
              <w:t>事业收入</w:t>
            </w:r>
          </w:p>
        </w:tc>
        <w:tc>
          <w:tcPr>
            <w:tcW w:w="12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经营收入</w:t>
            </w:r>
          </w:p>
        </w:tc>
        <w:tc>
          <w:tcPr>
            <w:tcW w:w="13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附属单位上缴收入</w:t>
            </w:r>
          </w:p>
        </w:tc>
        <w:tc>
          <w:tcPr>
            <w:tcW w:w="15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其他收入</w:t>
            </w:r>
          </w:p>
        </w:tc>
      </w:tr>
      <w:tr>
        <w:tblPrEx>
          <w:tblLayout w:type="fixed"/>
          <w:tblCellMar>
            <w:top w:w="0" w:type="dxa"/>
            <w:left w:w="0" w:type="dxa"/>
            <w:bottom w:w="0" w:type="dxa"/>
            <w:right w:w="0" w:type="dxa"/>
          </w:tblCellMar>
        </w:tblPrEx>
        <w:trPr>
          <w:trHeight w:val="312" w:hRule="atLeast"/>
        </w:trPr>
        <w:tc>
          <w:tcPr>
            <w:tcW w:w="156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功能分类科目编码</w:t>
            </w:r>
          </w:p>
        </w:tc>
        <w:tc>
          <w:tcPr>
            <w:tcW w:w="2951"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项目（按“项”级功能分类科目）</w:t>
            </w: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小计</w:t>
            </w:r>
          </w:p>
        </w:tc>
        <w:tc>
          <w:tcPr>
            <w:tcW w:w="126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其中：教育收费</w:t>
            </w:r>
          </w:p>
        </w:tc>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312" w:hRule="atLeast"/>
        </w:trPr>
        <w:tc>
          <w:tcPr>
            <w:tcW w:w="156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2951"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312" w:hRule="atLeast"/>
        </w:trPr>
        <w:tc>
          <w:tcPr>
            <w:tcW w:w="156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2951"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312" w:hRule="atLeast"/>
        </w:trPr>
        <w:tc>
          <w:tcPr>
            <w:tcW w:w="156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2951"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4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合计</w:t>
            </w:r>
          </w:p>
        </w:tc>
        <w:tc>
          <w:tcPr>
            <w:tcW w:w="12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519.72</w:t>
            </w:r>
            <w:r>
              <w:rPr>
                <w:rFonts w:ascii="Times New Roman" w:hAnsi="Times New Roman"/>
                <w:b/>
                <w:color w:val="000000"/>
                <w:sz w:val="18"/>
                <w:szCs w:val="18"/>
                <w:u w:color="auto"/>
              </w:rPr>
              <w:t xml:space="preserve"> </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236.87</w:t>
            </w:r>
            <w:r>
              <w:rPr>
                <w:rFonts w:ascii="Times New Roman" w:hAnsi="Times New Roman"/>
                <w:b/>
                <w:color w:val="000000"/>
                <w:sz w:val="18"/>
                <w:szCs w:val="18"/>
                <w:u w:color="auto"/>
              </w:rPr>
              <w:t xml:space="preserve"> </w:t>
            </w:r>
          </w:p>
        </w:tc>
        <w:tc>
          <w:tcPr>
            <w:tcW w:w="120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c>
          <w:tcPr>
            <w:tcW w:w="120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277.76</w:t>
            </w:r>
            <w:r>
              <w:rPr>
                <w:rFonts w:ascii="Times New Roman" w:hAnsi="Times New Roman"/>
                <w:b/>
                <w:color w:val="000000"/>
                <w:sz w:val="18"/>
                <w:szCs w:val="18"/>
                <w:u w:color="auto"/>
              </w:rPr>
              <w:t xml:space="preserve"> </w:t>
            </w:r>
          </w:p>
        </w:tc>
        <w:tc>
          <w:tcPr>
            <w:tcW w:w="12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c>
          <w:tcPr>
            <w:tcW w:w="12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c>
          <w:tcPr>
            <w:tcW w:w="133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c>
          <w:tcPr>
            <w:tcW w:w="15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5.10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208</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社会保障和就业支出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36.91</w:t>
            </w:r>
            <w:r>
              <w:rPr>
                <w:rFonts w:ascii="Times New Roman" w:hAnsi="Times New Roman"/>
                <w:b/>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36.91</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20805</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行政事业单位养老支出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36.91</w:t>
            </w:r>
            <w:r>
              <w:rPr>
                <w:rFonts w:ascii="Times New Roman" w:hAnsi="Times New Roman"/>
                <w:b/>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36.91</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2080502</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事业单位离退休</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3.21</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3.21</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2080505</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机关事业单位基本养老保险缴费支出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22.32</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22.32</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2080506</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机关事业单位职业年金缴费支出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11.38</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11.38</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210</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卫生健康支出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474.16</w:t>
            </w:r>
            <w:r>
              <w:rPr>
                <w:rFonts w:ascii="Times New Roman" w:hAnsi="Times New Roman"/>
                <w:b/>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191.30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277.76</w:t>
            </w:r>
            <w:r>
              <w:rPr>
                <w:rFonts w:ascii="Times New Roman" w:hAnsi="Times New Roman"/>
                <w:b/>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5.10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21003</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基层医疗卫生机构</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418.08</w:t>
            </w:r>
            <w:r>
              <w:rPr>
                <w:rFonts w:ascii="Times New Roman" w:hAnsi="Times New Roman"/>
                <w:b/>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135.23</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277.76</w:t>
            </w:r>
            <w:r>
              <w:rPr>
                <w:rFonts w:ascii="Times New Roman" w:hAnsi="Times New Roman"/>
                <w:b/>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5.10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2100302</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乡镇卫生院</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415.64</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132.79</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277.76</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2100399</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其他基层医疗卫生机构支出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2.44</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2.44</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21004</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公共卫生</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46.41</w:t>
            </w:r>
            <w:r>
              <w:rPr>
                <w:rFonts w:ascii="Times New Roman" w:hAnsi="Times New Roman"/>
                <w:b/>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46.41</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2100408</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基本公共卫生服务</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45.88</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45.88</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2100410</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突发公共卫生事件应急处置</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0.53</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0.53</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21011</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行政事业单位医疗</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9.66</w:t>
            </w:r>
            <w:r>
              <w:rPr>
                <w:rFonts w:ascii="Times New Roman" w:hAnsi="Times New Roman"/>
                <w:b/>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9.66</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2101102</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事业单位医疗</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7.21</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7.21</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2101199</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其他行政事业单位医疗支出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2.45</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2.45</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221</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住房保障支出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8.65</w:t>
            </w:r>
            <w:r>
              <w:rPr>
                <w:rFonts w:ascii="Times New Roman" w:hAnsi="Times New Roman"/>
                <w:b/>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8.65</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22102</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住房改革支出</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8.65</w:t>
            </w:r>
            <w:r>
              <w:rPr>
                <w:rFonts w:ascii="Times New Roman" w:hAnsi="Times New Roman"/>
                <w:b/>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8.65</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6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2210201</w:t>
            </w:r>
          </w:p>
        </w:tc>
        <w:tc>
          <w:tcPr>
            <w:tcW w:w="29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住房公积金</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8.65</w:t>
            </w:r>
            <w:r>
              <w:rPr>
                <w:rFonts w:ascii="Times New Roman" w:hAnsi="Times New Roman"/>
                <w:color w:val="000000"/>
                <w:sz w:val="18"/>
                <w:szCs w:val="18"/>
                <w:u w:color="auto"/>
              </w:rPr>
              <w:t xml:space="preserve"> </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8.65</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bl>
    <w:p>
      <w:pPr>
        <w:keepNext w:val="0"/>
        <w:keepLines w:val="0"/>
        <w:pageBreakBefore w:val="0"/>
        <w:widowControl w:val="0"/>
        <w:kinsoku/>
        <w:overflowPunct/>
        <w:topLinePunct w:val="0"/>
        <w:autoSpaceDE/>
        <w:autoSpaceDN/>
        <w:bidi w:val="0"/>
        <w:adjustRightInd/>
        <w:snapToGrid/>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page"/>
      </w:r>
    </w:p>
    <w:tbl>
      <w:tblPr>
        <w:tblStyle w:val="11"/>
        <w:tblW w:w="15500" w:type="dxa"/>
        <w:tblInd w:w="0" w:type="dxa"/>
        <w:tblLayout w:type="fixed"/>
        <w:tblCellMar>
          <w:top w:w="0" w:type="dxa"/>
          <w:left w:w="0" w:type="dxa"/>
          <w:bottom w:w="0" w:type="dxa"/>
          <w:right w:w="0" w:type="dxa"/>
        </w:tblCellMar>
      </w:tblPr>
      <w:tblGrid>
        <w:gridCol w:w="1656"/>
        <w:gridCol w:w="3571"/>
        <w:gridCol w:w="1664"/>
        <w:gridCol w:w="1713"/>
        <w:gridCol w:w="1645"/>
        <w:gridCol w:w="1577"/>
        <w:gridCol w:w="1713"/>
        <w:gridCol w:w="1961"/>
      </w:tblGrid>
      <w:tr>
        <w:tblPrEx>
          <w:tblLayout w:type="fixed"/>
          <w:tblCellMar>
            <w:top w:w="0" w:type="dxa"/>
            <w:left w:w="0" w:type="dxa"/>
            <w:bottom w:w="0" w:type="dxa"/>
            <w:right w:w="0" w:type="dxa"/>
          </w:tblCellMar>
        </w:tblPrEx>
        <w:trPr>
          <w:trHeight w:val="90" w:hRule="atLeast"/>
        </w:trPr>
        <w:tc>
          <w:tcPr>
            <w:tcW w:w="15500"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90" w:hRule="atLeast"/>
        </w:trPr>
        <w:tc>
          <w:tcPr>
            <w:tcW w:w="689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秀山土家族苗族自治县雅江镇卫生院 </w:t>
            </w:r>
          </w:p>
        </w:tc>
        <w:tc>
          <w:tcPr>
            <w:tcW w:w="171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7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689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7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2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12" w:hRule="atLeast"/>
        </w:trPr>
        <w:tc>
          <w:tcPr>
            <w:tcW w:w="165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71"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5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71"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5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71"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5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71"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90" w:hRule="atLeast"/>
        </w:trPr>
        <w:tc>
          <w:tcPr>
            <w:tcW w:w="52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536.40</w:t>
            </w:r>
            <w:r>
              <w:rPr>
                <w:rFonts w:ascii="Times New Roman" w:hAnsi="Times New Roman"/>
                <w:b/>
                <w:color w:val="000000"/>
                <w:sz w:val="20"/>
                <w:u w:color="auto"/>
              </w:rPr>
              <w:t xml:space="preserve"> </w:t>
            </w:r>
          </w:p>
        </w:tc>
        <w:tc>
          <w:tcPr>
            <w:tcW w:w="171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531.27</w:t>
            </w:r>
            <w:r>
              <w:rPr>
                <w:rFonts w:ascii="Times New Roman" w:hAnsi="Times New Roman"/>
                <w:b/>
                <w:color w:val="000000"/>
                <w:sz w:val="20"/>
                <w:u w:color="auto"/>
              </w:rPr>
              <w:t xml:space="preserve"> </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5.13</w:t>
            </w:r>
            <w:r>
              <w:rPr>
                <w:rFonts w:ascii="Times New Roman" w:hAnsi="Times New Roman"/>
                <w:b/>
                <w:color w:val="000000"/>
                <w:sz w:val="20"/>
                <w:u w:color="auto"/>
              </w:rPr>
              <w:t xml:space="preserve"> </w:t>
            </w:r>
          </w:p>
        </w:tc>
        <w:tc>
          <w:tcPr>
            <w:tcW w:w="15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1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36.91</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36.91</w:t>
            </w:r>
            <w:r>
              <w:rPr>
                <w:rFonts w:ascii="Times New Roman" w:hAnsi="Times New Roman"/>
                <w:b/>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36.91</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36.91</w:t>
            </w:r>
            <w:r>
              <w:rPr>
                <w:rFonts w:ascii="Times New Roman" w:hAnsi="Times New Roman"/>
                <w:b/>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3.21</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3.21</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22.32</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22.32</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11.38</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11.38</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490.83</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485.70</w:t>
            </w:r>
            <w:r>
              <w:rPr>
                <w:rFonts w:ascii="Times New Roman" w:hAnsi="Times New Roman"/>
                <w:b/>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5.13</w:t>
            </w:r>
            <w:r>
              <w:rPr>
                <w:rFonts w:ascii="Times New Roman" w:hAnsi="Times New Roman"/>
                <w:b/>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434.76</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430.16</w:t>
            </w:r>
            <w:r>
              <w:rPr>
                <w:rFonts w:ascii="Times New Roman" w:hAnsi="Times New Roman"/>
                <w:b/>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4.60</w:t>
            </w:r>
            <w:r>
              <w:rPr>
                <w:rFonts w:ascii="Times New Roman" w:hAnsi="Times New Roman"/>
                <w:b/>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432.32</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430.16</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2.44</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2.44</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46.41</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45.88</w:t>
            </w:r>
            <w:r>
              <w:rPr>
                <w:rFonts w:ascii="Times New Roman" w:hAnsi="Times New Roman"/>
                <w:b/>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45.88</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45.88</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9.66</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9.66</w:t>
            </w:r>
            <w:r>
              <w:rPr>
                <w:rFonts w:ascii="Times New Roman" w:hAnsi="Times New Roman"/>
                <w:b/>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7.21</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7.21</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8.65</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8.65</w:t>
            </w:r>
            <w:r>
              <w:rPr>
                <w:rFonts w:ascii="Times New Roman" w:hAnsi="Times New Roman"/>
                <w:b/>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8.65</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8.65</w:t>
            </w:r>
            <w:r>
              <w:rPr>
                <w:rFonts w:ascii="Times New Roman" w:hAnsi="Times New Roman"/>
                <w:b/>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8.65</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8.65</w:t>
            </w:r>
            <w:r>
              <w:rPr>
                <w:rFonts w:ascii="Times New Roman" w:hAnsi="Times New Roman"/>
                <w:color w:val="000000"/>
                <w:sz w:val="20"/>
                <w:u w:color="auto"/>
              </w:rPr>
              <w:t xml:space="preserve"> </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秀山土家族苗族自治县雅江镇卫生院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36.91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36.91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203.91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203.91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249.48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249.48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12.61</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12.61</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249.48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249.48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249.48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秀山土家族苗族自治县雅江镇卫生院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249.48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244.35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36.91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36.91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36.91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36.91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3.21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3.21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22.32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22.32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11.38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11.38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203.91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198.78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147.84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143.24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145.40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143.24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46.41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45.88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45.88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45.88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9.66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9.66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7.21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7.21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8.65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8.65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8.65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8.65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8.65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8.65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秀山土家族苗族自治县雅江镇卫生院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238.69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55.41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112.70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22.32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11.38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0.22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5.66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244.35</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秀山土家族苗族自治县雅江镇卫生院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秀山土家族苗族自治县雅江镇卫生院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秀山土家族苗族自治县雅江镇卫生院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3.59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3.59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3.59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3.59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FE7EA943-A6E1-4E15-B523-B6CDD83EA9EA}"/>
  </w:font>
  <w:font w:name="黑体">
    <w:panose1 w:val="02010609060101010101"/>
    <w:charset w:val="86"/>
    <w:family w:val="auto"/>
    <w:pitch w:val="default"/>
    <w:sig w:usb0="800002BF" w:usb1="38CF7CFA" w:usb2="00000016" w:usb3="00000000" w:csb0="00040001" w:csb1="00000000"/>
    <w:embedRegular r:id="rId2" w:fontKey="{08C0016B-BEA7-4186-A8C6-50862543B60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3" w:fontKey="{B60E3E92-7DFF-4E25-8523-80AB3FF84902}"/>
  </w:font>
  <w:font w:name="方正黑体_GBK">
    <w:panose1 w:val="03000509000000000000"/>
    <w:charset w:val="86"/>
    <w:family w:val="auto"/>
    <w:pitch w:val="default"/>
    <w:sig w:usb0="00000001" w:usb1="080E0000" w:usb2="00000000" w:usb3="00000000" w:csb0="00040000" w:csb1="00000000"/>
    <w:embedRegular r:id="rId4" w:fontKey="{E182090C-26F8-41BF-BC9A-5ACE874F9A71}"/>
  </w:font>
  <w:font w:name="方正楷体_GBK">
    <w:panose1 w:val="03000509000000000000"/>
    <w:charset w:val="86"/>
    <w:family w:val="auto"/>
    <w:pitch w:val="default"/>
    <w:sig w:usb0="00000001" w:usb1="080E0000" w:usb2="00000000" w:usb3="00000000" w:csb0="00040000" w:csb1="00000000"/>
    <w:embedRegular r:id="rId5" w:fontKey="{4C2D31F0-BF13-4D1E-9DC6-96ADA21E1F95}"/>
  </w:font>
  <w:font w:name="方正仿宋_GBK">
    <w:panose1 w:val="03000509000000000000"/>
    <w:charset w:val="86"/>
    <w:family w:val="auto"/>
    <w:pitch w:val="default"/>
    <w:sig w:usb0="00000001" w:usb1="080E0000" w:usb2="00000000" w:usb3="00000000" w:csb0="00040000" w:csb1="00000000"/>
    <w:embedRegular r:id="rId6" w:fontKey="{DFCF465F-5C1C-4AB3-8CFC-E93563E3623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0B9CB0"/>
    <w:multiLevelType w:val="singleLevel"/>
    <w:tmpl w:val="C30B9CB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D7CC7"/>
    <w:rsid w:val="08051BCA"/>
    <w:rsid w:val="084041ED"/>
    <w:rsid w:val="086C12F4"/>
    <w:rsid w:val="08705944"/>
    <w:rsid w:val="08BA052C"/>
    <w:rsid w:val="08DB07BA"/>
    <w:rsid w:val="0969353F"/>
    <w:rsid w:val="098305D0"/>
    <w:rsid w:val="09B1218B"/>
    <w:rsid w:val="0A3317EA"/>
    <w:rsid w:val="0A5C4B69"/>
    <w:rsid w:val="0A86124A"/>
    <w:rsid w:val="0AB54CC0"/>
    <w:rsid w:val="0B9335CE"/>
    <w:rsid w:val="0BF2311A"/>
    <w:rsid w:val="0C1265D9"/>
    <w:rsid w:val="0C7927C4"/>
    <w:rsid w:val="0C9B098C"/>
    <w:rsid w:val="0D673E11"/>
    <w:rsid w:val="0DDA54E4"/>
    <w:rsid w:val="0E3A5F83"/>
    <w:rsid w:val="0F836721"/>
    <w:rsid w:val="0FA25D96"/>
    <w:rsid w:val="0FBD3C60"/>
    <w:rsid w:val="107B59E5"/>
    <w:rsid w:val="10EC0126"/>
    <w:rsid w:val="10F70B9A"/>
    <w:rsid w:val="111445C7"/>
    <w:rsid w:val="111E4EC6"/>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64D2D"/>
    <w:rsid w:val="194A1770"/>
    <w:rsid w:val="19B906A4"/>
    <w:rsid w:val="1B6F15B6"/>
    <w:rsid w:val="1BAA2EDC"/>
    <w:rsid w:val="1C553AC7"/>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6E5506D"/>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CF29A1"/>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EF24A46"/>
    <w:rsid w:val="3F032E93"/>
    <w:rsid w:val="3F0527E5"/>
    <w:rsid w:val="3F4C52C6"/>
    <w:rsid w:val="3F694D83"/>
    <w:rsid w:val="3F885DCC"/>
    <w:rsid w:val="3FCD675E"/>
    <w:rsid w:val="4004000C"/>
    <w:rsid w:val="40BD5482"/>
    <w:rsid w:val="411B6CE5"/>
    <w:rsid w:val="412070D7"/>
    <w:rsid w:val="41314E40"/>
    <w:rsid w:val="41E0734B"/>
    <w:rsid w:val="41ED5198"/>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978133E"/>
    <w:rsid w:val="4A095F39"/>
    <w:rsid w:val="4A263DF2"/>
    <w:rsid w:val="4A2F278B"/>
    <w:rsid w:val="4A443CF7"/>
    <w:rsid w:val="4A6F6675"/>
    <w:rsid w:val="4ADA4694"/>
    <w:rsid w:val="4B135857"/>
    <w:rsid w:val="4B7951CB"/>
    <w:rsid w:val="4B7C315C"/>
    <w:rsid w:val="4C9316A8"/>
    <w:rsid w:val="4D1F53CA"/>
    <w:rsid w:val="4DAC4ACA"/>
    <w:rsid w:val="4DBE01D2"/>
    <w:rsid w:val="4DE82D2A"/>
    <w:rsid w:val="4F0C6BA3"/>
    <w:rsid w:val="4F186D58"/>
    <w:rsid w:val="50F06B6E"/>
    <w:rsid w:val="51076CD7"/>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015510"/>
    <w:rsid w:val="5D290C69"/>
    <w:rsid w:val="5DA80C2C"/>
    <w:rsid w:val="5F2D4A41"/>
    <w:rsid w:val="60B05EEF"/>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2A4402"/>
    <w:rsid w:val="696C0310"/>
    <w:rsid w:val="6A6C7940"/>
    <w:rsid w:val="6A9F1565"/>
    <w:rsid w:val="6AAD2300"/>
    <w:rsid w:val="6B474EF5"/>
    <w:rsid w:val="6C0A5AC5"/>
    <w:rsid w:val="6C560CAE"/>
    <w:rsid w:val="6C576495"/>
    <w:rsid w:val="6D8E5E24"/>
    <w:rsid w:val="6D903FF5"/>
    <w:rsid w:val="6DA955B8"/>
    <w:rsid w:val="6DE346AB"/>
    <w:rsid w:val="6DE5391A"/>
    <w:rsid w:val="6EFD1324"/>
    <w:rsid w:val="6F5A53AC"/>
    <w:rsid w:val="6FAC003D"/>
    <w:rsid w:val="6FD926BF"/>
    <w:rsid w:val="6FE55E12"/>
    <w:rsid w:val="6FFB2E76"/>
    <w:rsid w:val="705661ED"/>
    <w:rsid w:val="708F6F7F"/>
    <w:rsid w:val="70D94BD3"/>
    <w:rsid w:val="71574775"/>
    <w:rsid w:val="71C34D91"/>
    <w:rsid w:val="725F31C3"/>
    <w:rsid w:val="72DB435C"/>
    <w:rsid w:val="72E2613A"/>
    <w:rsid w:val="72F771F4"/>
    <w:rsid w:val="73934AD2"/>
    <w:rsid w:val="75013AA5"/>
    <w:rsid w:val="750837F0"/>
    <w:rsid w:val="752748F2"/>
    <w:rsid w:val="754758CF"/>
    <w:rsid w:val="75595ECD"/>
    <w:rsid w:val="764F62AB"/>
    <w:rsid w:val="765C45EC"/>
    <w:rsid w:val="767F1FDC"/>
    <w:rsid w:val="768A7619"/>
    <w:rsid w:val="772E1EBA"/>
    <w:rsid w:val="781926BC"/>
    <w:rsid w:val="7826218D"/>
    <w:rsid w:val="796D60A4"/>
    <w:rsid w:val="797A664A"/>
    <w:rsid w:val="79A031D5"/>
    <w:rsid w:val="79B47FDF"/>
    <w:rsid w:val="79E569A9"/>
    <w:rsid w:val="7A1525F7"/>
    <w:rsid w:val="7B420052"/>
    <w:rsid w:val="7BD06A28"/>
    <w:rsid w:val="7C3A7C0B"/>
    <w:rsid w:val="7C5248E4"/>
    <w:rsid w:val="7C566698"/>
    <w:rsid w:val="7C5866A3"/>
    <w:rsid w:val="7CCC3BEC"/>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basedOn w:val="1"/>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8433</Words>
  <Characters>10785</Characters>
  <Lines>186</Lines>
  <Paragraphs>52</Paragraphs>
  <TotalTime>1</TotalTime>
  <ScaleCrop>false</ScaleCrop>
  <LinksUpToDate>false</LinksUpToDate>
  <CharactersWithSpaces>11839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2025-10-14T08:48:57Z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eyJoZGlkIjoiMWIxMTM2YWJmZjc2Yzk5NjE1ZTA4ZDY5ZjgyNTc2ODEiLCJ1c2VySWQiOiIxMDI3MjQxNzI2In0=</vt:lpwstr>
  </property>
</Properties>
</file>