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eastAsia" w:ascii="方正小标宋_GBK" w:hAnsi="方正小标宋_GBK" w:eastAsia="方正小标宋_GBK" w:cs="方正小标宋_GBK"/>
          <w:sz w:val="44"/>
          <w:szCs w:val="44"/>
        </w:rPr>
        <w:t>秀山土家族苗族自治县卫生人才服务中心</w:t>
      </w:r>
      <w:r>
        <w:rPr>
          <w:rFonts w:hint="default" w:ascii="Times New Roman" w:hAnsi="Times New Roman" w:eastAsia="方正小标宋_GBK" w:cs="Times New Roman"/>
          <w:sz w:val="44"/>
          <w:szCs w:val="44"/>
          <w:shd w:val="clear" w:color="auto" w:fill="FFFFFF"/>
        </w:rPr>
        <w:t>202</w:t>
      </w:r>
      <w:r>
        <w:rPr>
          <w:rFonts w:hint="default" w:ascii="Times New Roman" w:hAnsi="Times New Roman" w:eastAsia="方正小标宋_GBK" w:cs="Times New Roman"/>
          <w:sz w:val="44"/>
          <w:szCs w:val="44"/>
          <w:shd w:val="clear" w:color="auto" w:fill="FFFFFF"/>
          <w:lang w:val="en-US" w:eastAsia="zh-CN"/>
        </w:rPr>
        <w:t>4</w:t>
      </w:r>
      <w:r>
        <w:rPr>
          <w:rFonts w:hint="eastAsia" w:ascii="方正小标宋_GBK" w:hAnsi="方正小标宋_GBK" w:eastAsia="方正小标宋_GBK" w:cs="方正小标宋_GBK"/>
          <w:sz w:val="44"/>
          <w:szCs w:val="44"/>
          <w:shd w:val="clear" w:color="auto" w:fill="FFFFFF"/>
        </w:rPr>
        <w:t>年度决算说明</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36"/>
          <w:szCs w:val="36"/>
          <w:shd w:val="clear" w:color="auto" w:fill="FFFFFF"/>
        </w:rPr>
      </w:pP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方正黑体_GBK" w:cs="Times New Roman"/>
          <w:kern w:val="2"/>
          <w:sz w:val="32"/>
          <w:szCs w:val="32"/>
        </w:rPr>
      </w:pPr>
      <w:r>
        <w:rPr>
          <w:rFonts w:hint="default" w:ascii="Times New Roman" w:hAnsi="Times New Roman" w:eastAsia="方正黑体_GBK" w:cs="Times New Roman"/>
          <w:kern w:val="2"/>
          <w:sz w:val="32"/>
          <w:szCs w:val="32"/>
        </w:rPr>
        <w:t>一、单位基本情况</w:t>
      </w:r>
    </w:p>
    <w:p>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kern w:val="2"/>
          <w:sz w:val="32"/>
          <w:szCs w:val="32"/>
          <w:lang w:val="en-US" w:eastAsia="zh-CN"/>
        </w:rPr>
      </w:pPr>
      <w:r>
        <w:rPr>
          <w:rFonts w:hint="default" w:ascii="Times New Roman" w:hAnsi="Times New Roman" w:eastAsia="方正楷体_GBK" w:cs="Times New Roman"/>
          <w:kern w:val="2"/>
          <w:sz w:val="32"/>
          <w:szCs w:val="32"/>
          <w:lang w:val="en-US" w:eastAsia="zh-CN"/>
        </w:rPr>
        <w:t>（一）职能职责</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经县委编办审核，2019年第2次县委编委会议审定，设立秀山土家族苗族自治县卫生健康培训中心，为县卫生健康委员会管理的公益一类副科级事业单位。主要职责有：</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1.承担卫生健康系统管理干部、专业技术人员的教育培训工作；</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2.承担卫生健康专业技术人员的继续医学教育管理工作；</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3.承担卫生健康系统专业技术人员的执业资格、专业技术职务报名审核等工作；</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4.承担村卫生室人员、村级计划生育工作人员的培训工作。</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5.完成县卫生健康委交办的其他事项。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kern w:val="2"/>
          <w:sz w:val="32"/>
          <w:szCs w:val="32"/>
          <w:lang w:val="en-US" w:eastAsia="zh-CN"/>
        </w:rPr>
      </w:pPr>
      <w:r>
        <w:rPr>
          <w:rFonts w:hint="default" w:ascii="Times New Roman" w:hAnsi="Times New Roman" w:eastAsia="方正楷体_GBK" w:cs="Times New Roman"/>
          <w:kern w:val="2"/>
          <w:sz w:val="32"/>
          <w:szCs w:val="32"/>
          <w:lang w:val="en-US" w:eastAsia="zh-CN"/>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仿宋_GBK" w:hAnsi="方正仿宋_GBK" w:eastAsia="方正仿宋_GBK" w:cs="方正仿宋_GBK"/>
          <w:b w:val="0"/>
          <w:bCs/>
          <w:sz w:val="32"/>
          <w:szCs w:val="32"/>
          <w:shd w:val="clear" w:color="auto" w:fill="FFFFFF"/>
          <w:lang w:eastAsia="zh-CN"/>
        </w:rPr>
      </w:pPr>
      <w:r>
        <w:rPr>
          <w:rStyle w:val="10"/>
          <w:rFonts w:hint="eastAsia" w:ascii="方正仿宋_GBK" w:hAnsi="方正仿宋_GBK" w:eastAsia="方正仿宋_GBK" w:cs="方正仿宋_GBK"/>
          <w:b w:val="0"/>
          <w:bCs/>
          <w:sz w:val="32"/>
          <w:szCs w:val="32"/>
          <w:shd w:val="clear" w:color="auto" w:fill="FFFFFF"/>
          <w:lang w:eastAsia="zh-CN"/>
        </w:rPr>
        <w:t>本单位为秀山土家族苗族自治县卫生健康委员会委属代管单位，是二级预算单位。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二、</w:t>
      </w:r>
      <w:r>
        <w:rPr>
          <w:rStyle w:val="10"/>
          <w:rFonts w:hint="eastAsia" w:ascii="方正黑体_GBK" w:hAnsi="方正黑体_GBK" w:eastAsia="方正黑体_GBK" w:cs="方正黑体_GBK"/>
          <w:b w:val="0"/>
          <w:bCs/>
          <w:sz w:val="32"/>
          <w:szCs w:val="32"/>
          <w:shd w:val="clear" w:color="auto" w:fill="FFFFFF"/>
          <w:lang w:eastAsia="zh-CN"/>
        </w:rPr>
        <w:t>单位</w:t>
      </w:r>
      <w:r>
        <w:rPr>
          <w:rStyle w:val="10"/>
          <w:rFonts w:hint="eastAsia" w:ascii="方正黑体_GBK" w:hAnsi="方正黑体_GBK" w:eastAsia="方正黑体_GBK" w:cs="方正黑体_GBK"/>
          <w:b w:val="0"/>
          <w:bCs/>
          <w:sz w:val="32"/>
          <w:szCs w:val="32"/>
          <w:shd w:val="clear" w:color="auto" w:fill="FFFFFF"/>
        </w:rPr>
        <w:t>决算</w:t>
      </w:r>
      <w:r>
        <w:rPr>
          <w:rStyle w:val="10"/>
          <w:rFonts w:hint="eastAsia" w:ascii="方正黑体_GBK" w:hAnsi="方正黑体_GBK" w:eastAsia="方正黑体_GBK" w:cs="方正黑体_GBK"/>
          <w:b w:val="0"/>
          <w:bCs/>
          <w:sz w:val="32"/>
          <w:szCs w:val="32"/>
          <w:shd w:val="clear" w:color="auto" w:fill="FFFFFF"/>
          <w:lang w:eastAsia="zh-CN"/>
        </w:rPr>
        <w:t>收支</w:t>
      </w:r>
      <w:r>
        <w:rPr>
          <w:rStyle w:val="10"/>
          <w:rFonts w:hint="eastAsia" w:ascii="方正黑体_GBK" w:hAnsi="方正黑体_GBK" w:eastAsia="方正黑体_GBK" w:cs="方正黑体_GBK"/>
          <w:b w:val="0"/>
          <w:bCs/>
          <w:sz w:val="32"/>
          <w:szCs w:val="32"/>
          <w:shd w:val="clear" w:color="auto" w:fill="FFFFFF"/>
        </w:rPr>
        <w:t>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（一）收入支出决算总体情况说明</w:t>
      </w:r>
    </w:p>
    <w:p>
      <w:pPr>
        <w:pStyle w:val="8"/>
        <w:shd w:val="clear" w:color="auto" w:fill="FFFFFF"/>
        <w:spacing w:before="0" w:beforeAutospacing="0" w:after="0" w:afterAutospacing="0" w:line="596" w:lineRule="exact"/>
        <w:ind w:firstLine="640" w:firstLineChars="200"/>
        <w:jc w:val="both"/>
        <w:rPr>
          <w:rFonts w:hint="eastAsia" w:ascii="方正仿宋_GBK" w:hAnsi="方正仿宋_GBK" w:eastAsia="方正仿宋_GBK" w:cs="方正仿宋_GBK"/>
          <w:b w:val="0"/>
          <w:bCs/>
          <w:color w:val="auto"/>
          <w:sz w:val="32"/>
          <w:szCs w:val="32"/>
          <w:shd w:val="clear" w:color="auto" w:fill="FFFFFF"/>
          <w:lang w:eastAsia="zh-CN"/>
        </w:rPr>
      </w:pPr>
      <w:r>
        <w:rPr>
          <w:rFonts w:hint="default" w:ascii="Times New Roman" w:hAnsi="Times New Roman" w:eastAsia="方正仿宋_GBK"/>
          <w:b w:val="0"/>
          <w:bCs/>
          <w:color w:val="auto"/>
          <w:sz w:val="32"/>
          <w:szCs w:val="32"/>
          <w:shd w:val="clear" w:color="auto" w:fill="FFFFFF"/>
        </w:rPr>
        <w:t>2024</w:t>
      </w:r>
      <w:r>
        <w:rPr>
          <w:rFonts w:ascii="方正仿宋_GBK" w:hAnsi="方正仿宋_GBK" w:eastAsia="方正仿宋_GBK" w:cs="方正仿宋_GBK"/>
          <w:b w:val="0"/>
          <w:bCs/>
          <w:color w:val="auto"/>
          <w:sz w:val="32"/>
          <w:szCs w:val="32"/>
          <w:shd w:val="clear" w:color="auto" w:fill="FFFFFF"/>
        </w:rPr>
        <w:t>年度收</w:t>
      </w:r>
      <w:r>
        <w:rPr>
          <w:rFonts w:hint="eastAsia" w:ascii="方正仿宋_GBK" w:hAnsi="方正仿宋_GBK" w:eastAsia="方正仿宋_GBK" w:cs="方正仿宋_GBK"/>
          <w:b w:val="0"/>
          <w:bCs/>
          <w:color w:val="auto"/>
          <w:sz w:val="32"/>
          <w:szCs w:val="32"/>
          <w:shd w:val="clear" w:color="auto" w:fill="FFFFFF"/>
          <w:lang w:eastAsia="zh-CN"/>
        </w:rPr>
        <w:t>、支</w:t>
      </w:r>
      <w:r>
        <w:rPr>
          <w:rFonts w:ascii="方正仿宋_GBK" w:hAnsi="方正仿宋_GBK" w:eastAsia="方正仿宋_GBK" w:cs="方正仿宋_GBK"/>
          <w:b w:val="0"/>
          <w:bCs/>
          <w:color w:val="auto"/>
          <w:sz w:val="32"/>
          <w:szCs w:val="32"/>
          <w:shd w:val="clear" w:color="auto" w:fill="FFFFFF"/>
        </w:rPr>
        <w:t>总计</w:t>
      </w:r>
      <w:r>
        <w:rPr>
          <w:rFonts w:hint="eastAsia" w:ascii="方正仿宋_GBK" w:hAnsi="方正仿宋_GBK" w:eastAsia="方正仿宋_GBK" w:cs="方正仿宋_GBK"/>
          <w:b w:val="0"/>
          <w:bCs/>
          <w:color w:val="auto"/>
          <w:sz w:val="32"/>
          <w:szCs w:val="32"/>
          <w:shd w:val="clear" w:color="auto" w:fill="FFFFFF"/>
          <w:lang w:eastAsia="zh-CN"/>
        </w:rPr>
        <w:t>均为</w:t>
      </w:r>
      <w:r>
        <w:rPr>
          <w:rFonts w:hint="default" w:ascii="Times New Roman" w:hAnsi="Times New Roman" w:eastAsia="方正仿宋_GBK"/>
          <w:b w:val="0"/>
          <w:bCs/>
          <w:color w:val="auto"/>
          <w:sz w:val="32"/>
          <w:szCs w:val="32"/>
          <w:shd w:val="clear" w:color="auto" w:fill="FFFFFF"/>
        </w:rPr>
        <w:t>324.14</w:t>
      </w:r>
      <w:r>
        <w:rPr>
          <w:rFonts w:ascii="方正仿宋_GBK" w:hAnsi="方正仿宋_GBK" w:eastAsia="方正仿宋_GBK" w:cs="方正仿宋_GBK"/>
          <w:b w:val="0"/>
          <w:bCs/>
          <w:color w:val="auto"/>
          <w:sz w:val="32"/>
          <w:szCs w:val="32"/>
          <w:shd w:val="clear" w:color="auto" w:fill="FFFFFF"/>
        </w:rPr>
        <w:t>万元。</w:t>
      </w:r>
      <w:r>
        <w:rPr>
          <w:rFonts w:hint="default" w:ascii="Times New Roman" w:hAnsi="Times New Roman" w:eastAsia="方正仿宋_GBK"/>
          <w:b w:val="0"/>
          <w:bCs/>
          <w:color w:val="auto"/>
          <w:sz w:val="32"/>
          <w:szCs w:val="32"/>
          <w:shd w:val="clear" w:color="auto" w:fill="FFFFFF"/>
        </w:rPr>
        <w:t>收、支与2023年度相比，减少47.89万元，下降12.9%</w:t>
      </w:r>
      <w:r>
        <w:rPr>
          <w:rFonts w:ascii="方正仿宋_GBK" w:hAnsi="方正仿宋_GBK" w:eastAsia="方正仿宋_GBK" w:cs="方正仿宋_GBK"/>
          <w:b w:val="0"/>
          <w:bCs/>
          <w:color w:val="auto"/>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项目支出和</w:t>
      </w:r>
      <w:bookmarkStart w:id="0" w:name="_GoBack"/>
      <w:bookmarkEnd w:id="0"/>
      <w:r>
        <w:rPr>
          <w:rFonts w:hint="eastAsia" w:ascii="方正仿宋_GBK" w:hAnsi="方正仿宋_GBK" w:eastAsia="方正仿宋_GBK" w:cs="方正仿宋_GBK"/>
          <w:b w:val="0"/>
          <w:bCs/>
          <w:color w:val="auto"/>
          <w:sz w:val="32"/>
          <w:szCs w:val="32"/>
          <w:shd w:val="clear" w:color="auto" w:fill="FFFFFF"/>
          <w:lang w:eastAsia="zh-CN"/>
        </w:rPr>
        <w:t>公用经费减少。</w:t>
      </w:r>
    </w:p>
    <w:p>
      <w:pPr>
        <w:pStyle w:val="8"/>
        <w:shd w:val="clear" w:color="auto" w:fill="FFFFFF"/>
        <w:spacing w:before="0" w:beforeAutospacing="0" w:after="0" w:afterAutospacing="0" w:line="596" w:lineRule="exact"/>
        <w:ind w:firstLine="640" w:firstLineChars="200"/>
        <w:jc w:val="both"/>
        <w:rPr>
          <w:rFonts w:hint="default" w:ascii="方正仿宋_GBK" w:hAnsi="方正仿宋_GBK" w:eastAsia="方正仿宋_GBK" w:cs="方正仿宋_GBK"/>
          <w:b w:val="0"/>
          <w:bCs/>
          <w:color w:val="auto"/>
          <w:sz w:val="32"/>
          <w:szCs w:val="32"/>
          <w:shd w:val="clear" w:color="auto" w:fill="FFFFFF"/>
        </w:rPr>
      </w:pPr>
      <w:r>
        <w:rPr>
          <w:rStyle w:val="10"/>
          <w:rFonts w:hint="eastAsia" w:ascii="Times New Roman" w:hAnsi="Times New Roman" w:eastAsia="方正仿宋_GBK"/>
          <w:b w:val="0"/>
          <w:bCs/>
          <w:color w:val="auto"/>
          <w:sz w:val="32"/>
          <w:szCs w:val="32"/>
          <w:shd w:val="clear" w:color="auto" w:fill="FFFFFF"/>
          <w:lang w:val="en-US" w:eastAsia="zh-CN"/>
        </w:rPr>
        <w:t>1</w:t>
      </w:r>
      <w:r>
        <w:rPr>
          <w:rStyle w:val="10"/>
          <w:rFonts w:ascii="方正仿宋_GBK" w:hAnsi="方正仿宋_GBK" w:eastAsia="方正仿宋_GBK" w:cs="方正仿宋_GBK"/>
          <w:b w:val="0"/>
          <w:bCs/>
          <w:color w:val="auto"/>
          <w:sz w:val="32"/>
          <w:szCs w:val="32"/>
          <w:shd w:val="clear" w:color="auto" w:fill="FFFFFF"/>
        </w:rPr>
        <w:t>.收入情况。</w:t>
      </w:r>
      <w:r>
        <w:rPr>
          <w:rFonts w:hint="default" w:ascii="Times New Roman" w:hAnsi="Times New Roman" w:eastAsia="方正仿宋_GBK"/>
          <w:b w:val="0"/>
          <w:bCs/>
          <w:color w:val="auto"/>
          <w:sz w:val="32"/>
          <w:szCs w:val="32"/>
          <w:shd w:val="clear" w:color="auto" w:fill="FFFFFF"/>
        </w:rPr>
        <w:t>2024</w:t>
      </w:r>
      <w:r>
        <w:rPr>
          <w:rFonts w:ascii="方正仿宋_GBK" w:hAnsi="方正仿宋_GBK" w:eastAsia="方正仿宋_GBK" w:cs="方正仿宋_GBK"/>
          <w:b w:val="0"/>
          <w:bCs/>
          <w:color w:val="auto"/>
          <w:sz w:val="32"/>
          <w:szCs w:val="32"/>
          <w:shd w:val="clear" w:color="auto" w:fill="FFFFFF"/>
        </w:rPr>
        <w:t>年度收入合计</w:t>
      </w:r>
      <w:r>
        <w:rPr>
          <w:rFonts w:hint="default" w:ascii="Times New Roman" w:hAnsi="Times New Roman" w:eastAsia="方正仿宋_GBK"/>
          <w:b w:val="0"/>
          <w:bCs/>
          <w:color w:val="auto"/>
          <w:sz w:val="32"/>
          <w:szCs w:val="32"/>
          <w:shd w:val="clear" w:color="auto" w:fill="FFFFFF"/>
        </w:rPr>
        <w:t>324.14</w:t>
      </w:r>
      <w:r>
        <w:rPr>
          <w:rFonts w:ascii="方正仿宋_GBK" w:hAnsi="方正仿宋_GBK" w:eastAsia="方正仿宋_GBK" w:cs="方正仿宋_GBK"/>
          <w:b w:val="0"/>
          <w:bCs/>
          <w:color w:val="auto"/>
          <w:sz w:val="32"/>
          <w:szCs w:val="32"/>
          <w:shd w:val="clear" w:color="auto" w:fill="FFFFFF"/>
        </w:rPr>
        <w:t>万元，</w:t>
      </w:r>
      <w:r>
        <w:rPr>
          <w:rFonts w:hint="default" w:ascii="Times New Roman" w:hAnsi="Times New Roman" w:eastAsia="方正仿宋_GBK"/>
          <w:b w:val="0"/>
          <w:bCs/>
          <w:color w:val="auto"/>
          <w:sz w:val="32"/>
          <w:szCs w:val="32"/>
          <w:shd w:val="clear" w:color="auto" w:fill="FFFFFF"/>
        </w:rPr>
        <w:t>与2023年度相比，减少40.68万元，下降11.2%</w:t>
      </w:r>
      <w:r>
        <w:rPr>
          <w:rFonts w:ascii="方正仿宋_GBK" w:hAnsi="方正仿宋_GBK" w:eastAsia="方正仿宋_GBK" w:cs="方正仿宋_GBK"/>
          <w:b w:val="0"/>
          <w:bCs/>
          <w:color w:val="auto"/>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项目支出拨款和基本支出拨款减少。</w:t>
      </w:r>
      <w:r>
        <w:rPr>
          <w:rFonts w:ascii="方正仿宋_GBK" w:hAnsi="方正仿宋_GBK" w:eastAsia="方正仿宋_GBK" w:cs="方正仿宋_GBK"/>
          <w:b w:val="0"/>
          <w:bCs/>
          <w:color w:val="auto"/>
          <w:sz w:val="32"/>
          <w:szCs w:val="32"/>
          <w:shd w:val="clear" w:color="auto" w:fill="FFFFFF"/>
        </w:rPr>
        <w:t>其中：财政拨款收入</w:t>
      </w:r>
      <w:r>
        <w:rPr>
          <w:rFonts w:hint="default" w:ascii="Times New Roman" w:hAnsi="Times New Roman" w:eastAsia="方正仿宋_GBK"/>
          <w:b w:val="0"/>
          <w:bCs/>
          <w:color w:val="auto"/>
          <w:sz w:val="32"/>
          <w:szCs w:val="32"/>
          <w:shd w:val="clear" w:color="auto" w:fill="FFFFFF"/>
        </w:rPr>
        <w:t>324.14</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100.0%</w:t>
      </w:r>
      <w:r>
        <w:rPr>
          <w:rFonts w:ascii="方正仿宋_GBK" w:hAnsi="方正仿宋_GBK" w:eastAsia="方正仿宋_GBK" w:cs="方正仿宋_GBK"/>
          <w:b w:val="0"/>
          <w:bCs/>
          <w:color w:val="auto"/>
          <w:sz w:val="32"/>
          <w:szCs w:val="32"/>
          <w:shd w:val="clear" w:color="auto" w:fill="FFFFFF"/>
        </w:rPr>
        <w:t>；事业收入</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0.0%</w:t>
      </w:r>
      <w:r>
        <w:rPr>
          <w:rFonts w:ascii="方正仿宋_GBK" w:hAnsi="方正仿宋_GBK" w:eastAsia="方正仿宋_GBK" w:cs="方正仿宋_GBK"/>
          <w:b w:val="0"/>
          <w:bCs/>
          <w:color w:val="auto"/>
          <w:sz w:val="32"/>
          <w:szCs w:val="32"/>
          <w:shd w:val="clear" w:color="auto" w:fill="FFFFFF"/>
        </w:rPr>
        <w:t>；经营收入</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0.0%</w:t>
      </w:r>
      <w:r>
        <w:rPr>
          <w:rFonts w:ascii="方正仿宋_GBK" w:hAnsi="方正仿宋_GBK" w:eastAsia="方正仿宋_GBK" w:cs="方正仿宋_GBK"/>
          <w:b w:val="0"/>
          <w:bCs/>
          <w:color w:val="auto"/>
          <w:sz w:val="32"/>
          <w:szCs w:val="32"/>
          <w:shd w:val="clear" w:color="auto" w:fill="FFFFFF"/>
        </w:rPr>
        <w:t>；其他收入</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0.0%</w:t>
      </w:r>
      <w:r>
        <w:rPr>
          <w:rFonts w:ascii="方正仿宋_GBK" w:hAnsi="方正仿宋_GBK" w:eastAsia="方正仿宋_GBK" w:cs="方正仿宋_GBK"/>
          <w:b w:val="0"/>
          <w:bCs/>
          <w:color w:val="auto"/>
          <w:sz w:val="32"/>
          <w:szCs w:val="32"/>
          <w:shd w:val="clear" w:color="auto" w:fill="FFFFFF"/>
        </w:rPr>
        <w:t>。此外，</w:t>
      </w:r>
      <w:r>
        <w:rPr>
          <w:rFonts w:hint="eastAsia" w:ascii="方正仿宋_GBK" w:hAnsi="方正仿宋_GBK" w:eastAsia="方正仿宋_GBK" w:cs="方正仿宋_GBK"/>
          <w:b w:val="0"/>
          <w:bCs/>
          <w:color w:val="auto"/>
          <w:sz w:val="32"/>
          <w:szCs w:val="32"/>
          <w:shd w:val="clear" w:color="auto" w:fill="FFFFFF"/>
        </w:rPr>
        <w:t>使用非财政拨款结余（含专用结余）</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万元，年初结转和结余</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w:t>
      </w:r>
    </w:p>
    <w:p>
      <w:pPr>
        <w:pStyle w:val="8"/>
        <w:shd w:val="clear" w:color="auto" w:fill="FFFFFF"/>
        <w:spacing w:before="0" w:beforeAutospacing="0" w:after="0" w:afterAutospacing="0" w:line="596" w:lineRule="exact"/>
        <w:ind w:firstLine="640" w:firstLineChars="200"/>
        <w:jc w:val="both"/>
        <w:rPr>
          <w:rFonts w:hint="default" w:ascii="方正仿宋_GBK" w:hAnsi="方正仿宋_GBK" w:eastAsia="方正仿宋_GBK" w:cs="方正仿宋_GBK"/>
          <w:b w:val="0"/>
          <w:bCs/>
          <w:color w:val="auto"/>
          <w:sz w:val="32"/>
          <w:szCs w:val="32"/>
          <w:shd w:val="clear" w:color="auto" w:fill="FFFFFF"/>
        </w:rPr>
      </w:pPr>
      <w:r>
        <w:rPr>
          <w:rStyle w:val="10"/>
          <w:rFonts w:hint="eastAsia" w:ascii="Times New Roman" w:hAnsi="Times New Roman" w:eastAsia="方正仿宋_GBK"/>
          <w:b w:val="0"/>
          <w:bCs/>
          <w:color w:val="auto"/>
          <w:sz w:val="32"/>
          <w:szCs w:val="32"/>
          <w:shd w:val="clear" w:color="auto" w:fill="FFFFFF"/>
          <w:lang w:val="en-US" w:eastAsia="zh-CN"/>
        </w:rPr>
        <w:t>2</w:t>
      </w:r>
      <w:r>
        <w:rPr>
          <w:rStyle w:val="10"/>
          <w:rFonts w:ascii="方正仿宋_GBK" w:hAnsi="方正仿宋_GBK" w:eastAsia="方正仿宋_GBK" w:cs="方正仿宋_GBK"/>
          <w:b w:val="0"/>
          <w:bCs/>
          <w:color w:val="auto"/>
          <w:sz w:val="32"/>
          <w:szCs w:val="32"/>
          <w:shd w:val="clear" w:color="auto" w:fill="FFFFFF"/>
        </w:rPr>
        <w:t>.支出情况。</w:t>
      </w:r>
      <w:r>
        <w:rPr>
          <w:rFonts w:hint="default" w:ascii="Times New Roman" w:hAnsi="Times New Roman" w:eastAsia="方正仿宋_GBK"/>
          <w:b w:val="0"/>
          <w:bCs/>
          <w:color w:val="auto"/>
          <w:sz w:val="32"/>
          <w:szCs w:val="32"/>
          <w:shd w:val="clear" w:color="auto" w:fill="FFFFFF"/>
        </w:rPr>
        <w:t>2024</w:t>
      </w:r>
      <w:r>
        <w:rPr>
          <w:rFonts w:ascii="方正仿宋_GBK" w:hAnsi="方正仿宋_GBK" w:eastAsia="方正仿宋_GBK" w:cs="方正仿宋_GBK"/>
          <w:b w:val="0"/>
          <w:bCs/>
          <w:color w:val="auto"/>
          <w:sz w:val="32"/>
          <w:szCs w:val="32"/>
          <w:shd w:val="clear" w:color="auto" w:fill="FFFFFF"/>
        </w:rPr>
        <w:t>年度支出合计</w:t>
      </w:r>
      <w:r>
        <w:rPr>
          <w:rFonts w:hint="default" w:ascii="Times New Roman" w:hAnsi="Times New Roman" w:eastAsia="方正仿宋_GBK"/>
          <w:b w:val="0"/>
          <w:bCs/>
          <w:color w:val="auto"/>
          <w:sz w:val="32"/>
          <w:szCs w:val="32"/>
          <w:shd w:val="clear" w:color="auto" w:fill="FFFFFF"/>
        </w:rPr>
        <w:t>324.14</w:t>
      </w:r>
      <w:r>
        <w:rPr>
          <w:rFonts w:ascii="方正仿宋_GBK" w:hAnsi="方正仿宋_GBK" w:eastAsia="方正仿宋_GBK" w:cs="方正仿宋_GBK"/>
          <w:b w:val="0"/>
          <w:bCs/>
          <w:color w:val="auto"/>
          <w:sz w:val="32"/>
          <w:szCs w:val="32"/>
          <w:shd w:val="clear" w:color="auto" w:fill="FFFFFF"/>
        </w:rPr>
        <w:t>万元，</w:t>
      </w:r>
      <w:r>
        <w:rPr>
          <w:rFonts w:hint="default" w:ascii="Times New Roman" w:hAnsi="Times New Roman" w:eastAsia="方正仿宋_GBK"/>
          <w:b w:val="0"/>
          <w:bCs/>
          <w:color w:val="auto"/>
          <w:sz w:val="32"/>
          <w:szCs w:val="32"/>
          <w:shd w:val="clear" w:color="auto" w:fill="FFFFFF"/>
        </w:rPr>
        <w:t>与2023年度相比，减少47.89万元，下降12.9%</w:t>
      </w:r>
      <w:r>
        <w:rPr>
          <w:rFonts w:ascii="方正仿宋_GBK" w:hAnsi="方正仿宋_GBK" w:eastAsia="方正仿宋_GBK" w:cs="方正仿宋_GBK"/>
          <w:b w:val="0"/>
          <w:bCs/>
          <w:color w:val="auto"/>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项目支出和公用经费减少。</w:t>
      </w:r>
      <w:r>
        <w:rPr>
          <w:rFonts w:ascii="方正仿宋_GBK" w:hAnsi="方正仿宋_GBK" w:eastAsia="方正仿宋_GBK" w:cs="方正仿宋_GBK"/>
          <w:b w:val="0"/>
          <w:bCs/>
          <w:color w:val="auto"/>
          <w:sz w:val="32"/>
          <w:szCs w:val="32"/>
          <w:shd w:val="clear" w:color="auto" w:fill="FFFFFF"/>
        </w:rPr>
        <w:t>其中：基本支出</w:t>
      </w:r>
      <w:r>
        <w:rPr>
          <w:rFonts w:hint="default" w:ascii="Times New Roman" w:hAnsi="Times New Roman" w:eastAsia="方正仿宋_GBK"/>
          <w:b w:val="0"/>
          <w:bCs/>
          <w:color w:val="auto"/>
          <w:sz w:val="32"/>
          <w:szCs w:val="32"/>
          <w:shd w:val="clear" w:color="auto" w:fill="FFFFFF"/>
        </w:rPr>
        <w:t>309.51</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95.5%</w:t>
      </w:r>
      <w:r>
        <w:rPr>
          <w:rFonts w:ascii="方正仿宋_GBK" w:hAnsi="方正仿宋_GBK" w:eastAsia="方正仿宋_GBK" w:cs="方正仿宋_GBK"/>
          <w:b w:val="0"/>
          <w:bCs/>
          <w:color w:val="auto"/>
          <w:sz w:val="32"/>
          <w:szCs w:val="32"/>
          <w:shd w:val="clear" w:color="auto" w:fill="FFFFFF"/>
        </w:rPr>
        <w:t>；项目支出</w:t>
      </w:r>
      <w:r>
        <w:rPr>
          <w:rFonts w:hint="default" w:ascii="Times New Roman" w:hAnsi="Times New Roman" w:eastAsia="方正仿宋_GBK"/>
          <w:b w:val="0"/>
          <w:bCs/>
          <w:color w:val="auto"/>
          <w:sz w:val="32"/>
          <w:szCs w:val="32"/>
          <w:shd w:val="clear" w:color="auto" w:fill="FFFFFF"/>
        </w:rPr>
        <w:t>14.63</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4.5%</w:t>
      </w:r>
      <w:r>
        <w:rPr>
          <w:rFonts w:ascii="方正仿宋_GBK" w:hAnsi="方正仿宋_GBK" w:eastAsia="方正仿宋_GBK" w:cs="方正仿宋_GBK"/>
          <w:b w:val="0"/>
          <w:bCs/>
          <w:color w:val="auto"/>
          <w:sz w:val="32"/>
          <w:szCs w:val="32"/>
          <w:shd w:val="clear" w:color="auto" w:fill="FFFFFF"/>
        </w:rPr>
        <w:t>；经营支出</w:t>
      </w:r>
      <w:r>
        <w:rPr>
          <w:rFonts w:hint="default" w:ascii="Times New Roman" w:hAnsi="Times New Roman" w:eastAsia="方正仿宋_GBK"/>
          <w:b w:val="0"/>
          <w:bCs/>
          <w:color w:val="auto"/>
          <w:sz w:val="32"/>
          <w:szCs w:val="32"/>
        </w:rPr>
        <w:t>0.00</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0.0%</w:t>
      </w:r>
      <w:r>
        <w:rPr>
          <w:rFonts w:ascii="方正仿宋_GBK" w:hAnsi="方正仿宋_GBK" w:eastAsia="方正仿宋_GBK" w:cs="方正仿宋_GBK"/>
          <w:b w:val="0"/>
          <w:bCs/>
          <w:color w:val="auto"/>
          <w:sz w:val="32"/>
          <w:szCs w:val="32"/>
          <w:shd w:val="clear" w:color="auto" w:fill="FFFFFF"/>
        </w:rPr>
        <w:t>。此外，结余分配</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w:t>
      </w:r>
    </w:p>
    <w:p>
      <w:pPr>
        <w:pStyle w:val="8"/>
        <w:snapToGrid w:val="0"/>
        <w:spacing w:before="0" w:beforeAutospacing="0" w:after="0" w:afterAutospacing="0" w:line="596" w:lineRule="exact"/>
        <w:ind w:firstLine="640" w:firstLineChars="200"/>
        <w:jc w:val="both"/>
        <w:rPr>
          <w:rFonts w:hint="eastAsia" w:ascii="方正仿宋_GBK" w:hAnsi="方正仿宋_GBK" w:eastAsia="方正仿宋_GBK" w:cs="方正仿宋_GBK"/>
          <w:b w:val="0"/>
          <w:bCs/>
          <w:color w:val="auto"/>
          <w:sz w:val="32"/>
          <w:szCs w:val="32"/>
          <w:lang w:eastAsia="zh-CN"/>
        </w:rPr>
      </w:pPr>
      <w:r>
        <w:rPr>
          <w:rStyle w:val="10"/>
          <w:rFonts w:hint="eastAsia" w:ascii="Times New Roman" w:hAnsi="Times New Roman" w:eastAsia="方正仿宋_GBK"/>
          <w:b w:val="0"/>
          <w:bCs/>
          <w:color w:val="auto"/>
          <w:sz w:val="32"/>
          <w:szCs w:val="32"/>
          <w:shd w:val="clear" w:color="auto" w:fill="FFFFFF"/>
          <w:lang w:val="en-US" w:eastAsia="zh-CN"/>
        </w:rPr>
        <w:t>3</w:t>
      </w:r>
      <w:r>
        <w:rPr>
          <w:rStyle w:val="10"/>
          <w:rFonts w:ascii="方正仿宋_GBK" w:hAnsi="方正仿宋_GBK" w:eastAsia="方正仿宋_GBK" w:cs="方正仿宋_GBK"/>
          <w:b w:val="0"/>
          <w:bCs/>
          <w:color w:val="auto"/>
          <w:sz w:val="32"/>
          <w:szCs w:val="32"/>
          <w:shd w:val="clear" w:color="auto" w:fill="FFFFFF"/>
        </w:rPr>
        <w:t>.结转结余情况。</w:t>
      </w:r>
      <w:r>
        <w:rPr>
          <w:rFonts w:hint="default" w:ascii="Times New Roman" w:hAnsi="Times New Roman" w:eastAsia="方正仿宋_GBK"/>
          <w:b w:val="0"/>
          <w:bCs/>
          <w:color w:val="auto"/>
          <w:sz w:val="32"/>
          <w:szCs w:val="32"/>
          <w:shd w:val="clear" w:color="auto" w:fill="FFFFFF"/>
        </w:rPr>
        <w:t>2024</w:t>
      </w:r>
      <w:r>
        <w:rPr>
          <w:rFonts w:ascii="方正仿宋_GBK" w:hAnsi="方正仿宋_GBK" w:eastAsia="方正仿宋_GBK" w:cs="方正仿宋_GBK"/>
          <w:b w:val="0"/>
          <w:bCs/>
          <w:color w:val="auto"/>
          <w:sz w:val="32"/>
          <w:szCs w:val="32"/>
          <w:shd w:val="clear" w:color="auto" w:fill="FFFFFF"/>
        </w:rPr>
        <w:t>年度年末结转和结余</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w:t>
      </w:r>
      <w:r>
        <w:rPr>
          <w:rFonts w:hint="default" w:ascii="Times New Roman" w:hAnsi="Times New Roman" w:eastAsia="方正仿宋_GBK"/>
          <w:b w:val="0"/>
          <w:bCs/>
          <w:color w:val="auto"/>
          <w:sz w:val="32"/>
          <w:szCs w:val="32"/>
          <w:shd w:val="clear" w:color="auto" w:fill="FFFFFF"/>
        </w:rPr>
        <w:t>与2023年度相比，无增减</w:t>
      </w:r>
      <w:r>
        <w:rPr>
          <w:rFonts w:ascii="方正仿宋_GBK" w:hAnsi="方正仿宋_GBK" w:eastAsia="方正仿宋_GBK" w:cs="方正仿宋_GBK"/>
          <w:b w:val="0"/>
          <w:bCs/>
          <w:color w:val="auto"/>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收支平衡，无结余。</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color w:val="auto"/>
          <w:sz w:val="32"/>
          <w:szCs w:val="32"/>
          <w:shd w:val="clear" w:color="auto" w:fill="FFFFFF"/>
        </w:rPr>
      </w:pPr>
      <w:r>
        <w:rPr>
          <w:rFonts w:hint="eastAsia" w:ascii="方正楷体_GBK" w:hAnsi="方正楷体_GBK" w:eastAsia="方正楷体_GBK" w:cs="方正楷体_GBK"/>
          <w:b w:val="0"/>
          <w:bCs/>
          <w:color w:val="auto"/>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color w:val="auto"/>
          <w:sz w:val="32"/>
          <w:szCs w:val="32"/>
        </w:rPr>
      </w:pPr>
      <w:r>
        <w:rPr>
          <w:rFonts w:hint="default" w:ascii="Times New Roman" w:hAnsi="Times New Roman" w:eastAsia="方正仿宋_GBK"/>
          <w:b w:val="0"/>
          <w:bCs/>
          <w:color w:val="auto"/>
          <w:sz w:val="32"/>
          <w:szCs w:val="32"/>
          <w:shd w:val="clear" w:color="auto" w:fill="FFFFFF"/>
        </w:rPr>
        <w:t>2024</w:t>
      </w:r>
      <w:r>
        <w:rPr>
          <w:rFonts w:ascii="方正仿宋_GBK" w:hAnsi="方正仿宋_GBK" w:eastAsia="方正仿宋_GBK" w:cs="方正仿宋_GBK"/>
          <w:b w:val="0"/>
          <w:bCs/>
          <w:color w:val="auto"/>
          <w:sz w:val="32"/>
          <w:szCs w:val="32"/>
          <w:shd w:val="clear" w:color="auto" w:fill="FFFFFF"/>
        </w:rPr>
        <w:t>年度财政拨款收、支总计均为</w:t>
      </w:r>
      <w:r>
        <w:rPr>
          <w:rFonts w:hint="default" w:ascii="Times New Roman" w:hAnsi="Times New Roman" w:eastAsia="方正仿宋_GBK"/>
          <w:b w:val="0"/>
          <w:bCs/>
          <w:color w:val="auto"/>
          <w:sz w:val="32"/>
          <w:szCs w:val="32"/>
          <w:shd w:val="clear" w:color="auto" w:fill="FFFFFF"/>
        </w:rPr>
        <w:t>324.14</w:t>
      </w:r>
      <w:r>
        <w:rPr>
          <w:rFonts w:ascii="方正仿宋_GBK" w:hAnsi="方正仿宋_GBK" w:eastAsia="方正仿宋_GBK" w:cs="方正仿宋_GBK"/>
          <w:b w:val="0"/>
          <w:bCs/>
          <w:color w:val="auto"/>
          <w:sz w:val="32"/>
          <w:szCs w:val="32"/>
          <w:shd w:val="clear" w:color="auto" w:fill="FFFFFF"/>
        </w:rPr>
        <w:t>万元。与</w:t>
      </w:r>
      <w:r>
        <w:rPr>
          <w:rFonts w:hint="default" w:ascii="Times New Roman" w:hAnsi="Times New Roman" w:eastAsia="方正仿宋_GBK"/>
          <w:b w:val="0"/>
          <w:bCs/>
          <w:color w:val="auto"/>
          <w:sz w:val="32"/>
          <w:szCs w:val="32"/>
          <w:shd w:val="clear" w:color="auto" w:fill="FFFFFF"/>
        </w:rPr>
        <w:t>2023</w:t>
      </w:r>
      <w:r>
        <w:rPr>
          <w:rFonts w:ascii="方正仿宋_GBK" w:hAnsi="方正仿宋_GBK" w:eastAsia="方正仿宋_GBK" w:cs="方正仿宋_GBK"/>
          <w:b w:val="0"/>
          <w:bCs/>
          <w:color w:val="auto"/>
          <w:sz w:val="32"/>
          <w:szCs w:val="32"/>
          <w:shd w:val="clear" w:color="auto" w:fill="FFFFFF"/>
        </w:rPr>
        <w:t>年</w:t>
      </w:r>
      <w:r>
        <w:rPr>
          <w:rFonts w:hint="eastAsia" w:ascii="方正仿宋_GBK" w:hAnsi="方正仿宋_GBK" w:eastAsia="方正仿宋_GBK" w:cs="方正仿宋_GBK"/>
          <w:b w:val="0"/>
          <w:bCs/>
          <w:color w:val="auto"/>
          <w:sz w:val="32"/>
          <w:szCs w:val="32"/>
          <w:shd w:val="clear" w:color="auto" w:fill="FFFFFF"/>
          <w:lang w:eastAsia="zh-CN"/>
        </w:rPr>
        <w:t>度</w:t>
      </w:r>
      <w:r>
        <w:rPr>
          <w:rFonts w:ascii="方正仿宋_GBK" w:hAnsi="方正仿宋_GBK" w:eastAsia="方正仿宋_GBK" w:cs="方正仿宋_GBK"/>
          <w:b w:val="0"/>
          <w:bCs/>
          <w:color w:val="auto"/>
          <w:sz w:val="32"/>
          <w:szCs w:val="32"/>
          <w:shd w:val="clear" w:color="auto" w:fill="FFFFFF"/>
        </w:rPr>
        <w:t>相比，</w:t>
      </w:r>
      <w:r>
        <w:rPr>
          <w:rFonts w:hint="default" w:ascii="Times New Roman" w:hAnsi="Times New Roman" w:eastAsia="方正仿宋_GBK"/>
          <w:b w:val="0"/>
          <w:bCs/>
          <w:color w:val="auto"/>
          <w:sz w:val="32"/>
          <w:szCs w:val="32"/>
          <w:shd w:val="clear" w:color="auto" w:fill="FFFFFF"/>
        </w:rPr>
        <w:t>财政拨款收、支总计各减少47.89万元，下降12.9%</w:t>
      </w:r>
      <w:r>
        <w:rPr>
          <w:rFonts w:ascii="方正仿宋_GBK" w:hAnsi="方正仿宋_GBK" w:eastAsia="方正仿宋_GBK" w:cs="方正仿宋_GBK"/>
          <w:b w:val="0"/>
          <w:bCs/>
          <w:color w:val="auto"/>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项目支出拨款和基本支出拨款减少。</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Style w:val="10"/>
          <w:rFonts w:hint="default" w:ascii="Times New Roman" w:hAnsi="Times New Roman" w:eastAsia="方正仿宋_GBK"/>
          <w:b w:val="0"/>
          <w:bCs/>
          <w:sz w:val="32"/>
          <w:szCs w:val="32"/>
          <w:shd w:val="clear" w:color="auto" w:fill="FFFFFF"/>
        </w:rPr>
        <w:t>1</w:t>
      </w:r>
      <w:r>
        <w:rPr>
          <w:rStyle w:val="10"/>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年度一般公共预算财政拨款收入</w:t>
      </w:r>
      <w:r>
        <w:rPr>
          <w:rFonts w:hint="default" w:ascii="Times New Roman" w:hAnsi="Times New Roman" w:eastAsia="方正仿宋_GBK"/>
          <w:b w:val="0"/>
          <w:bCs/>
          <w:sz w:val="32"/>
          <w:szCs w:val="32"/>
          <w:shd w:val="clear" w:color="auto" w:fill="FFFFFF"/>
        </w:rPr>
        <w:t>324.14</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与2023年度相比，减少40.68万元，下降11.2%</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项目支出拨款和基本支出拨款减少。</w:t>
      </w:r>
      <w:r>
        <w:rPr>
          <w:rFonts w:hint="default" w:ascii="Times New Roman" w:hAnsi="Times New Roman" w:eastAsia="方正仿宋_GBK"/>
          <w:b w:val="0"/>
          <w:bCs/>
          <w:sz w:val="32"/>
          <w:szCs w:val="32"/>
          <w:shd w:val="clear" w:color="auto" w:fill="FFFFFF"/>
        </w:rPr>
        <w:t>较年初预算数增加24.93万元，增长8.3%</w:t>
      </w:r>
      <w:r>
        <w:rPr>
          <w:rFonts w:ascii="方正仿宋_GBK" w:hAnsi="方正仿宋_GBK" w:eastAsia="方正仿宋_GBK" w:cs="方正仿宋_GBK"/>
          <w:b w:val="0"/>
          <w:bCs/>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本单位收入来源于财政实际拨款。</w:t>
      </w:r>
      <w:r>
        <w:rPr>
          <w:rFonts w:ascii="方正仿宋_GBK" w:hAnsi="方正仿宋_GBK" w:eastAsia="方正仿宋_GBK" w:cs="方正仿宋_GBK"/>
          <w:b w:val="0"/>
          <w:bCs/>
          <w:sz w:val="32"/>
          <w:szCs w:val="32"/>
          <w:shd w:val="clear" w:color="auto" w:fill="FFFFFF"/>
        </w:rPr>
        <w:t>此外，年初财政拨款结转和结余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b w:val="0"/>
          <w:bCs/>
          <w:color w:val="FF0000"/>
          <w:sz w:val="32"/>
          <w:szCs w:val="32"/>
          <w:shd w:val="clear" w:color="auto" w:fill="FFFFFF"/>
        </w:rPr>
      </w:pPr>
      <w:r>
        <w:rPr>
          <w:rStyle w:val="10"/>
          <w:rFonts w:hint="default" w:ascii="Times New Roman" w:hAnsi="Times New Roman" w:eastAsia="方正仿宋_GBK"/>
          <w:b w:val="0"/>
          <w:bCs/>
          <w:sz w:val="32"/>
          <w:szCs w:val="32"/>
          <w:shd w:val="clear" w:color="auto" w:fill="FFFFFF"/>
        </w:rPr>
        <w:t>2</w:t>
      </w:r>
      <w:r>
        <w:rPr>
          <w:rStyle w:val="10"/>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年度一般公共预算财政拨款支出</w:t>
      </w:r>
      <w:r>
        <w:rPr>
          <w:rFonts w:hint="default" w:ascii="Times New Roman" w:hAnsi="Times New Roman" w:eastAsia="方正仿宋_GBK"/>
          <w:b w:val="0"/>
          <w:bCs/>
          <w:sz w:val="32"/>
          <w:szCs w:val="32"/>
          <w:shd w:val="clear" w:color="auto" w:fill="FFFFFF"/>
        </w:rPr>
        <w:t>324.14</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与2023年度相比，减少47.89万元，下降12.9%</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项目支出和公用经费减少。</w:t>
      </w:r>
      <w:r>
        <w:rPr>
          <w:rFonts w:hint="default" w:ascii="Times New Roman" w:hAnsi="Times New Roman" w:eastAsia="方正仿宋_GBK"/>
          <w:b w:val="0"/>
          <w:bCs/>
          <w:sz w:val="32"/>
          <w:szCs w:val="32"/>
          <w:shd w:val="clear" w:color="auto" w:fill="FFFFFF"/>
        </w:rPr>
        <w:t>较年初预算数增加24.93万元，增长8.3%</w:t>
      </w:r>
      <w:r>
        <w:rPr>
          <w:rFonts w:ascii="方正仿宋_GBK" w:hAnsi="方正仿宋_GBK" w:eastAsia="方正仿宋_GBK" w:cs="方正仿宋_GBK"/>
          <w:b w:val="0"/>
          <w:bCs/>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本单位</w:t>
      </w:r>
      <w:r>
        <w:rPr>
          <w:rStyle w:val="10"/>
          <w:rFonts w:hint="eastAsia" w:ascii="Times New Roman" w:hAnsi="Times New Roman" w:eastAsia="方正仿宋_GBK" w:cs="Times New Roman"/>
          <w:b w:val="0"/>
          <w:bCs/>
          <w:sz w:val="32"/>
          <w:szCs w:val="32"/>
          <w:shd w:val="clear" w:color="auto" w:fill="FFFFFF"/>
          <w:lang w:eastAsia="zh-CN"/>
        </w:rPr>
        <w:t>支出</w:t>
      </w:r>
      <w:r>
        <w:rPr>
          <w:rStyle w:val="10"/>
          <w:rFonts w:hint="default" w:ascii="Times New Roman" w:hAnsi="Times New Roman" w:eastAsia="方正仿宋_GBK" w:cs="Times New Roman"/>
          <w:b w:val="0"/>
          <w:bCs/>
          <w:sz w:val="32"/>
          <w:szCs w:val="32"/>
          <w:shd w:val="clear" w:color="auto" w:fill="FFFFFF"/>
          <w:lang w:eastAsia="zh-CN"/>
        </w:rPr>
        <w:t>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b w:val="0"/>
          <w:bCs/>
          <w:sz w:val="32"/>
          <w:szCs w:val="32"/>
          <w:highlight w:val="none"/>
          <w:shd w:val="clear" w:color="auto" w:fill="FFFFFF"/>
        </w:rPr>
      </w:pPr>
      <w:r>
        <w:rPr>
          <w:rFonts w:ascii="方正仿宋_GBK" w:hAnsi="方正仿宋_GBK" w:eastAsia="方正仿宋_GBK" w:cs="方正仿宋_GBK"/>
          <w:b w:val="0"/>
          <w:bCs/>
          <w:sz w:val="32"/>
          <w:szCs w:val="32"/>
          <w:highlight w:val="none"/>
          <w:shd w:val="clear" w:color="auto" w:fill="FFFFFF"/>
        </w:rPr>
        <w:t>一般公共预算财政拨款支出主要</w:t>
      </w:r>
      <w:r>
        <w:rPr>
          <w:rFonts w:hint="eastAsia" w:ascii="方正仿宋_GBK" w:hAnsi="方正仿宋_GBK" w:eastAsia="方正仿宋_GBK" w:cs="方正仿宋_GBK"/>
          <w:b w:val="0"/>
          <w:bCs/>
          <w:sz w:val="32"/>
          <w:szCs w:val="32"/>
          <w:highlight w:val="none"/>
          <w:shd w:val="clear" w:color="auto" w:fill="FFFFFF"/>
          <w:lang w:eastAsia="zh-CN"/>
        </w:rPr>
        <w:t>用途如下</w:t>
      </w:r>
      <w:r>
        <w:rPr>
          <w:rFonts w:ascii="方正仿宋_GBK" w:hAnsi="方正仿宋_GBK" w:eastAsia="方正仿宋_GBK" w:cs="方正仿宋_GBK"/>
          <w:b w:val="0"/>
          <w:bCs/>
          <w:sz w:val="32"/>
          <w:szCs w:val="32"/>
          <w:highlight w:val="none"/>
          <w:shd w:val="clear" w:color="auto" w:fill="FFFFFF"/>
        </w:rPr>
        <w:t>：</w:t>
      </w:r>
    </w:p>
    <w:p>
      <w:pPr>
        <w:pStyle w:val="8"/>
        <w:keepNext w:val="0"/>
        <w:keepLines w:val="0"/>
        <w:pageBreakBefore w:val="0"/>
        <w:widowControl/>
        <w:numPr>
          <w:ilvl w:val="0"/>
          <w:numId w:val="1"/>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color w:val="auto"/>
          <w:sz w:val="32"/>
          <w:szCs w:val="32"/>
          <w:shd w:val="clear" w:color="auto" w:fill="FFFFFF"/>
        </w:rPr>
        <w:t>社会保障</w:t>
      </w:r>
      <w:r>
        <w:rPr>
          <w:rFonts w:hint="default" w:ascii="Times New Roman" w:hAnsi="Times New Roman" w:eastAsia="方正仿宋_GBK" w:cs="Times New Roman"/>
          <w:b w:val="0"/>
          <w:bCs/>
          <w:color w:val="auto"/>
          <w:sz w:val="32"/>
          <w:szCs w:val="32"/>
          <w:shd w:val="clear" w:color="auto" w:fill="FFFFFF"/>
          <w:lang w:eastAsia="zh-CN"/>
        </w:rPr>
        <w:t>和</w:t>
      </w:r>
      <w:r>
        <w:rPr>
          <w:rFonts w:hint="default" w:ascii="Times New Roman" w:hAnsi="Times New Roman" w:eastAsia="方正仿宋_GBK" w:cs="Times New Roman"/>
          <w:b w:val="0"/>
          <w:bCs/>
          <w:color w:val="auto"/>
          <w:sz w:val="32"/>
          <w:szCs w:val="32"/>
          <w:shd w:val="clear" w:color="auto" w:fill="FFFFFF"/>
        </w:rPr>
        <w:t>就业支出88.46万元，占27.3%，较年初预算数增加12.34万元，增长16.2%，主要原因</w:t>
      </w:r>
      <w:r>
        <w:rPr>
          <w:rStyle w:val="10"/>
          <w:rFonts w:hint="default" w:ascii="Times New Roman" w:hAnsi="Times New Roman" w:eastAsia="方正仿宋_GBK" w:cs="Times New Roman"/>
          <w:b w:val="0"/>
          <w:bCs/>
          <w:sz w:val="32"/>
          <w:szCs w:val="32"/>
          <w:shd w:val="clear" w:color="auto" w:fill="FFFFFF"/>
          <w:lang w:eastAsia="zh-CN"/>
        </w:rPr>
        <w:t>社保基数每年有调整，本单位支出来源于财政实际拨款。</w:t>
      </w:r>
    </w:p>
    <w:p>
      <w:pPr>
        <w:pStyle w:val="8"/>
        <w:keepNext w:val="0"/>
        <w:keepLines w:val="0"/>
        <w:pageBreakBefore w:val="0"/>
        <w:widowControl/>
        <w:numPr>
          <w:ilvl w:val="0"/>
          <w:numId w:val="1"/>
        </w:numPr>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color w:val="auto"/>
          <w:sz w:val="32"/>
          <w:szCs w:val="32"/>
          <w:shd w:val="clear" w:color="auto" w:fill="FFFFFF"/>
        </w:rPr>
        <w:t>卫生健康支出217.25万元，占67.0%，较年初预算数增加7.73万元，增长3.7%，主要原因是</w:t>
      </w:r>
      <w:r>
        <w:rPr>
          <w:rStyle w:val="10"/>
          <w:rFonts w:hint="default" w:ascii="Times New Roman" w:hAnsi="Times New Roman" w:eastAsia="方正仿宋_GBK" w:cs="Times New Roman"/>
          <w:b w:val="0"/>
          <w:bCs/>
          <w:sz w:val="32"/>
          <w:szCs w:val="32"/>
          <w:shd w:val="clear" w:color="auto" w:fill="FFFFFF"/>
          <w:lang w:eastAsia="zh-CN"/>
        </w:rPr>
        <w:t>本单位支出来源于财政实际拨款。</w:t>
      </w:r>
    </w:p>
    <w:p>
      <w:pPr>
        <w:pStyle w:val="8"/>
        <w:keepNext w:val="0"/>
        <w:keepLines w:val="0"/>
        <w:pageBreakBefore w:val="0"/>
        <w:widowControl/>
        <w:numPr>
          <w:ilvl w:val="0"/>
          <w:numId w:val="1"/>
        </w:numPr>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b w:val="0"/>
          <w:bCs/>
          <w:color w:val="auto"/>
          <w:sz w:val="32"/>
          <w:szCs w:val="32"/>
          <w:shd w:val="clear" w:color="auto" w:fill="FFFFFF"/>
        </w:rPr>
      </w:pPr>
      <w:r>
        <w:rPr>
          <w:rFonts w:hint="default" w:ascii="Times New Roman" w:hAnsi="Times New Roman" w:eastAsia="方正仿宋_GBK" w:cs="Times New Roman"/>
          <w:b w:val="0"/>
          <w:bCs/>
          <w:color w:val="auto"/>
          <w:sz w:val="32"/>
          <w:szCs w:val="32"/>
          <w:shd w:val="clear" w:color="auto" w:fill="FFFFFF"/>
        </w:rPr>
        <w:t>农林水支出5.50万元，占1.7%，较年初预算数增加5.50万元，增长100.0%，主要原因是</w:t>
      </w:r>
      <w:r>
        <w:rPr>
          <w:rStyle w:val="10"/>
          <w:rFonts w:hint="default" w:ascii="Times New Roman" w:hAnsi="Times New Roman" w:eastAsia="方正仿宋_GBK" w:cs="Times New Roman"/>
          <w:b w:val="0"/>
          <w:bCs/>
          <w:sz w:val="32"/>
          <w:szCs w:val="32"/>
          <w:shd w:val="clear" w:color="auto" w:fill="FFFFFF"/>
          <w:lang w:eastAsia="zh-CN"/>
        </w:rPr>
        <w:t>本单位支出来源于财政实际拨款。</w:t>
      </w:r>
    </w:p>
    <w:p>
      <w:pPr>
        <w:keepNext w:val="0"/>
        <w:keepLines w:val="0"/>
        <w:pageBreakBefore w:val="0"/>
        <w:widowControl/>
        <w:numPr>
          <w:ilvl w:val="0"/>
          <w:numId w:val="1"/>
        </w:numPr>
        <w:kinsoku/>
        <w:wordWrap/>
        <w:overflowPunct/>
        <w:topLinePunct w:val="0"/>
        <w:autoSpaceDE/>
        <w:autoSpaceDN/>
        <w:bidi w:val="0"/>
        <w:adjustRightInd/>
        <w:spacing w:line="560" w:lineRule="exact"/>
        <w:ind w:left="0" w:leftChars="0"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color w:val="auto"/>
          <w:sz w:val="32"/>
          <w:szCs w:val="32"/>
        </w:rPr>
        <w:t>住房保障支出</w:t>
      </w:r>
      <w:r>
        <w:rPr>
          <w:rFonts w:hint="default" w:ascii="Times New Roman" w:hAnsi="Times New Roman" w:eastAsia="方正仿宋_GBK" w:cs="Times New Roman"/>
          <w:b w:val="0"/>
          <w:bCs/>
          <w:color w:val="auto"/>
          <w:sz w:val="32"/>
          <w:szCs w:val="32"/>
          <w:shd w:val="clear" w:color="auto" w:fill="FFFFFF"/>
        </w:rPr>
        <w:t>12.94万元，占4.0%，较年初预算数减少0.62万元，下降4.6%，主要原因是</w:t>
      </w:r>
      <w:r>
        <w:rPr>
          <w:rStyle w:val="10"/>
          <w:rFonts w:hint="default" w:ascii="Times New Roman" w:hAnsi="Times New Roman" w:eastAsia="方正仿宋_GBK" w:cs="Times New Roman"/>
          <w:b w:val="0"/>
          <w:bCs/>
          <w:sz w:val="32"/>
          <w:szCs w:val="32"/>
          <w:shd w:val="clear" w:color="auto" w:fill="FFFFFF"/>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color w:val="FF0000"/>
          <w:sz w:val="32"/>
          <w:szCs w:val="32"/>
          <w:shd w:val="clear" w:color="auto" w:fill="FFFFFF"/>
          <w:lang w:eastAsia="zh-CN"/>
        </w:rPr>
      </w:pPr>
      <w:r>
        <w:rPr>
          <w:rStyle w:val="10"/>
          <w:rFonts w:hint="default" w:ascii="Times New Roman" w:hAnsi="Times New Roman" w:eastAsia="方正仿宋_GBK"/>
          <w:b w:val="0"/>
          <w:bCs/>
          <w:sz w:val="32"/>
          <w:szCs w:val="32"/>
          <w:shd w:val="clear" w:color="auto" w:fill="FFFFFF"/>
        </w:rPr>
        <w:t>3</w:t>
      </w:r>
      <w:r>
        <w:rPr>
          <w:rStyle w:val="10"/>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年度年末一般公共预算财政拨款结</w:t>
      </w:r>
      <w:r>
        <w:rPr>
          <w:rFonts w:ascii="方正仿宋_GBK" w:hAnsi="方正仿宋_GBK" w:eastAsia="方正仿宋_GBK" w:cs="方正仿宋_GBK"/>
          <w:b w:val="0"/>
          <w:bCs/>
          <w:color w:val="auto"/>
          <w:sz w:val="32"/>
          <w:szCs w:val="32"/>
          <w:shd w:val="clear" w:color="auto" w:fill="FFFFFF"/>
        </w:rPr>
        <w:t>转和结余</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w:t>
      </w:r>
      <w:r>
        <w:rPr>
          <w:rFonts w:hint="default" w:ascii="Times New Roman" w:hAnsi="Times New Roman" w:eastAsia="方正仿宋_GBK"/>
          <w:b w:val="0"/>
          <w:bCs/>
          <w:color w:val="auto"/>
          <w:sz w:val="32"/>
          <w:szCs w:val="32"/>
          <w:shd w:val="clear" w:color="auto" w:fill="FFFFFF"/>
        </w:rPr>
        <w:t>与2023年度相比，无增减</w:t>
      </w:r>
      <w:r>
        <w:rPr>
          <w:rFonts w:ascii="方正仿宋_GBK" w:hAnsi="方正仿宋_GBK" w:eastAsia="方正仿宋_GBK" w:cs="方正仿宋_GBK"/>
          <w:b w:val="0"/>
          <w:bCs/>
          <w:color w:val="auto"/>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收支平衡，无结余。</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（四）一般公共预算财政拨款基本支出决算情况说明</w:t>
      </w:r>
    </w:p>
    <w:p>
      <w:pPr>
        <w:pStyle w:val="8"/>
        <w:snapToGrid w:val="0"/>
        <w:spacing w:before="0" w:beforeAutospacing="0" w:after="0" w:afterAutospacing="0" w:line="596" w:lineRule="exact"/>
        <w:ind w:firstLine="640" w:firstLineChars="200"/>
        <w:jc w:val="both"/>
        <w:rPr>
          <w:rFonts w:ascii="方正仿宋_GBK" w:hAnsi="方正仿宋_GBK" w:eastAsia="方正仿宋_GBK" w:cs="方正仿宋_GBK"/>
          <w:b w:val="0"/>
          <w:bCs/>
          <w:sz w:val="32"/>
          <w:szCs w:val="32"/>
          <w:shd w:val="clear" w:color="auto" w:fill="FFFFFF"/>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年度一般公共财政拨款基本支出</w:t>
      </w:r>
      <w:r>
        <w:rPr>
          <w:rFonts w:hint="default" w:ascii="Times New Roman" w:hAnsi="Times New Roman" w:eastAsia="方正仿宋_GBK"/>
          <w:b w:val="0"/>
          <w:bCs/>
          <w:sz w:val="32"/>
          <w:szCs w:val="32"/>
          <w:shd w:val="clear" w:color="auto" w:fill="FFFFFF"/>
        </w:rPr>
        <w:t>309.51</w:t>
      </w:r>
      <w:r>
        <w:rPr>
          <w:rFonts w:ascii="方正仿宋_GBK" w:hAnsi="方正仿宋_GBK"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0" w:firstLineChars="0"/>
        <w:jc w:val="both"/>
        <w:textAlignment w:val="auto"/>
        <w:rPr>
          <w:rFonts w:ascii="方正仿宋_GBK" w:hAnsi="方正仿宋_GBK" w:eastAsia="方正仿宋_GBK" w:cs="方正仿宋_GBK"/>
          <w:b w:val="0"/>
          <w:bCs/>
          <w:sz w:val="32"/>
          <w:szCs w:val="32"/>
          <w:shd w:val="clear" w:color="auto" w:fill="FFFFFF"/>
        </w:rPr>
      </w:pPr>
      <w:r>
        <w:rPr>
          <w:rFonts w:ascii="方正仿宋_GBK" w:hAnsi="方正仿宋_GBK" w:eastAsia="方正仿宋_GBK" w:cs="方正仿宋_GBK"/>
          <w:b w:val="0"/>
          <w:bCs/>
          <w:sz w:val="32"/>
          <w:szCs w:val="32"/>
          <w:shd w:val="clear" w:color="auto" w:fill="FFFFFF"/>
        </w:rPr>
        <w:t>其中：</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b w:val="0"/>
          <w:bCs/>
          <w:color w:val="FF0000"/>
          <w:sz w:val="32"/>
          <w:szCs w:val="32"/>
          <w:shd w:val="clear" w:color="auto" w:fill="FFFFFF"/>
        </w:rPr>
      </w:pPr>
      <w:r>
        <w:rPr>
          <w:rFonts w:ascii="方正仿宋_GBK" w:hAnsi="方正仿宋_GBK" w:eastAsia="方正仿宋_GBK" w:cs="方正仿宋_GBK"/>
          <w:b w:val="0"/>
          <w:bCs/>
          <w:sz w:val="32"/>
          <w:szCs w:val="32"/>
          <w:shd w:val="clear" w:color="auto" w:fill="FFFFFF"/>
        </w:rPr>
        <w:t>人员经费</w:t>
      </w:r>
      <w:r>
        <w:rPr>
          <w:rFonts w:hint="default" w:ascii="Times New Roman" w:hAnsi="Times New Roman" w:eastAsia="方正仿宋_GBK"/>
          <w:b w:val="0"/>
          <w:bCs/>
          <w:sz w:val="32"/>
          <w:szCs w:val="32"/>
          <w:shd w:val="clear" w:color="auto" w:fill="FFFFFF"/>
        </w:rPr>
        <w:t>293.88</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与2023年度相比，减少1.46万元，下降0.5%</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人员减少。</w:t>
      </w:r>
      <w:r>
        <w:rPr>
          <w:rFonts w:ascii="方正仿宋_GBK" w:hAnsi="方正仿宋_GBK" w:eastAsia="方正仿宋_GBK" w:cs="方正仿宋_GBK"/>
          <w:b w:val="0"/>
          <w:bCs/>
          <w:sz w:val="32"/>
          <w:szCs w:val="32"/>
          <w:shd w:val="clear" w:color="auto" w:fill="FFFFFF"/>
        </w:rPr>
        <w:t>人员经费用途主要包括</w:t>
      </w:r>
      <w:r>
        <w:rPr>
          <w:rFonts w:hint="eastAsia" w:ascii="方正仿宋_GBK" w:hAnsi="方正仿宋_GBK" w:eastAsia="方正仿宋_GBK" w:cs="方正仿宋_GBK"/>
          <w:color w:val="auto"/>
          <w:sz w:val="32"/>
          <w:szCs w:val="32"/>
          <w:highlight w:val="none"/>
          <w:shd w:val="clear" w:color="auto" w:fill="FFFFFF"/>
          <w:lang w:eastAsia="zh-CN"/>
        </w:rPr>
        <w:t>基本工资、绩效工资、津贴补贴、社会保障等。</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公用经费</w:t>
      </w:r>
      <w:r>
        <w:rPr>
          <w:rFonts w:hint="default" w:ascii="Times New Roman" w:hAnsi="Times New Roman" w:eastAsia="方正仿宋_GBK"/>
          <w:b w:val="0"/>
          <w:bCs/>
          <w:sz w:val="32"/>
          <w:szCs w:val="32"/>
          <w:shd w:val="clear" w:color="auto" w:fill="FFFFFF"/>
        </w:rPr>
        <w:t>15.63</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与2023年度相比，减少3.85万元，下降19.8%</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办公费减少。</w:t>
      </w:r>
      <w:r>
        <w:rPr>
          <w:rFonts w:ascii="方正仿宋_GBK" w:hAnsi="方正仿宋_GBK" w:eastAsia="方正仿宋_GBK" w:cs="方正仿宋_GBK"/>
          <w:b w:val="0"/>
          <w:bCs/>
          <w:sz w:val="32"/>
          <w:szCs w:val="32"/>
          <w:shd w:val="clear" w:color="auto" w:fill="FFFFFF"/>
        </w:rPr>
        <w:t>公用经费用途主要包括</w:t>
      </w:r>
      <w:r>
        <w:rPr>
          <w:rFonts w:hint="eastAsia" w:ascii="方正仿宋_GBK" w:hAnsi="方正仿宋_GBK" w:eastAsia="方正仿宋_GBK" w:cs="方正仿宋_GBK"/>
          <w:color w:val="auto"/>
          <w:sz w:val="32"/>
          <w:szCs w:val="32"/>
          <w:highlight w:val="none"/>
          <w:shd w:val="clear" w:color="auto" w:fill="FFFFFF"/>
          <w:lang w:eastAsia="zh-CN"/>
        </w:rPr>
        <w:t>办公费、水费、电费、差旅费等。</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shd w:val="clear" w:color="auto" w:fill="FFFFFF"/>
        </w:rPr>
      </w:pPr>
      <w:r>
        <w:rPr>
          <w:rFonts w:hint="eastAsia" w:ascii="方正楷体_GBK" w:hAnsi="方正楷体_GBK" w:eastAsia="方正楷体_GBK" w:cs="方正楷体_GBK"/>
          <w:b w:val="0"/>
          <w:bCs w:val="0"/>
          <w:color w:val="auto"/>
          <w:sz w:val="32"/>
          <w:szCs w:val="32"/>
          <w:highlight w:val="none"/>
          <w:shd w:val="clear" w:color="auto" w:fill="FFFFFF"/>
        </w:rPr>
        <w:t>（五）政府性基金预算收支决算情况说明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color w:val="auto"/>
          <w:sz w:val="32"/>
          <w:szCs w:val="32"/>
          <w:highlight w:val="none"/>
          <w:shd w:val="clear" w:color="auto" w:fill="FFFFFF"/>
        </w:rPr>
        <w:t>本</w:t>
      </w:r>
      <w:r>
        <w:rPr>
          <w:rFonts w:hint="default" w:ascii="Times New Roman" w:hAnsi="Times New Roman" w:eastAsia="方正仿宋_GBK" w:cs="Times New Roman"/>
          <w:color w:val="auto"/>
          <w:sz w:val="32"/>
          <w:szCs w:val="32"/>
          <w:highlight w:val="none"/>
          <w:shd w:val="clear" w:color="auto" w:fill="FFFFFF"/>
          <w:lang w:eastAsia="zh-CN"/>
        </w:rPr>
        <w:t>单位</w:t>
      </w:r>
      <w:r>
        <w:rPr>
          <w:rFonts w:hint="default" w:ascii="Times New Roman" w:hAnsi="Times New Roman" w:eastAsia="方正仿宋_GBK" w:cs="Times New Roman"/>
          <w:color w:val="auto"/>
          <w:sz w:val="32"/>
          <w:szCs w:val="32"/>
          <w:highlight w:val="none"/>
          <w:shd w:val="clear" w:color="auto" w:fill="FFFFFF"/>
        </w:rPr>
        <w:t>2024年度无政府性基金预算财政拨款收支。</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shd w:val="clear" w:color="auto" w:fill="FFFFFF"/>
        </w:rPr>
      </w:pPr>
      <w:r>
        <w:rPr>
          <w:rFonts w:hint="eastAsia" w:ascii="方正楷体_GBK" w:hAnsi="方正楷体_GBK" w:eastAsia="方正楷体_GBK" w:cs="方正楷体_GBK"/>
          <w:b w:val="0"/>
          <w:bCs w:val="0"/>
          <w:color w:val="auto"/>
          <w:sz w:val="32"/>
          <w:szCs w:val="32"/>
          <w:highlight w:val="none"/>
          <w:shd w:val="clear" w:color="auto" w:fill="FFFFFF"/>
        </w:rPr>
        <w:t>（六）国有资本经营预算财政拨款支出决算情况说明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Fonts w:hint="default" w:ascii="Times New Roman" w:hAnsi="Times New Roman" w:eastAsia="方正仿宋_GBK" w:cs="Times New Roman"/>
          <w:color w:val="auto"/>
          <w:sz w:val="32"/>
          <w:szCs w:val="32"/>
          <w:highlight w:val="none"/>
          <w:shd w:val="clear" w:color="auto" w:fill="FFFFFF"/>
        </w:rPr>
        <w:t>本</w:t>
      </w:r>
      <w:r>
        <w:rPr>
          <w:rFonts w:hint="eastAsia" w:ascii="Times New Roman" w:hAnsi="Times New Roman" w:eastAsia="方正仿宋_GBK" w:cs="Times New Roman"/>
          <w:color w:val="auto"/>
          <w:sz w:val="32"/>
          <w:szCs w:val="32"/>
          <w:highlight w:val="none"/>
          <w:shd w:val="clear" w:color="auto" w:fill="FFFFFF"/>
          <w:lang w:eastAsia="zh-CN"/>
        </w:rPr>
        <w:t>单位</w:t>
      </w:r>
      <w:r>
        <w:rPr>
          <w:rFonts w:hint="default" w:ascii="Times New Roman" w:hAnsi="Times New Roman" w:eastAsia="方正仿宋_GBK" w:cs="Times New Roman"/>
          <w:color w:val="auto"/>
          <w:sz w:val="32"/>
          <w:szCs w:val="32"/>
          <w:highlight w:val="none"/>
          <w:shd w:val="clear" w:color="auto" w:fill="FFFFFF"/>
        </w:rPr>
        <w:t>2024年度无国有资本经营预算财政拨款支出。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三、</w:t>
      </w:r>
      <w:r>
        <w:rPr>
          <w:rStyle w:val="10"/>
          <w:rFonts w:hint="eastAsia" w:ascii="方正黑体_GBK" w:hAnsi="方正黑体_GBK" w:eastAsia="方正黑体_GBK" w:cs="方正黑体_GBK"/>
          <w:b w:val="0"/>
          <w:bCs/>
          <w:sz w:val="32"/>
          <w:szCs w:val="32"/>
          <w:shd w:val="clear" w:color="auto" w:fill="FFFFFF"/>
          <w:lang w:eastAsia="zh-CN"/>
        </w:rPr>
        <w:t>财政拨款</w:t>
      </w:r>
      <w:r>
        <w:rPr>
          <w:rStyle w:val="10"/>
          <w:rFonts w:hint="eastAsia" w:ascii="方正黑体_GBK" w:hAnsi="方正黑体_GBK" w:eastAsia="方正黑体_GBK" w:cs="方正黑体_GBK"/>
          <w:b w:val="0"/>
          <w:bCs/>
          <w:sz w:val="32"/>
          <w:szCs w:val="32"/>
          <w:shd w:val="clear" w:color="auto" w:fill="FFFFFF"/>
        </w:rPr>
        <w:t>“三公”经费情况说明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lang w:eastAsia="zh-CN"/>
        </w:rPr>
        <w:t>本单位为委属代管单位，</w:t>
      </w:r>
      <w:r>
        <w:rPr>
          <w:rFonts w:hint="eastAsia" w:ascii="Times New Roman" w:hAnsi="Times New Roman" w:eastAsia="方正仿宋_GBK" w:cs="Times New Roman"/>
          <w:b w:val="0"/>
          <w:bCs/>
          <w:sz w:val="32"/>
          <w:szCs w:val="32"/>
          <w:shd w:val="clear" w:color="auto" w:fill="FFFFFF"/>
          <w:lang w:eastAsia="zh-CN"/>
        </w:rPr>
        <w:t>未使用财政资金保障“三公经费”。</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黑体" w:hAnsi="黑体" w:eastAsia="黑体" w:cs="黑体"/>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（一）财政拨款会议费、培训费和差旅费情况说明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color w:val="FF0000"/>
          <w:sz w:val="32"/>
          <w:szCs w:val="32"/>
          <w:lang w:eastAsia="zh-CN"/>
        </w:rPr>
      </w:pPr>
      <w:r>
        <w:rPr>
          <w:rFonts w:ascii="方正仿宋_GBK" w:hAnsi="方正仿宋_GBK" w:eastAsia="方正仿宋_GBK" w:cs="方正仿宋_GBK"/>
          <w:b w:val="0"/>
          <w:bCs/>
          <w:sz w:val="32"/>
          <w:szCs w:val="32"/>
          <w:shd w:val="clear" w:color="auto" w:fill="FFFFFF"/>
        </w:rPr>
        <w:t>本年度会议费支出</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与2023年度相比，无增减</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本年度未发生会议费</w:t>
      </w:r>
      <w:r>
        <w:rPr>
          <w:rFonts w:ascii="方正仿宋_GBK" w:hAnsi="方正仿宋_GBK" w:eastAsia="方正仿宋_GBK" w:cs="方正仿宋_GBK"/>
          <w:b w:val="0"/>
          <w:bCs/>
          <w:color w:val="auto"/>
          <w:sz w:val="32"/>
          <w:szCs w:val="32"/>
          <w:shd w:val="clear" w:color="auto" w:fill="FFFFFF"/>
        </w:rPr>
        <w:t>。</w:t>
      </w:r>
      <w:r>
        <w:rPr>
          <w:rFonts w:ascii="方正仿宋_GBK" w:hAnsi="方正仿宋_GBK" w:eastAsia="方正仿宋_GBK" w:cs="方正仿宋_GBK"/>
          <w:b w:val="0"/>
          <w:bCs/>
          <w:sz w:val="32"/>
          <w:szCs w:val="32"/>
          <w:shd w:val="clear" w:color="auto" w:fill="FFFFFF"/>
        </w:rPr>
        <w:t>本年度培训费支出</w:t>
      </w:r>
      <w:r>
        <w:rPr>
          <w:rFonts w:hint="default" w:ascii="Times New Roman" w:hAnsi="Times New Roman" w:eastAsia="方正仿宋_GBK"/>
          <w:b w:val="0"/>
          <w:bCs/>
          <w:sz w:val="32"/>
          <w:szCs w:val="32"/>
          <w:shd w:val="clear" w:color="auto" w:fill="FFFFFF"/>
        </w:rPr>
        <w:t>5.65</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与2023年度相比，减少29.60万元，下降84.0%</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培训次数减少。</w:t>
      </w:r>
      <w:r>
        <w:rPr>
          <w:rFonts w:ascii="方正仿宋_GBK" w:hAnsi="方正仿宋_GBK" w:eastAsia="方正仿宋_GBK" w:cs="方正仿宋_GBK"/>
          <w:b w:val="0"/>
          <w:bCs/>
          <w:sz w:val="32"/>
          <w:szCs w:val="32"/>
          <w:shd w:val="clear" w:color="auto" w:fill="FFFFFF"/>
        </w:rPr>
        <w:t>本年度差旅费支出</w:t>
      </w:r>
      <w:r>
        <w:rPr>
          <w:rFonts w:hint="default" w:ascii="Times New Roman" w:hAnsi="Times New Roman" w:eastAsia="方正仿宋_GBK"/>
          <w:b w:val="0"/>
          <w:bCs/>
          <w:sz w:val="32"/>
          <w:szCs w:val="32"/>
          <w:shd w:val="clear" w:color="auto" w:fill="FFFFFF"/>
        </w:rPr>
        <w:t>3.98</w:t>
      </w:r>
      <w:r>
        <w:rPr>
          <w:rFonts w:ascii="方正仿宋_GBK" w:hAnsi="方正仿宋_GBK" w:eastAsia="方正仿宋_GBK" w:cs="方正仿宋_GBK"/>
          <w:b w:val="0"/>
          <w:bCs/>
          <w:sz w:val="32"/>
          <w:szCs w:val="32"/>
        </w:rPr>
        <w:t>万元，</w:t>
      </w:r>
      <w:r>
        <w:rPr>
          <w:rFonts w:hint="default" w:ascii="Times New Roman" w:hAnsi="Times New Roman" w:eastAsia="方正仿宋_GBK"/>
          <w:b w:val="0"/>
          <w:bCs/>
          <w:sz w:val="32"/>
          <w:szCs w:val="32"/>
          <w:shd w:val="clear" w:color="auto" w:fill="FFFFFF"/>
        </w:rPr>
        <w:t>与2023年度相比，减少13.56万元，下降77.3%</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出差次数减少。</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（二）机关运行经费情况说明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sz w:val="32"/>
          <w:szCs w:val="32"/>
          <w:shd w:val="clear" w:color="auto" w:fill="FFFFFF"/>
        </w:rPr>
        <w:t>按照部门决算列报口径，</w:t>
      </w:r>
      <w:r>
        <w:rPr>
          <w:rFonts w:hint="eastAsia" w:ascii="Times New Roman" w:hAnsi="Times New Roman" w:eastAsia="方正仿宋_GBK" w:cs="Times New Roman"/>
          <w:b w:val="0"/>
          <w:bCs/>
          <w:sz w:val="32"/>
          <w:szCs w:val="32"/>
          <w:shd w:val="clear" w:color="auto" w:fill="FFFFFF"/>
          <w:lang w:eastAsia="zh-CN"/>
        </w:rPr>
        <w:t>本</w:t>
      </w:r>
      <w:r>
        <w:rPr>
          <w:rFonts w:hint="default" w:ascii="Times New Roman" w:hAnsi="Times New Roman" w:eastAsia="方正仿宋_GBK" w:cs="Times New Roman"/>
          <w:b w:val="0"/>
          <w:bCs/>
          <w:sz w:val="32"/>
          <w:szCs w:val="32"/>
          <w:shd w:val="clear" w:color="auto" w:fill="FFFFFF"/>
        </w:rPr>
        <w:t>单位不在机关运行经费统计范围之内。</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（三）国有资产占用情况说明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截至</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w:t>
      </w:r>
      <w:r>
        <w:rPr>
          <w:rFonts w:hint="default" w:ascii="Times New Roman" w:hAnsi="Times New Roman" w:eastAsia="方正仿宋_GBK"/>
          <w:b w:val="0"/>
          <w:bCs/>
          <w:sz w:val="32"/>
          <w:szCs w:val="32"/>
          <w:shd w:val="clear" w:color="auto" w:fill="FFFFFF"/>
        </w:rPr>
        <w:t>12</w:t>
      </w:r>
      <w:r>
        <w:rPr>
          <w:rFonts w:ascii="方正仿宋_GBK" w:hAnsi="方正仿宋_GBK" w:eastAsia="方正仿宋_GBK" w:cs="方正仿宋_GBK"/>
          <w:b w:val="0"/>
          <w:bCs/>
          <w:sz w:val="32"/>
          <w:szCs w:val="32"/>
          <w:shd w:val="clear" w:color="auto" w:fill="FFFFFF"/>
        </w:rPr>
        <w:t>月</w:t>
      </w:r>
      <w:r>
        <w:rPr>
          <w:rFonts w:hint="default" w:ascii="Times New Roman" w:hAnsi="Times New Roman" w:eastAsia="方正仿宋_GBK"/>
          <w:b w:val="0"/>
          <w:bCs/>
          <w:sz w:val="32"/>
          <w:szCs w:val="32"/>
          <w:shd w:val="clear" w:color="auto" w:fill="FFFFFF"/>
        </w:rPr>
        <w:t>31</w:t>
      </w:r>
      <w:r>
        <w:rPr>
          <w:rFonts w:ascii="方正仿宋_GBK" w:hAnsi="方正仿宋_GBK" w:eastAsia="方正仿宋_GBK" w:cs="方正仿宋_GBK"/>
          <w:b w:val="0"/>
          <w:bCs/>
          <w:sz w:val="32"/>
          <w:szCs w:val="32"/>
          <w:shd w:val="clear" w:color="auto" w:fill="FFFFFF"/>
        </w:rPr>
        <w:t>日，本</w:t>
      </w:r>
      <w:r>
        <w:rPr>
          <w:rFonts w:hint="eastAsia" w:ascii="方正仿宋_GBK" w:hAnsi="方正仿宋_GBK" w:eastAsia="方正仿宋_GBK" w:cs="方正仿宋_GBK"/>
          <w:b w:val="0"/>
          <w:bCs/>
          <w:sz w:val="32"/>
          <w:szCs w:val="32"/>
          <w:shd w:val="clear" w:color="auto" w:fill="FFFFFF"/>
          <w:lang w:eastAsia="zh-CN"/>
        </w:rPr>
        <w:t>单位</w:t>
      </w:r>
      <w:r>
        <w:rPr>
          <w:rFonts w:ascii="方正仿宋_GBK" w:hAnsi="方正仿宋_GBK" w:eastAsia="方正仿宋_GBK" w:cs="方正仿宋_GBK"/>
          <w:b w:val="0"/>
          <w:bCs/>
          <w:sz w:val="32"/>
          <w:szCs w:val="32"/>
          <w:shd w:val="clear" w:color="auto" w:fill="FFFFFF"/>
        </w:rPr>
        <w:t>共有车辆</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辆，其中，副部（省）级及以上领导用车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辆、主要负责人用车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辆、机要通信用车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辆、应急保障用车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辆、执法执勤用车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辆，特种专业技术用车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辆，离退休干部用车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辆。单价</w:t>
      </w:r>
      <w:r>
        <w:rPr>
          <w:rFonts w:hint="default" w:ascii="Times New Roman" w:hAnsi="Times New Roman" w:eastAsia="方正仿宋_GBK"/>
          <w:b w:val="0"/>
          <w:bCs/>
          <w:sz w:val="32"/>
          <w:szCs w:val="32"/>
          <w:shd w:val="clear" w:color="auto" w:fill="FFFFFF"/>
        </w:rPr>
        <w:t>100</w:t>
      </w:r>
      <w:r>
        <w:rPr>
          <w:rFonts w:ascii="方正仿宋_GBK" w:hAnsi="方正仿宋_GBK" w:eastAsia="方正仿宋_GBK" w:cs="方正仿宋_GBK"/>
          <w:b w:val="0"/>
          <w:bCs/>
          <w:sz w:val="32"/>
          <w:szCs w:val="32"/>
          <w:shd w:val="clear" w:color="auto" w:fill="FFFFFF"/>
        </w:rPr>
        <w:t>万元（含）以上专用设备</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台（套）。</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（四）政府采购支出情况说明</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方正仿宋_GBK" w:hAnsi="方正仿宋_GBK" w:eastAsia="方正仿宋_GBK" w:cs="方正仿宋_GBK"/>
          <w:b w:val="0"/>
          <w:bCs/>
          <w:sz w:val="32"/>
          <w:szCs w:val="32"/>
          <w:shd w:val="clear" w:color="auto" w:fill="FFFFFF"/>
          <w:lang w:eastAsia="zh-CN"/>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年度本</w:t>
      </w:r>
      <w:r>
        <w:rPr>
          <w:rFonts w:hint="eastAsia" w:ascii="方正仿宋_GBK" w:hAnsi="方正仿宋_GBK" w:eastAsia="方正仿宋_GBK" w:cs="方正仿宋_GBK"/>
          <w:b w:val="0"/>
          <w:bCs/>
          <w:sz w:val="32"/>
          <w:szCs w:val="32"/>
          <w:shd w:val="clear" w:color="auto" w:fill="FFFFFF"/>
          <w:lang w:eastAsia="zh-CN"/>
        </w:rPr>
        <w:t>单位未发生</w:t>
      </w:r>
      <w:r>
        <w:rPr>
          <w:rFonts w:ascii="方正仿宋_GBK" w:hAnsi="方正仿宋_GBK" w:eastAsia="方正仿宋_GBK" w:cs="方正仿宋_GBK"/>
          <w:b w:val="0"/>
          <w:bCs/>
          <w:sz w:val="32"/>
          <w:szCs w:val="32"/>
          <w:shd w:val="clear" w:color="auto" w:fill="FFFFFF"/>
        </w:rPr>
        <w:t>政府采购</w:t>
      </w:r>
      <w:r>
        <w:rPr>
          <w:rFonts w:hint="eastAsia" w:ascii="方正仿宋_GBK" w:hAnsi="方正仿宋_GBK" w:eastAsia="方正仿宋_GBK" w:cs="方正仿宋_GBK"/>
          <w:b w:val="0"/>
          <w:bCs/>
          <w:sz w:val="32"/>
          <w:szCs w:val="32"/>
          <w:shd w:val="clear" w:color="auto" w:fill="FFFFFF"/>
          <w:lang w:eastAsia="zh-CN"/>
        </w:rPr>
        <w:t>事项，无相关经费支出。</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lang w:eastAsia="zh-CN"/>
        </w:rPr>
        <w:t>五、</w:t>
      </w:r>
      <w:r>
        <w:rPr>
          <w:rStyle w:val="10"/>
          <w:rFonts w:ascii="黑体" w:hAnsi="黑体" w:eastAsia="黑体" w:cs="黑体"/>
          <w:b w:val="0"/>
          <w:bCs/>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（一）单位自评情况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本单位为委属代管单位，无项目预算及支出，未开展绩效自评。</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ascii="方正仿宋_GBK" w:hAnsi="方正仿宋_GBK" w:eastAsia="方正仿宋_GBK" w:cs="方正仿宋_GBK"/>
          <w:b w:val="0"/>
          <w:bCs w:val="0"/>
          <w:sz w:val="32"/>
          <w:szCs w:val="32"/>
          <w:shd w:val="clear" w:color="auto" w:fill="FFFFFF"/>
        </w:rPr>
      </w:pPr>
      <w:r>
        <w:rPr>
          <w:rFonts w:hint="eastAsia" w:ascii="方正仿宋_GBK" w:hAnsi="方正仿宋_GBK" w:eastAsia="方正仿宋_GBK" w:cs="方正仿宋_GBK"/>
          <w:b w:val="0"/>
          <w:bCs w:val="0"/>
          <w:sz w:val="32"/>
          <w:szCs w:val="32"/>
          <w:shd w:val="clear" w:color="auto" w:fill="FFFFFF"/>
          <w:lang w:eastAsia="zh-CN"/>
        </w:rPr>
        <w:t>本</w:t>
      </w:r>
      <w:r>
        <w:rPr>
          <w:rFonts w:hint="eastAsia" w:ascii="方正仿宋_GBK" w:hAnsi="方正仿宋_GBK" w:eastAsia="方正仿宋_GBK" w:cs="方正仿宋_GBK"/>
          <w:b w:val="0"/>
          <w:bCs w:val="0"/>
          <w:sz w:val="32"/>
          <w:szCs w:val="32"/>
          <w:shd w:val="clear" w:color="auto" w:fill="FFFFFF"/>
        </w:rPr>
        <w:t>单位</w:t>
      </w:r>
      <w:r>
        <w:rPr>
          <w:rFonts w:hint="eastAsia" w:ascii="方正仿宋_GBK" w:hAnsi="方正仿宋_GBK" w:eastAsia="方正仿宋_GBK" w:cs="方正仿宋_GBK"/>
          <w:b w:val="0"/>
          <w:bCs w:val="0"/>
          <w:sz w:val="32"/>
          <w:szCs w:val="32"/>
          <w:shd w:val="clear" w:color="auto" w:fill="FFFFFF"/>
          <w:lang w:eastAsia="zh-CN"/>
        </w:rPr>
        <w:t>未组织开展绩效评价。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六、专业名词解释</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（二）事业收入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（三）经营收入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（四）其他收入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（五）使用非财政拨款结余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（六）年初结转和结余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（七）结余分配</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（八）年末结转和结余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（九）基本支出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（十）项目支出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（十一）经营支出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（十二）“三公”经费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（十三）机关运行经费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反映用于对个人和家庭的补助支出。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ascii="方正仿宋_GBK" w:hAnsi="方正仿宋_GBK" w:eastAsia="方正仿宋_GBK" w:cs="方正仿宋_GBK"/>
          <w:b w:val="0"/>
          <w:bCs w:val="0"/>
          <w:sz w:val="32"/>
          <w:szCs w:val="32"/>
          <w:shd w:val="clear" w:color="auto" w:fill="FFFFFF"/>
        </w:rPr>
      </w:pPr>
      <w:r>
        <w:rPr>
          <w:rStyle w:val="10"/>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七、决算公开联系方式及信息反馈渠道</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8"/>
        <w:snapToGrid w:val="0"/>
        <w:spacing w:before="0" w:beforeAutospacing="0" w:after="0" w:afterAutospacing="0" w:line="596" w:lineRule="exact"/>
        <w:ind w:firstLine="640" w:firstLineChars="200"/>
        <w:jc w:val="both"/>
        <w:rPr>
          <w:rFonts w:hint="eastAsia" w:ascii="方正仿宋_GBK" w:hAnsi="方正仿宋_GBK" w:eastAsia="方正仿宋_GBK" w:cs="方正仿宋_GBK"/>
          <w:b w:val="0"/>
          <w:bCs/>
          <w:color w:val="FF0000"/>
          <w:sz w:val="32"/>
          <w:szCs w:val="32"/>
          <w:shd w:val="clear" w:color="auto" w:fill="FFFFFF"/>
          <w:lang w:val="en-US" w:eastAsia="zh-CN" w:bidi="ar-SA"/>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shd w:val="clear" w:color="auto" w:fill="FFFFFF"/>
          <w:lang w:eastAsia="zh-CN"/>
        </w:rPr>
        <w:t>龚盼</w:t>
      </w:r>
      <w:r>
        <w:rPr>
          <w:rFonts w:hint="eastAsia" w:ascii="Times New Roman" w:hAnsi="Times New Roman" w:eastAsia="方正仿宋_GBK" w:cs="Times New Roman"/>
          <w:sz w:val="32"/>
          <w:szCs w:val="32"/>
          <w:shd w:val="clear" w:color="auto" w:fill="FFFFFF"/>
          <w:lang w:val="en-US" w:eastAsia="zh-CN"/>
        </w:rPr>
        <w:t xml:space="preserve"> </w:t>
      </w:r>
      <w:r>
        <w:rPr>
          <w:rFonts w:hint="default" w:ascii="Times New Roman" w:hAnsi="Times New Roman" w:eastAsia="方正仿宋_GBK" w:cs="Times New Roman"/>
          <w:sz w:val="32"/>
          <w:szCs w:val="32"/>
          <w:shd w:val="clear" w:color="auto" w:fill="FFFFFF"/>
          <w:lang w:val="en-US" w:eastAsia="zh-CN"/>
        </w:rPr>
        <w:t>023-76662083</w:t>
      </w: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部门：</w:t>
            </w:r>
            <w:r>
              <w:rPr>
                <w:sz w:val="20"/>
                <w:u w:color="auto"/>
              </w:rPr>
              <w:t>秀山土家族苗族自治县卫生人才服务中心</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324.14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88.46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217.25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12.94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324.14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324.14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324.14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324.14</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备注：1.本表反映部门本年度的总收支和年末结转结余情况。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503" w:type="dxa"/>
        <w:tblInd w:w="0" w:type="dxa"/>
        <w:tblLayout w:type="fixed"/>
        <w:tblCellMar>
          <w:top w:w="0" w:type="dxa"/>
          <w:left w:w="0" w:type="dxa"/>
          <w:bottom w:w="0" w:type="dxa"/>
          <w:right w:w="0" w:type="dxa"/>
        </w:tblCellMar>
      </w:tblPr>
      <w:tblGrid>
        <w:gridCol w:w="1436"/>
        <w:gridCol w:w="3116"/>
        <w:gridCol w:w="1349"/>
        <w:gridCol w:w="1408"/>
        <w:gridCol w:w="1228"/>
        <w:gridCol w:w="1228"/>
        <w:gridCol w:w="1361"/>
        <w:gridCol w:w="1299"/>
        <w:gridCol w:w="1432"/>
        <w:gridCol w:w="1646"/>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590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sz w:val="20"/>
                <w:u w:color="auto"/>
              </w:rPr>
              <w:t>秀山土家族苗族自治县卫生人才服务中心</w:t>
            </w: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590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55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4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43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16"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5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324.14</w:t>
            </w:r>
            <w:r>
              <w:rPr>
                <w:rFonts w:ascii="Times New Roman" w:hAnsi="Times New Roman"/>
                <w:b/>
                <w:color w:val="000000"/>
                <w:sz w:val="20"/>
                <w:u w:color="auto"/>
              </w:rPr>
              <w:t xml:space="preserve"> </w:t>
            </w:r>
          </w:p>
        </w:tc>
        <w:tc>
          <w:tcPr>
            <w:tcW w:w="14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324.14</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43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4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88.46</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88.46</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88.46</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88.46</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49.98</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49.98</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25.63</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25.63</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12.85</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12.85</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217.25</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217.25</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19.04</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19.04</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19.04</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19.04</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184.25</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184.25</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2100407</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其他专业公共卫生机构</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175.12</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175.12</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9.13</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9.13</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13.96</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13.96</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10.84</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10.84</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12.94</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12.94</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12.94</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12.94</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12.94</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12.94</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备注：1.本表反映部门本年度取得的各项收入情况。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1"/>
        <w:tblW w:w="15322" w:type="dxa"/>
        <w:tblInd w:w="0" w:type="dxa"/>
        <w:tblLayout w:type="fixed"/>
        <w:tblCellMar>
          <w:top w:w="0" w:type="dxa"/>
          <w:left w:w="0" w:type="dxa"/>
          <w:bottom w:w="0" w:type="dxa"/>
          <w:right w:w="0" w:type="dxa"/>
        </w:tblCellMar>
      </w:tblPr>
      <w:tblGrid>
        <w:gridCol w:w="1483"/>
        <w:gridCol w:w="3552"/>
        <w:gridCol w:w="1667"/>
        <w:gridCol w:w="1716"/>
        <w:gridCol w:w="1649"/>
        <w:gridCol w:w="1581"/>
        <w:gridCol w:w="1716"/>
        <w:gridCol w:w="1958"/>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70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 xml:space="preserve">秀山土家族苗族自治县卫生人才服务中心 </w:t>
            </w: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70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48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52"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324.14</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309.51</w:t>
            </w:r>
            <w:r>
              <w:rPr>
                <w:rFonts w:ascii="Times New Roman" w:hAnsi="Times New Roman"/>
                <w:b/>
                <w:color w:val="000000"/>
                <w:sz w:val="20"/>
                <w:u w:color="auto"/>
              </w:rPr>
              <w:t xml:space="preserve"> </w:t>
            </w:r>
          </w:p>
        </w:tc>
        <w:tc>
          <w:tcPr>
            <w:tcW w:w="16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14.63</w:t>
            </w:r>
            <w:r>
              <w:rPr>
                <w:rFonts w:ascii="Times New Roman" w:hAnsi="Times New Roman"/>
                <w:b/>
                <w:color w:val="000000"/>
                <w:sz w:val="20"/>
                <w:u w:color="auto"/>
              </w:rPr>
              <w:t xml:space="preserve"> </w:t>
            </w:r>
          </w:p>
        </w:tc>
        <w:tc>
          <w:tcPr>
            <w:tcW w:w="15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88.46</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88.46</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88.46</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88.46</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49.98</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49.98</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25.63</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25.63</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12.85</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12.85</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217.25</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208.12</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9.13</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19.04</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19.04</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19.04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19.04</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184.25</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175.12</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9.13</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2100407</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其他专业公共卫生机构</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175.12</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175.12</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9.13</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9.13</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13.96</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13.96</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10.84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10.84</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12.94</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12.94</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12.94</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12.94</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12.94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12.94</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备注：1.本表反映部门本年度各项支出情况。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秀山土家族苗族自治县卫生人才服务中心</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324.14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88.46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88.46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217.25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217.25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5.50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5.50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12.94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12.94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324.14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324.14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324.14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324.14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324.14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324.14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备注：1.本表反映部门本年度一般公共预算财政拨款、政府性基金预算财政拨款及国有资本经营预算财政拨款的总收支和年末结转结余情况。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秀山土家族苗族自治县卫生人才服务中心</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324.14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309.51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14.63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88.46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88.46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88.46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88.46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49.98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49.98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25.63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25.63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12.85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12.85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217.25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208.12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9.13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19.04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19.04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19.04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19.04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184.25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175.12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9.13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2100407</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其他专业公共卫生机构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175.12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175.12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9.13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9.13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13.96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13.96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10.84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10.84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5.50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5.50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5.50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5.50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12.94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12.94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12.94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12.94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12.94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12.94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备注：1.本表反映部门本年度一般公共预算财政拨款支出情况。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秀山土家族苗族自治县卫生人才服务中心</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243.90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15.63</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62.11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0.60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107.52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0.07</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25.63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0.53</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12.85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1.47</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10.84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0.28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3.98</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12.94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49.98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0.15</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44.66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5.32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0.70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293.88</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15.63</w:t>
            </w: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备注：1.本表反映部门本年度一般公共预算财政拨款基本支出明细情况。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秀山土家族苗族自治县卫生人才服务中心</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备注：本表反映部门本年度政府性基金预算财政拨款收入支出及结转和结余情况。本部门无政府性基金收支，故本表无数据。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秀山土家族苗族自治县卫生人才服务中心</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备注：本表反映部门本年度国有资本经营预算财政拨款支出情况。本部门无国有资本经营收支，故本表无数据。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部门</w:t>
            </w:r>
            <w:r>
              <w:rPr>
                <w:rFonts w:cs="宋体"/>
                <w:color w:val="000000"/>
                <w:kern w:val="2"/>
                <w:sz w:val="20"/>
                <w:szCs w:val="20"/>
              </w:rPr>
              <w:t>：</w:t>
            </w:r>
            <w:r>
              <w:rPr>
                <w:color w:val="000000"/>
                <w:sz w:val="20"/>
                <w:u w:color="auto"/>
              </w:rPr>
              <w:t>秀山土家族苗族自治县卫生人才服务中心</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5.65</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3.98</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cs="宋体"/>
          <w:sz w:val="18"/>
          <w:szCs w:val="18"/>
        </w:rPr>
      </w:pPr>
      <w:r>
        <w:rPr>
          <w:rFonts w:cs="宋体"/>
          <w:sz w:val="18"/>
          <w:szCs w:val="18"/>
        </w:rPr>
        <w:t>备注：1.本表反映部门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786F0"/>
    <w:multiLevelType w:val="singleLevel"/>
    <w:tmpl w:val="18E786F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C01CC"/>
    <w:rsid w:val="000D7702"/>
    <w:rsid w:val="000F6721"/>
    <w:rsid w:val="001632EC"/>
    <w:rsid w:val="00261065"/>
    <w:rsid w:val="002D0E5A"/>
    <w:rsid w:val="002D71F4"/>
    <w:rsid w:val="002E5443"/>
    <w:rsid w:val="0032196C"/>
    <w:rsid w:val="004852DA"/>
    <w:rsid w:val="004C12FF"/>
    <w:rsid w:val="004D0390"/>
    <w:rsid w:val="00550ABE"/>
    <w:rsid w:val="005B023C"/>
    <w:rsid w:val="00600322"/>
    <w:rsid w:val="006137D7"/>
    <w:rsid w:val="00634FA8"/>
    <w:rsid w:val="0063613A"/>
    <w:rsid w:val="0068170B"/>
    <w:rsid w:val="006E2034"/>
    <w:rsid w:val="00732392"/>
    <w:rsid w:val="00792285"/>
    <w:rsid w:val="007A0D2E"/>
    <w:rsid w:val="007A3314"/>
    <w:rsid w:val="007B419D"/>
    <w:rsid w:val="007C5C5B"/>
    <w:rsid w:val="00810F13"/>
    <w:rsid w:val="00826B47"/>
    <w:rsid w:val="00893689"/>
    <w:rsid w:val="00940231"/>
    <w:rsid w:val="00944711"/>
    <w:rsid w:val="009574D5"/>
    <w:rsid w:val="009821E3"/>
    <w:rsid w:val="00984852"/>
    <w:rsid w:val="009B37A6"/>
    <w:rsid w:val="009B67B8"/>
    <w:rsid w:val="00A03B1E"/>
    <w:rsid w:val="00A67739"/>
    <w:rsid w:val="00A820B7"/>
    <w:rsid w:val="00A830E1"/>
    <w:rsid w:val="00AC5566"/>
    <w:rsid w:val="00B03CCD"/>
    <w:rsid w:val="00B104B0"/>
    <w:rsid w:val="00B40138"/>
    <w:rsid w:val="00BF5A85"/>
    <w:rsid w:val="00C307F6"/>
    <w:rsid w:val="00C96B11"/>
    <w:rsid w:val="00C97747"/>
    <w:rsid w:val="00CC6B99"/>
    <w:rsid w:val="00DF7706"/>
    <w:rsid w:val="00E05175"/>
    <w:rsid w:val="00E654E2"/>
    <w:rsid w:val="00E76362"/>
    <w:rsid w:val="00E86B80"/>
    <w:rsid w:val="00F137D3"/>
    <w:rsid w:val="00F13C36"/>
    <w:rsid w:val="00F23C68"/>
    <w:rsid w:val="00F32C53"/>
    <w:rsid w:val="00F73F90"/>
    <w:rsid w:val="00F7623D"/>
    <w:rsid w:val="00F8598B"/>
    <w:rsid w:val="00FA0819"/>
    <w:rsid w:val="00FB7EF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7B3940"/>
    <w:rsid w:val="08BA052C"/>
    <w:rsid w:val="08DB07BA"/>
    <w:rsid w:val="0969353F"/>
    <w:rsid w:val="098305D0"/>
    <w:rsid w:val="098A0877"/>
    <w:rsid w:val="0A5C4B69"/>
    <w:rsid w:val="0A86124A"/>
    <w:rsid w:val="0AB54CC0"/>
    <w:rsid w:val="0B9335CE"/>
    <w:rsid w:val="0C7927C4"/>
    <w:rsid w:val="0C9B098C"/>
    <w:rsid w:val="0D673E11"/>
    <w:rsid w:val="0DDA54E4"/>
    <w:rsid w:val="0E3A5F83"/>
    <w:rsid w:val="0E74421A"/>
    <w:rsid w:val="0EA46639"/>
    <w:rsid w:val="0EC6180C"/>
    <w:rsid w:val="0F497FB6"/>
    <w:rsid w:val="0F836721"/>
    <w:rsid w:val="0FA25D96"/>
    <w:rsid w:val="107B59E5"/>
    <w:rsid w:val="10EC0126"/>
    <w:rsid w:val="10F70B9A"/>
    <w:rsid w:val="111445C7"/>
    <w:rsid w:val="114278C6"/>
    <w:rsid w:val="1158083A"/>
    <w:rsid w:val="11643A4B"/>
    <w:rsid w:val="11ED0F98"/>
    <w:rsid w:val="11F03528"/>
    <w:rsid w:val="12C921C4"/>
    <w:rsid w:val="12F52ECF"/>
    <w:rsid w:val="13871C70"/>
    <w:rsid w:val="139D5716"/>
    <w:rsid w:val="13A71CB4"/>
    <w:rsid w:val="13AF1D43"/>
    <w:rsid w:val="13CE1647"/>
    <w:rsid w:val="13DA0C25"/>
    <w:rsid w:val="13FD55AB"/>
    <w:rsid w:val="14200702"/>
    <w:rsid w:val="14907817"/>
    <w:rsid w:val="163A6CEE"/>
    <w:rsid w:val="173708E3"/>
    <w:rsid w:val="174C19C7"/>
    <w:rsid w:val="17C374FC"/>
    <w:rsid w:val="189079DC"/>
    <w:rsid w:val="189B0D0B"/>
    <w:rsid w:val="18B43F7C"/>
    <w:rsid w:val="194A1770"/>
    <w:rsid w:val="19B906A4"/>
    <w:rsid w:val="1B6F15B6"/>
    <w:rsid w:val="1BAA2EDC"/>
    <w:rsid w:val="1C5C0973"/>
    <w:rsid w:val="1CA55E64"/>
    <w:rsid w:val="1D014A01"/>
    <w:rsid w:val="1D022362"/>
    <w:rsid w:val="1D1B04B0"/>
    <w:rsid w:val="1D6534C4"/>
    <w:rsid w:val="1DBD6767"/>
    <w:rsid w:val="1DC52125"/>
    <w:rsid w:val="1DD26311"/>
    <w:rsid w:val="1E374ACB"/>
    <w:rsid w:val="1E5E27E3"/>
    <w:rsid w:val="1EA33588"/>
    <w:rsid w:val="1ECF0A66"/>
    <w:rsid w:val="1EF67CA4"/>
    <w:rsid w:val="1F020D3A"/>
    <w:rsid w:val="1F2C5189"/>
    <w:rsid w:val="1F4B0B02"/>
    <w:rsid w:val="1FBB35CD"/>
    <w:rsid w:val="1FCD26AF"/>
    <w:rsid w:val="20642787"/>
    <w:rsid w:val="21556F04"/>
    <w:rsid w:val="22403BD3"/>
    <w:rsid w:val="23DA37D9"/>
    <w:rsid w:val="24B92327"/>
    <w:rsid w:val="24C14514"/>
    <w:rsid w:val="2533755C"/>
    <w:rsid w:val="25791755"/>
    <w:rsid w:val="26396DF4"/>
    <w:rsid w:val="27167136"/>
    <w:rsid w:val="27B23302"/>
    <w:rsid w:val="29310A5F"/>
    <w:rsid w:val="29C37A35"/>
    <w:rsid w:val="2A076083"/>
    <w:rsid w:val="2A73162E"/>
    <w:rsid w:val="2B167953"/>
    <w:rsid w:val="2B200583"/>
    <w:rsid w:val="2B220436"/>
    <w:rsid w:val="2B8209DE"/>
    <w:rsid w:val="2C6762A3"/>
    <w:rsid w:val="2EBF7B3E"/>
    <w:rsid w:val="2EDE1934"/>
    <w:rsid w:val="2FCA4B37"/>
    <w:rsid w:val="2FE029D7"/>
    <w:rsid w:val="2FF06E00"/>
    <w:rsid w:val="30562E26"/>
    <w:rsid w:val="30586FEC"/>
    <w:rsid w:val="30EC7046"/>
    <w:rsid w:val="315F0B22"/>
    <w:rsid w:val="319D022C"/>
    <w:rsid w:val="31C90022"/>
    <w:rsid w:val="31D84415"/>
    <w:rsid w:val="32285F6F"/>
    <w:rsid w:val="32770556"/>
    <w:rsid w:val="329C0913"/>
    <w:rsid w:val="32AA0460"/>
    <w:rsid w:val="3337290D"/>
    <w:rsid w:val="33E31118"/>
    <w:rsid w:val="33EF7674"/>
    <w:rsid w:val="342D7BC6"/>
    <w:rsid w:val="34475F39"/>
    <w:rsid w:val="34D92688"/>
    <w:rsid w:val="352930DB"/>
    <w:rsid w:val="35573069"/>
    <w:rsid w:val="355F6038"/>
    <w:rsid w:val="358C217E"/>
    <w:rsid w:val="35937598"/>
    <w:rsid w:val="36C9128A"/>
    <w:rsid w:val="372E3953"/>
    <w:rsid w:val="37841E99"/>
    <w:rsid w:val="37BF1123"/>
    <w:rsid w:val="383C3F15"/>
    <w:rsid w:val="38BE4696"/>
    <w:rsid w:val="3939115E"/>
    <w:rsid w:val="39B82A39"/>
    <w:rsid w:val="39C42CA8"/>
    <w:rsid w:val="39DC4FD6"/>
    <w:rsid w:val="39F03D7A"/>
    <w:rsid w:val="39F33306"/>
    <w:rsid w:val="3A2C1C67"/>
    <w:rsid w:val="3B1705E5"/>
    <w:rsid w:val="3B18334B"/>
    <w:rsid w:val="3B36794F"/>
    <w:rsid w:val="3C566AD6"/>
    <w:rsid w:val="3C6A5B02"/>
    <w:rsid w:val="3CD45FD0"/>
    <w:rsid w:val="3D2757A1"/>
    <w:rsid w:val="3D3D4FC4"/>
    <w:rsid w:val="3DDF3AB1"/>
    <w:rsid w:val="3E1D0952"/>
    <w:rsid w:val="3E42660A"/>
    <w:rsid w:val="3E7555B1"/>
    <w:rsid w:val="3E787ED9"/>
    <w:rsid w:val="3EEC37F3"/>
    <w:rsid w:val="3F032E93"/>
    <w:rsid w:val="3F0527E5"/>
    <w:rsid w:val="3F4814B0"/>
    <w:rsid w:val="3F5E5D98"/>
    <w:rsid w:val="3F694D83"/>
    <w:rsid w:val="3F885DCC"/>
    <w:rsid w:val="3FCD675E"/>
    <w:rsid w:val="3FD86860"/>
    <w:rsid w:val="4004000C"/>
    <w:rsid w:val="40D54604"/>
    <w:rsid w:val="40F16DC2"/>
    <w:rsid w:val="411B6CE5"/>
    <w:rsid w:val="412070D7"/>
    <w:rsid w:val="41314E40"/>
    <w:rsid w:val="41E0734B"/>
    <w:rsid w:val="426554D0"/>
    <w:rsid w:val="426C1EA8"/>
    <w:rsid w:val="42736402"/>
    <w:rsid w:val="42E86A87"/>
    <w:rsid w:val="43307B09"/>
    <w:rsid w:val="43470647"/>
    <w:rsid w:val="438D0E97"/>
    <w:rsid w:val="43BB152F"/>
    <w:rsid w:val="44494994"/>
    <w:rsid w:val="44B96DCF"/>
    <w:rsid w:val="44C37687"/>
    <w:rsid w:val="45CB699A"/>
    <w:rsid w:val="465B470D"/>
    <w:rsid w:val="469D6AD4"/>
    <w:rsid w:val="471E6C84"/>
    <w:rsid w:val="4748792B"/>
    <w:rsid w:val="475D719D"/>
    <w:rsid w:val="47674801"/>
    <w:rsid w:val="48225EF7"/>
    <w:rsid w:val="488F422B"/>
    <w:rsid w:val="48E36915"/>
    <w:rsid w:val="495C4A24"/>
    <w:rsid w:val="497135DF"/>
    <w:rsid w:val="4A1605D9"/>
    <w:rsid w:val="4A263DF2"/>
    <w:rsid w:val="4A6F6675"/>
    <w:rsid w:val="4ABF0746"/>
    <w:rsid w:val="4B0502DF"/>
    <w:rsid w:val="4B135857"/>
    <w:rsid w:val="4B7951CB"/>
    <w:rsid w:val="4B7C315C"/>
    <w:rsid w:val="4CCF773C"/>
    <w:rsid w:val="4DAC4ACA"/>
    <w:rsid w:val="4DBE01D2"/>
    <w:rsid w:val="4EFC6D10"/>
    <w:rsid w:val="4F0C6BA3"/>
    <w:rsid w:val="4F10477D"/>
    <w:rsid w:val="4F186D58"/>
    <w:rsid w:val="4FEA65B7"/>
    <w:rsid w:val="5042146E"/>
    <w:rsid w:val="50F06B6E"/>
    <w:rsid w:val="52234D33"/>
    <w:rsid w:val="52261ABA"/>
    <w:rsid w:val="522F6E0C"/>
    <w:rsid w:val="52463BA1"/>
    <w:rsid w:val="5298794F"/>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5D82B6C"/>
    <w:rsid w:val="55DC12C9"/>
    <w:rsid w:val="561D52C4"/>
    <w:rsid w:val="5651697D"/>
    <w:rsid w:val="56530F5D"/>
    <w:rsid w:val="56692AE5"/>
    <w:rsid w:val="567700D3"/>
    <w:rsid w:val="56FF7E9E"/>
    <w:rsid w:val="578867FC"/>
    <w:rsid w:val="5842572D"/>
    <w:rsid w:val="5A3B59D6"/>
    <w:rsid w:val="5AD134D8"/>
    <w:rsid w:val="5B6503B1"/>
    <w:rsid w:val="5C0F7EC4"/>
    <w:rsid w:val="5C263CE4"/>
    <w:rsid w:val="5C5D2777"/>
    <w:rsid w:val="5CF66BF3"/>
    <w:rsid w:val="5D290C69"/>
    <w:rsid w:val="5F2D4A41"/>
    <w:rsid w:val="60C74F6C"/>
    <w:rsid w:val="60F81AB5"/>
    <w:rsid w:val="61025A59"/>
    <w:rsid w:val="613D5BBC"/>
    <w:rsid w:val="61536C39"/>
    <w:rsid w:val="61E64F4A"/>
    <w:rsid w:val="623E0993"/>
    <w:rsid w:val="62944DD7"/>
    <w:rsid w:val="6319381F"/>
    <w:rsid w:val="63236436"/>
    <w:rsid w:val="63303185"/>
    <w:rsid w:val="63C25DC5"/>
    <w:rsid w:val="63C62057"/>
    <w:rsid w:val="64571EF5"/>
    <w:rsid w:val="64CB0157"/>
    <w:rsid w:val="64FB113D"/>
    <w:rsid w:val="65036946"/>
    <w:rsid w:val="654A25FE"/>
    <w:rsid w:val="656152C6"/>
    <w:rsid w:val="6587477F"/>
    <w:rsid w:val="658C3A08"/>
    <w:rsid w:val="65C031CA"/>
    <w:rsid w:val="65CE6852"/>
    <w:rsid w:val="65EB6584"/>
    <w:rsid w:val="66267C04"/>
    <w:rsid w:val="663F505A"/>
    <w:rsid w:val="66967186"/>
    <w:rsid w:val="66EE5541"/>
    <w:rsid w:val="67924660"/>
    <w:rsid w:val="67B3608E"/>
    <w:rsid w:val="683200C2"/>
    <w:rsid w:val="68407834"/>
    <w:rsid w:val="6883293E"/>
    <w:rsid w:val="688412AD"/>
    <w:rsid w:val="68EB1B71"/>
    <w:rsid w:val="69475C96"/>
    <w:rsid w:val="6AAD2300"/>
    <w:rsid w:val="6B474EF5"/>
    <w:rsid w:val="6BBF53FD"/>
    <w:rsid w:val="6C560CAE"/>
    <w:rsid w:val="6C576495"/>
    <w:rsid w:val="6D903FF5"/>
    <w:rsid w:val="6DA955B8"/>
    <w:rsid w:val="6DE346AB"/>
    <w:rsid w:val="6DE5391A"/>
    <w:rsid w:val="6EEA5552"/>
    <w:rsid w:val="6EFD1324"/>
    <w:rsid w:val="6F5A53AC"/>
    <w:rsid w:val="6FAC003D"/>
    <w:rsid w:val="6FE55E12"/>
    <w:rsid w:val="6FFB2E76"/>
    <w:rsid w:val="708F6F7F"/>
    <w:rsid w:val="70D94BD3"/>
    <w:rsid w:val="71C34D91"/>
    <w:rsid w:val="72DB435C"/>
    <w:rsid w:val="72E2613A"/>
    <w:rsid w:val="72F771F4"/>
    <w:rsid w:val="734150D5"/>
    <w:rsid w:val="736650B0"/>
    <w:rsid w:val="73934AD2"/>
    <w:rsid w:val="750837F0"/>
    <w:rsid w:val="754758CF"/>
    <w:rsid w:val="761275E6"/>
    <w:rsid w:val="764F62AB"/>
    <w:rsid w:val="765C45EC"/>
    <w:rsid w:val="768A7619"/>
    <w:rsid w:val="772E1EBA"/>
    <w:rsid w:val="77EB79F7"/>
    <w:rsid w:val="796D60A4"/>
    <w:rsid w:val="79A031D5"/>
    <w:rsid w:val="7A1525F7"/>
    <w:rsid w:val="7A731AB1"/>
    <w:rsid w:val="7B420052"/>
    <w:rsid w:val="7B861484"/>
    <w:rsid w:val="7BD06A28"/>
    <w:rsid w:val="7C3A7C0B"/>
    <w:rsid w:val="7C5248E4"/>
    <w:rsid w:val="7C566698"/>
    <w:rsid w:val="7C5866A3"/>
    <w:rsid w:val="7D7406BB"/>
    <w:rsid w:val="7DE94331"/>
    <w:rsid w:val="7F446A19"/>
    <w:rsid w:val="7F7452B9"/>
    <w:rsid w:val="7F8401D1"/>
    <w:rsid w:val="7FAC3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3933</Words>
  <Characters>22421</Characters>
  <Lines>186</Lines>
  <Paragraphs>52</Paragraphs>
  <TotalTime>3</TotalTime>
  <ScaleCrop>false</ScaleCrop>
  <LinksUpToDate>false</LinksUpToDate>
  <CharactersWithSpaces>26302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2025-06-26T07:40:00Z</dcterms:created>
  <dc:creator>Administrator</dc:creator>
  <cp:lastModifiedBy>龚盼</cp:lastModifiedBy>
  <dcterms:modified xsi:type="dcterms:W3CDTF">2025-10-15T01:33:20Z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