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line="596" w:lineRule="exact"/>
        <w:jc w:val="center"/>
        <w:rPr>
          <w:rFonts w:hint="default" w:ascii="方正小标宋_GBK" w:hAnsi="方正小标宋_GBK" w:eastAsia="方正小标宋_GBK" w:cs="方正小标宋_GBK"/>
          <w:sz w:val="36"/>
          <w:szCs w:val="36"/>
        </w:rPr>
      </w:pPr>
    </w:p>
    <w:p>
      <w:pPr>
        <w:widowControl w:val="0"/>
        <w:spacing w:line="580" w:lineRule="exact"/>
        <w:jc w:val="center"/>
        <w:rPr>
          <w:rFonts w:hint="default" w:ascii="方正小标宋_GBK" w:hAnsi="方正小标宋_GBK" w:eastAsia="方正小标宋_GBK" w:cs="方正小标宋_GBK"/>
          <w:kern w:val="2"/>
          <w:sz w:val="44"/>
          <w:szCs w:val="44"/>
          <w:shd w:val="clear" w:color="auto" w:fill="FFFFFF"/>
        </w:rPr>
      </w:pPr>
      <w:r>
        <w:rPr>
          <w:rFonts w:ascii="方正小标宋_GBK" w:hAnsi="方正小标宋_GBK" w:eastAsia="方正小标宋_GBK" w:cs="方正小标宋_GBK"/>
          <w:kern w:val="2"/>
          <w:sz w:val="44"/>
          <w:szCs w:val="44"/>
          <w:shd w:val="clear" w:color="auto" w:fill="FFFFFF"/>
        </w:rPr>
        <w:t>秀山土家族苗族自治县疾病预防控制中心</w:t>
      </w:r>
    </w:p>
    <w:p>
      <w:pPr>
        <w:widowControl w:val="0"/>
        <w:spacing w:line="580" w:lineRule="exact"/>
        <w:jc w:val="center"/>
        <w:rPr>
          <w:rFonts w:hint="default" w:ascii="方正小标宋_GBK" w:hAnsi="方正小标宋_GBK" w:eastAsia="方正小标宋_GBK" w:cs="方正小标宋_GBK"/>
          <w:kern w:val="2"/>
          <w:sz w:val="44"/>
          <w:szCs w:val="44"/>
          <w:shd w:val="clear" w:color="auto" w:fill="FFFFFF"/>
        </w:rPr>
      </w:pPr>
      <w:r>
        <w:rPr>
          <w:rFonts w:hint="default" w:ascii="Times New Roman" w:hAnsi="Times New Roman" w:eastAsia="方正小标宋_GBK" w:cs="Times New Roman"/>
          <w:kern w:val="2"/>
          <w:sz w:val="44"/>
          <w:szCs w:val="44"/>
          <w:shd w:val="clear" w:color="auto" w:fill="FFFFFF"/>
        </w:rPr>
        <w:t>2024</w:t>
      </w:r>
      <w:r>
        <w:rPr>
          <w:rFonts w:ascii="方正小标宋_GBK" w:hAnsi="方正小标宋_GBK" w:eastAsia="方正小标宋_GBK" w:cs="方正小标宋_GBK"/>
          <w:kern w:val="2"/>
          <w:sz w:val="44"/>
          <w:szCs w:val="44"/>
          <w:shd w:val="clear" w:color="auto" w:fill="FFFFFF"/>
        </w:rPr>
        <w:t>年度决算公开说明</w:t>
      </w:r>
    </w:p>
    <w:p>
      <w:pPr>
        <w:pStyle w:val="8"/>
        <w:spacing w:before="0" w:beforeAutospacing="0" w:after="0" w:afterAutospacing="0" w:line="596" w:lineRule="exact"/>
        <w:jc w:val="center"/>
        <w:rPr>
          <w:rFonts w:hint="default" w:ascii="方正小标宋_GBK" w:hAnsi="方正小标宋_GBK" w:eastAsia="方正小标宋_GBK" w:cs="方正小标宋_GBK"/>
          <w:sz w:val="36"/>
          <w:szCs w:val="36"/>
          <w:shd w:val="clear" w:color="auto" w:fill="FFFFFF"/>
        </w:rPr>
      </w:pPr>
    </w:p>
    <w:p>
      <w:pPr>
        <w:pStyle w:val="8"/>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黑体_GBK"/>
          <w:b w:val="0"/>
          <w:bCs/>
          <w:sz w:val="32"/>
          <w:szCs w:val="32"/>
          <w:shd w:val="clear" w:color="auto" w:fill="FFFFFF"/>
        </w:rPr>
      </w:pPr>
      <w:r>
        <w:rPr>
          <w:rStyle w:val="10"/>
          <w:rFonts w:ascii="Times New Roman" w:hAnsi="Times New Roman" w:eastAsia="方正黑体_GBK"/>
          <w:b w:val="0"/>
          <w:bCs/>
          <w:sz w:val="32"/>
          <w:szCs w:val="32"/>
          <w:shd w:val="clear" w:color="auto" w:fill="FFFFFF"/>
        </w:rPr>
        <w:t>一、单位基本情况</w:t>
      </w:r>
    </w:p>
    <w:p>
      <w:pPr>
        <w:pStyle w:val="8"/>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楷体_GBK" w:cs="Times New Roman"/>
          <w:b w:val="0"/>
          <w:bCs/>
          <w:sz w:val="32"/>
          <w:szCs w:val="32"/>
          <w:shd w:val="clear" w:color="auto" w:fill="FFFFFF"/>
        </w:rPr>
      </w:pPr>
      <w:r>
        <w:rPr>
          <w:rStyle w:val="10"/>
          <w:rFonts w:ascii="Times New Roman" w:hAnsi="Times New Roman" w:eastAsia="方正楷体_GBK" w:cs="Times New Roman"/>
          <w:b w:val="0"/>
          <w:bCs/>
          <w:sz w:val="32"/>
          <w:szCs w:val="32"/>
          <w:shd w:val="clear" w:color="auto" w:fill="FFFFFF"/>
        </w:rPr>
        <w:t>（一）职能职责</w:t>
      </w:r>
    </w:p>
    <w:p>
      <w:pPr>
        <w:pStyle w:val="19"/>
        <w:keepNext w:val="0"/>
        <w:keepLines w:val="0"/>
        <w:pageBreakBefore w:val="0"/>
        <w:widowControl w:val="0"/>
        <w:kinsoku/>
        <w:wordWrap/>
        <w:overflowPunct/>
        <w:topLinePunct w:val="0"/>
        <w:autoSpaceDE w:val="0"/>
        <w:autoSpaceDN/>
        <w:bidi w:val="0"/>
        <w:adjustRightInd/>
        <w:spacing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ascii="Times New Roman" w:hAnsi="Times New Roman" w:eastAsia="方正仿宋_GBK"/>
          <w:sz w:val="32"/>
          <w:szCs w:val="32"/>
        </w:rPr>
        <w:t>1.</w:t>
      </w:r>
      <w:r>
        <w:rPr>
          <w:rFonts w:ascii="Times New Roman" w:hAnsi="Times New Roman" w:eastAsia="方正仿宋_GBK" w:cs="方正仿宋_GBK"/>
          <w:sz w:val="32"/>
          <w:szCs w:val="32"/>
        </w:rPr>
        <w:t>实施全县疾病预防控制规划，完善疾病预防控制体系建设；承担疾病预防与控制具体工作的管理和实施。</w:t>
      </w:r>
    </w:p>
    <w:p>
      <w:pPr>
        <w:pStyle w:val="19"/>
        <w:keepNext w:val="0"/>
        <w:keepLines w:val="0"/>
        <w:pageBreakBefore w:val="0"/>
        <w:widowControl w:val="0"/>
        <w:kinsoku/>
        <w:wordWrap/>
        <w:overflowPunct/>
        <w:topLinePunct w:val="0"/>
        <w:autoSpaceDE w:val="0"/>
        <w:autoSpaceDN/>
        <w:bidi w:val="0"/>
        <w:adjustRightInd/>
        <w:spacing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ascii="Times New Roman" w:hAnsi="Times New Roman" w:eastAsia="方正仿宋_GBK"/>
          <w:sz w:val="32"/>
          <w:szCs w:val="32"/>
        </w:rPr>
        <w:t>2.</w:t>
      </w:r>
      <w:r>
        <w:rPr>
          <w:rFonts w:ascii="Times New Roman" w:hAnsi="Times New Roman" w:eastAsia="方正仿宋_GBK" w:cs="方正仿宋_GBK"/>
          <w:sz w:val="32"/>
          <w:szCs w:val="32"/>
        </w:rPr>
        <w:t>组织实施全县免疫规划和疫苗冷链管理相关工作；落实消毒、病媒生物防治相关工作；开展传染病及其流行因素监测报告、流行病学调查处置及效果评估；承担艾滋病（性病）预防控制职责；开展地方病与寄生虫病、慢性非传染性疾病、职业病防治、食品风险监测及学生常见病监测等健康危害因素监测相关工作；负责基本公共卫生服务疾控项目工作管理。</w:t>
      </w:r>
    </w:p>
    <w:p>
      <w:pPr>
        <w:pStyle w:val="19"/>
        <w:keepNext w:val="0"/>
        <w:keepLines w:val="0"/>
        <w:pageBreakBefore w:val="0"/>
        <w:widowControl w:val="0"/>
        <w:kinsoku/>
        <w:wordWrap/>
        <w:overflowPunct/>
        <w:topLinePunct w:val="0"/>
        <w:autoSpaceDE w:val="0"/>
        <w:autoSpaceDN/>
        <w:bidi w:val="0"/>
        <w:adjustRightInd/>
        <w:spacing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ascii="Times New Roman" w:hAnsi="Times New Roman" w:eastAsia="方正仿宋_GBK"/>
          <w:sz w:val="32"/>
          <w:szCs w:val="32"/>
        </w:rPr>
        <w:t>3.</w:t>
      </w:r>
      <w:r>
        <w:rPr>
          <w:rFonts w:ascii="Times New Roman" w:hAnsi="Times New Roman" w:eastAsia="方正仿宋_GBK" w:cs="方正仿宋_GBK"/>
          <w:sz w:val="32"/>
          <w:szCs w:val="32"/>
        </w:rPr>
        <w:t>组建突发公共卫生事件应急队伍，依法承担突发公共卫生事件和灾害疫情应急处置；组织实施疾病预防控制信息系统建设及维护相关工作，建立监测信息数据库，开展医疗机构技术指导，为辖区疾病预防控制决策提供科学依据；指导各相关部门及乡镇（街道）开展传染病及突发公共卫生事件工作开展。</w:t>
      </w:r>
    </w:p>
    <w:p>
      <w:pPr>
        <w:pStyle w:val="19"/>
        <w:keepNext w:val="0"/>
        <w:keepLines w:val="0"/>
        <w:pageBreakBefore w:val="0"/>
        <w:widowControl w:val="0"/>
        <w:kinsoku/>
        <w:wordWrap/>
        <w:overflowPunct/>
        <w:topLinePunct w:val="0"/>
        <w:autoSpaceDE w:val="0"/>
        <w:autoSpaceDN/>
        <w:bidi w:val="0"/>
        <w:adjustRightInd/>
        <w:spacing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ascii="Times New Roman" w:hAnsi="Times New Roman" w:eastAsia="方正仿宋_GBK"/>
          <w:sz w:val="32"/>
          <w:szCs w:val="32"/>
        </w:rPr>
        <w:t>4.</w:t>
      </w:r>
      <w:r>
        <w:rPr>
          <w:rFonts w:ascii="Times New Roman" w:hAnsi="Times New Roman" w:eastAsia="方正仿宋_GBK" w:cs="方正仿宋_GBK"/>
          <w:sz w:val="32"/>
          <w:szCs w:val="32"/>
        </w:rPr>
        <w:t>开展实验室网络和质量控制工作体系建设；开展病原微生物、寄生虫及免疫、生化检验、有毒有害因素、中毒事件毒物检测和常见污染物的检验等；按规定安全收集、管理菌种和毒种。</w:t>
      </w:r>
    </w:p>
    <w:p>
      <w:pPr>
        <w:pStyle w:val="19"/>
        <w:keepNext w:val="0"/>
        <w:keepLines w:val="0"/>
        <w:pageBreakBefore w:val="0"/>
        <w:widowControl w:val="0"/>
        <w:kinsoku/>
        <w:wordWrap/>
        <w:overflowPunct/>
        <w:topLinePunct w:val="0"/>
        <w:autoSpaceDE w:val="0"/>
        <w:autoSpaceDN/>
        <w:bidi w:val="0"/>
        <w:adjustRightInd/>
        <w:spacing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ascii="Times New Roman" w:hAnsi="Times New Roman" w:eastAsia="方正仿宋_GBK"/>
          <w:sz w:val="32"/>
          <w:szCs w:val="32"/>
        </w:rPr>
        <w:t>5.</w:t>
      </w:r>
      <w:r>
        <w:rPr>
          <w:rFonts w:ascii="Times New Roman" w:hAnsi="Times New Roman" w:eastAsia="方正仿宋_GBK" w:cs="方正仿宋_GBK"/>
          <w:sz w:val="32"/>
          <w:szCs w:val="32"/>
        </w:rPr>
        <w:t>负责卫生工程设计监测及卫生工程、相关产品的卫生学评价，承担卫生行政主管部门委托的与卫生监督执法相关的检验检测任务。</w:t>
      </w:r>
    </w:p>
    <w:p>
      <w:pPr>
        <w:pStyle w:val="19"/>
        <w:keepNext w:val="0"/>
        <w:keepLines w:val="0"/>
        <w:pageBreakBefore w:val="0"/>
        <w:widowControl w:val="0"/>
        <w:kinsoku/>
        <w:wordWrap/>
        <w:overflowPunct/>
        <w:topLinePunct w:val="0"/>
        <w:autoSpaceDE w:val="0"/>
        <w:autoSpaceDN/>
        <w:bidi w:val="0"/>
        <w:adjustRightInd/>
        <w:spacing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ascii="Times New Roman" w:hAnsi="Times New Roman" w:eastAsia="方正仿宋_GBK"/>
          <w:sz w:val="32"/>
          <w:szCs w:val="32"/>
        </w:rPr>
        <w:t>6.</w:t>
      </w:r>
      <w:r>
        <w:rPr>
          <w:rFonts w:ascii="Times New Roman" w:hAnsi="Times New Roman" w:eastAsia="方正仿宋_GBK" w:cs="方正仿宋_GBK"/>
          <w:sz w:val="32"/>
          <w:szCs w:val="32"/>
        </w:rPr>
        <w:t>指导辖区内医疗卫生机构开展卫生防病工作，负责考核和评价，对从事疾病预防控制相关工作的人员进行培训。</w:t>
      </w:r>
    </w:p>
    <w:p>
      <w:pPr>
        <w:pStyle w:val="19"/>
        <w:keepNext w:val="0"/>
        <w:keepLines w:val="0"/>
        <w:pageBreakBefore w:val="0"/>
        <w:widowControl w:val="0"/>
        <w:kinsoku/>
        <w:wordWrap/>
        <w:overflowPunct/>
        <w:topLinePunct w:val="0"/>
        <w:autoSpaceDE w:val="0"/>
        <w:autoSpaceDN/>
        <w:bidi w:val="0"/>
        <w:adjustRightInd/>
        <w:spacing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ascii="Times New Roman" w:hAnsi="Times New Roman" w:eastAsia="方正仿宋_GBK"/>
          <w:sz w:val="32"/>
          <w:szCs w:val="32"/>
        </w:rPr>
        <w:t>7.</w:t>
      </w:r>
      <w:r>
        <w:rPr>
          <w:rFonts w:ascii="Times New Roman" w:hAnsi="Times New Roman" w:eastAsia="方正仿宋_GBK" w:cs="方正仿宋_GBK"/>
          <w:sz w:val="32"/>
          <w:szCs w:val="32"/>
        </w:rPr>
        <w:t>开展辖区内不同人群的疾病预防控制、健康促进相关活动，指导基层卫生服务机构开展健康教育与健康促进活动，普及卫生防病知识。</w:t>
      </w:r>
    </w:p>
    <w:p>
      <w:pPr>
        <w:pStyle w:val="19"/>
        <w:keepNext w:val="0"/>
        <w:keepLines w:val="0"/>
        <w:pageBreakBefore w:val="0"/>
        <w:widowControl w:val="0"/>
        <w:kinsoku/>
        <w:wordWrap/>
        <w:overflowPunct/>
        <w:topLinePunct w:val="0"/>
        <w:autoSpaceDE w:val="0"/>
        <w:autoSpaceDN/>
        <w:bidi w:val="0"/>
        <w:adjustRightInd/>
        <w:spacing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ascii="Times New Roman" w:hAnsi="Times New Roman" w:eastAsia="方正仿宋_GBK"/>
          <w:sz w:val="32"/>
          <w:szCs w:val="32"/>
        </w:rPr>
        <w:t>8.</w:t>
      </w:r>
      <w:r>
        <w:rPr>
          <w:rFonts w:ascii="Times New Roman" w:hAnsi="Times New Roman" w:eastAsia="方正仿宋_GBK" w:cs="方正仿宋_GBK"/>
          <w:sz w:val="32"/>
          <w:szCs w:val="32"/>
        </w:rPr>
        <w:t>受卫生行政主管部门委托承担公共卫生、医疗卫生等监督执法工作。承担公共场所卫生、饮用水卫生、学校卫生等公共卫生领域的监督执法工作；承担传染病防治、消毒产品、餐饮具集中消毒等传染病防治领域的监督执法工作；承担职业卫生、放射卫生等职业健康领域的监督执法。承担医疗机构、中医药、血液安全等医疗卫生领域以及计划生育管理的监督执法。</w:t>
      </w:r>
    </w:p>
    <w:p>
      <w:pPr>
        <w:pStyle w:val="19"/>
        <w:keepNext w:val="0"/>
        <w:keepLines w:val="0"/>
        <w:pageBreakBefore w:val="0"/>
        <w:widowControl w:val="0"/>
        <w:kinsoku/>
        <w:wordWrap/>
        <w:overflowPunct/>
        <w:topLinePunct w:val="0"/>
        <w:autoSpaceDE w:val="0"/>
        <w:autoSpaceDN/>
        <w:bidi w:val="0"/>
        <w:adjustRightInd/>
        <w:spacing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ascii="Times New Roman" w:hAnsi="Times New Roman" w:eastAsia="方正仿宋_GBK"/>
          <w:sz w:val="32"/>
          <w:szCs w:val="32"/>
        </w:rPr>
        <w:t>9.</w:t>
      </w:r>
      <w:r>
        <w:rPr>
          <w:rFonts w:ascii="Times New Roman" w:hAnsi="Times New Roman" w:eastAsia="方正仿宋_GBK" w:cs="方正仿宋_GBK"/>
          <w:sz w:val="32"/>
          <w:szCs w:val="32"/>
        </w:rPr>
        <w:t>负责指导各医疗卫生机构开展卫生健康监督协管培训工作。</w:t>
      </w:r>
    </w:p>
    <w:p>
      <w:pPr>
        <w:pStyle w:val="19"/>
        <w:keepNext w:val="0"/>
        <w:keepLines w:val="0"/>
        <w:pageBreakBefore w:val="0"/>
        <w:widowControl w:val="0"/>
        <w:kinsoku/>
        <w:wordWrap/>
        <w:overflowPunct/>
        <w:topLinePunct w:val="0"/>
        <w:autoSpaceDE w:val="0"/>
        <w:autoSpaceDN/>
        <w:bidi w:val="0"/>
        <w:adjustRightInd/>
        <w:spacing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ascii="Times New Roman" w:hAnsi="Times New Roman" w:eastAsia="方正仿宋_GBK"/>
          <w:sz w:val="32"/>
          <w:szCs w:val="32"/>
        </w:rPr>
        <w:t>10.</w:t>
      </w:r>
      <w:r>
        <w:rPr>
          <w:rFonts w:ascii="Times New Roman" w:hAnsi="Times New Roman" w:eastAsia="方正仿宋_GBK" w:cs="方正仿宋_GBK"/>
          <w:sz w:val="32"/>
          <w:szCs w:val="32"/>
        </w:rPr>
        <w:t>负责卫生健康综合执法信息化工作及行政区域内卫生健康综合行政执法信息收集、核实和上报。</w:t>
      </w:r>
    </w:p>
    <w:p>
      <w:pPr>
        <w:pStyle w:val="19"/>
        <w:keepNext w:val="0"/>
        <w:keepLines w:val="0"/>
        <w:pageBreakBefore w:val="0"/>
        <w:widowControl w:val="0"/>
        <w:kinsoku/>
        <w:wordWrap/>
        <w:overflowPunct/>
        <w:topLinePunct w:val="0"/>
        <w:autoSpaceDE w:val="0"/>
        <w:autoSpaceDN/>
        <w:bidi w:val="0"/>
        <w:adjustRightInd/>
        <w:spacing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ascii="Times New Roman" w:hAnsi="Times New Roman" w:eastAsia="方正仿宋_GBK"/>
          <w:sz w:val="32"/>
          <w:szCs w:val="32"/>
        </w:rPr>
        <w:t>11.</w:t>
      </w:r>
      <w:r>
        <w:rPr>
          <w:rFonts w:ascii="Times New Roman" w:hAnsi="Times New Roman" w:eastAsia="方正仿宋_GBK" w:cs="方正仿宋_GBK"/>
          <w:sz w:val="32"/>
          <w:szCs w:val="32"/>
        </w:rPr>
        <w:t>受卫生行政主管部门委托负责卫生健康违法行为投诉、举报的查处。</w:t>
      </w:r>
    </w:p>
    <w:p>
      <w:pPr>
        <w:pStyle w:val="19"/>
        <w:keepNext w:val="0"/>
        <w:keepLines w:val="0"/>
        <w:pageBreakBefore w:val="0"/>
        <w:widowControl w:val="0"/>
        <w:kinsoku/>
        <w:wordWrap/>
        <w:overflowPunct/>
        <w:topLinePunct w:val="0"/>
        <w:autoSpaceDE w:val="0"/>
        <w:autoSpaceDN/>
        <w:bidi w:val="0"/>
        <w:adjustRightInd/>
        <w:spacing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ascii="Times New Roman" w:hAnsi="Times New Roman" w:eastAsia="方正仿宋_GBK"/>
          <w:sz w:val="32"/>
          <w:szCs w:val="32"/>
        </w:rPr>
        <w:t>12.</w:t>
      </w:r>
      <w:r>
        <w:rPr>
          <w:rFonts w:ascii="Times New Roman" w:hAnsi="Times New Roman" w:eastAsia="方正仿宋_GBK" w:cs="方正仿宋_GBK"/>
          <w:sz w:val="32"/>
          <w:szCs w:val="32"/>
        </w:rPr>
        <w:t>完成主管部门交办的其他任务。</w:t>
      </w:r>
    </w:p>
    <w:p>
      <w:pPr>
        <w:pStyle w:val="8"/>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楷体_GBK" w:cs="Times New Roman"/>
          <w:b w:val="0"/>
          <w:bCs/>
          <w:sz w:val="32"/>
          <w:szCs w:val="32"/>
          <w:shd w:val="clear" w:color="auto" w:fill="FFFFFF"/>
        </w:rPr>
      </w:pPr>
      <w:r>
        <w:rPr>
          <w:rStyle w:val="10"/>
          <w:rFonts w:ascii="Times New Roman" w:hAnsi="Times New Roman" w:eastAsia="方正楷体_GBK" w:cs="Times New Roman"/>
          <w:b w:val="0"/>
          <w:bCs/>
          <w:sz w:val="32"/>
          <w:szCs w:val="32"/>
          <w:shd w:val="clear" w:color="auto" w:fill="FFFFFF"/>
        </w:rPr>
        <w:t>（二）机构设置</w:t>
      </w:r>
    </w:p>
    <w:p>
      <w:pPr>
        <w:pStyle w:val="19"/>
        <w:keepNext w:val="0"/>
        <w:keepLines w:val="0"/>
        <w:pageBreakBefore w:val="0"/>
        <w:widowControl w:val="0"/>
        <w:kinsoku/>
        <w:wordWrap/>
        <w:overflowPunct/>
        <w:topLinePunct w:val="0"/>
        <w:autoSpaceDE w:val="0"/>
        <w:autoSpaceDN/>
        <w:bidi w:val="0"/>
        <w:adjustRightInd/>
        <w:spacing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ascii="Times New Roman" w:hAnsi="Times New Roman" w:eastAsia="方正仿宋_GBK" w:cs="方正仿宋_GBK"/>
          <w:sz w:val="32"/>
          <w:szCs w:val="32"/>
        </w:rPr>
        <w:t>本单位设办公室、财务科、传染病防制科（应急办）、结核病防制科、免疫规划科、卫生监测科、地方病及慢非病防制科、检验科、技管科教科、健康教育科、艾滋病性病防制科、法制稽查科、医疗卫生监督执法科、公共场所卫生监督执法科、职业卫生监督执法科、学校卫生监督执法科</w:t>
      </w:r>
      <w:r>
        <w:rPr>
          <w:rFonts w:ascii="Times New Roman" w:hAnsi="Times New Roman" w:eastAsia="方正仿宋_GBK"/>
          <w:sz w:val="32"/>
          <w:szCs w:val="32"/>
        </w:rPr>
        <w:t>16</w:t>
      </w:r>
      <w:r>
        <w:rPr>
          <w:rFonts w:ascii="Times New Roman" w:hAnsi="Times New Roman" w:eastAsia="方正仿宋_GBK" w:cs="方正仿宋_GBK"/>
          <w:sz w:val="32"/>
          <w:szCs w:val="32"/>
        </w:rPr>
        <w:t>个工作机构。</w:t>
      </w:r>
    </w:p>
    <w:p>
      <w:pPr>
        <w:pStyle w:val="8"/>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黑体_GBK" w:cs="Times New Roman"/>
          <w:b w:val="0"/>
          <w:bCs/>
          <w:sz w:val="32"/>
          <w:szCs w:val="32"/>
          <w:shd w:val="clear" w:color="auto" w:fill="FFFFFF"/>
        </w:rPr>
      </w:pPr>
      <w:r>
        <w:rPr>
          <w:rStyle w:val="10"/>
          <w:rFonts w:ascii="Times New Roman" w:hAnsi="Times New Roman" w:eastAsia="方正黑体_GBK" w:cs="Times New Roman"/>
          <w:b w:val="0"/>
          <w:bCs/>
          <w:sz w:val="32"/>
          <w:szCs w:val="32"/>
          <w:shd w:val="clear" w:color="auto" w:fill="FFFFFF"/>
        </w:rPr>
        <w:t>二、单位决算收支情况说明</w:t>
      </w:r>
    </w:p>
    <w:p>
      <w:pPr>
        <w:pStyle w:val="8"/>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outlineLvl w:val="9"/>
        <w:rPr>
          <w:rStyle w:val="10"/>
          <w:rFonts w:ascii="Times New Roman" w:hAnsi="Times New Roman" w:eastAsia="方正楷体_GBK" w:cs="Times New Roman"/>
          <w:b w:val="0"/>
          <w:bCs/>
          <w:sz w:val="32"/>
          <w:szCs w:val="32"/>
          <w:shd w:val="clear" w:color="auto" w:fill="FFFFFF"/>
        </w:rPr>
      </w:pPr>
      <w:r>
        <w:rPr>
          <w:rStyle w:val="10"/>
          <w:rFonts w:hint="eastAsia" w:ascii="Times New Roman" w:hAnsi="Times New Roman" w:eastAsia="方正楷体_GBK" w:cs="Times New Roman"/>
          <w:b w:val="0"/>
          <w:bCs/>
          <w:sz w:val="32"/>
          <w:szCs w:val="32"/>
          <w:shd w:val="clear" w:color="auto" w:fill="FFFFFF"/>
        </w:rPr>
        <w:t>（一）收入支出决算总体情况说明</w:t>
      </w:r>
    </w:p>
    <w:p>
      <w:pPr>
        <w:pStyle w:val="19"/>
        <w:keepNext w:val="0"/>
        <w:keepLines w:val="0"/>
        <w:pageBreakBefore w:val="0"/>
        <w:widowControl w:val="0"/>
        <w:kinsoku/>
        <w:wordWrap/>
        <w:overflowPunct/>
        <w:topLinePunct w:val="0"/>
        <w:autoSpaceDE w:val="0"/>
        <w:autoSpaceDN/>
        <w:bidi w:val="0"/>
        <w:adjustRightInd/>
        <w:spacing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hint="default" w:ascii="Times New Roman" w:hAnsi="Times New Roman" w:eastAsia="方正仿宋_GBK"/>
          <w:sz w:val="32"/>
          <w:szCs w:val="32"/>
        </w:rPr>
        <w:t>2024</w:t>
      </w:r>
      <w:r>
        <w:rPr>
          <w:rFonts w:ascii="Times New Roman" w:hAnsi="Times New Roman" w:eastAsia="方正仿宋_GBK" w:cs="方正仿宋_GBK"/>
          <w:sz w:val="32"/>
          <w:szCs w:val="32"/>
        </w:rPr>
        <w:t>年度收、支总计均为</w:t>
      </w:r>
      <w:r>
        <w:rPr>
          <w:rFonts w:hint="default" w:ascii="Times New Roman" w:hAnsi="Times New Roman" w:eastAsia="方正仿宋_GBK"/>
          <w:sz w:val="32"/>
          <w:szCs w:val="32"/>
        </w:rPr>
        <w:t>1773.02</w:t>
      </w:r>
      <w:r>
        <w:rPr>
          <w:rFonts w:ascii="Times New Roman" w:hAnsi="Times New Roman" w:eastAsia="方正仿宋_GBK" w:cs="方正仿宋_GBK"/>
          <w:sz w:val="32"/>
          <w:szCs w:val="32"/>
        </w:rPr>
        <w:t>万元。</w:t>
      </w:r>
      <w:r>
        <w:rPr>
          <w:rFonts w:hint="default" w:ascii="Times New Roman" w:hAnsi="Times New Roman" w:eastAsia="方正仿宋_GBK" w:cs="方正仿宋_GBK"/>
          <w:sz w:val="32"/>
          <w:szCs w:val="32"/>
        </w:rPr>
        <w:t>收、支与</w:t>
      </w:r>
      <w:r>
        <w:rPr>
          <w:rFonts w:hint="default" w:ascii="Times New Roman" w:hAnsi="Times New Roman" w:eastAsia="方正仿宋_GBK"/>
          <w:sz w:val="32"/>
          <w:szCs w:val="32"/>
        </w:rPr>
        <w:t>2023</w:t>
      </w:r>
      <w:r>
        <w:rPr>
          <w:rFonts w:hint="default" w:ascii="Times New Roman" w:hAnsi="Times New Roman" w:eastAsia="方正仿宋_GBK" w:cs="方正仿宋_GBK"/>
          <w:sz w:val="32"/>
          <w:szCs w:val="32"/>
        </w:rPr>
        <w:t>年度相比，减少</w:t>
      </w:r>
      <w:r>
        <w:rPr>
          <w:rFonts w:hint="default" w:ascii="Times New Roman" w:hAnsi="Times New Roman" w:eastAsia="方正仿宋_GBK"/>
          <w:sz w:val="32"/>
          <w:szCs w:val="32"/>
        </w:rPr>
        <w:t>54.18</w:t>
      </w:r>
      <w:r>
        <w:rPr>
          <w:rFonts w:hint="default" w:ascii="Times New Roman" w:hAnsi="Times New Roman" w:eastAsia="方正仿宋_GBK" w:cs="方正仿宋_GBK"/>
          <w:sz w:val="32"/>
          <w:szCs w:val="32"/>
        </w:rPr>
        <w:t>万元，下降</w:t>
      </w:r>
      <w:r>
        <w:rPr>
          <w:rFonts w:hint="default" w:ascii="Times New Roman" w:hAnsi="Times New Roman" w:eastAsia="方正仿宋_GBK"/>
          <w:sz w:val="32"/>
          <w:szCs w:val="32"/>
        </w:rPr>
        <w:t>3.0%</w:t>
      </w:r>
      <w:r>
        <w:rPr>
          <w:rFonts w:ascii="Times New Roman" w:hAnsi="Times New Roman" w:eastAsia="方正仿宋_GBK" w:cs="方正仿宋_GBK"/>
          <w:sz w:val="32"/>
          <w:szCs w:val="32"/>
        </w:rPr>
        <w:t>，主要原因是事业收入和年初结转和结余资金减少，导致本年度收入支出较上年减少。</w:t>
      </w:r>
    </w:p>
    <w:p>
      <w:pPr>
        <w:pStyle w:val="19"/>
        <w:keepNext w:val="0"/>
        <w:keepLines w:val="0"/>
        <w:pageBreakBefore w:val="0"/>
        <w:widowControl w:val="0"/>
        <w:kinsoku/>
        <w:wordWrap/>
        <w:overflowPunct/>
        <w:topLinePunct w:val="0"/>
        <w:autoSpaceDE w:val="0"/>
        <w:autoSpaceDN/>
        <w:bidi w:val="0"/>
        <w:adjustRightInd/>
        <w:spacing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hint="default" w:ascii="Times New Roman" w:hAnsi="Times New Roman" w:eastAsia="方正仿宋_GBK" w:cs="方正仿宋_GBK"/>
          <w:sz w:val="32"/>
          <w:szCs w:val="32"/>
        </w:rPr>
        <w:t>1.收入情况。</w:t>
      </w:r>
      <w:r>
        <w:rPr>
          <w:rFonts w:hint="default" w:ascii="Times New Roman" w:hAnsi="Times New Roman" w:eastAsia="方正仿宋_GBK"/>
          <w:sz w:val="32"/>
          <w:szCs w:val="32"/>
        </w:rPr>
        <w:t>2024</w:t>
      </w:r>
      <w:r>
        <w:rPr>
          <w:rFonts w:hint="default" w:ascii="Times New Roman" w:hAnsi="Times New Roman" w:eastAsia="方正仿宋_GBK" w:cs="方正仿宋_GBK"/>
          <w:sz w:val="32"/>
          <w:szCs w:val="32"/>
        </w:rPr>
        <w:t>年度收入合计</w:t>
      </w:r>
      <w:r>
        <w:rPr>
          <w:rFonts w:hint="default" w:ascii="Times New Roman" w:hAnsi="Times New Roman" w:eastAsia="方正仿宋_GBK"/>
          <w:sz w:val="32"/>
          <w:szCs w:val="32"/>
        </w:rPr>
        <w:t>1765.63</w:t>
      </w:r>
      <w:r>
        <w:rPr>
          <w:rFonts w:hint="default" w:ascii="Times New Roman" w:hAnsi="Times New Roman" w:eastAsia="方正仿宋_GBK" w:cs="方正仿宋_GBK"/>
          <w:sz w:val="32"/>
          <w:szCs w:val="32"/>
        </w:rPr>
        <w:t>万元，与</w:t>
      </w:r>
      <w:r>
        <w:rPr>
          <w:rStyle w:val="10"/>
          <w:rFonts w:hint="default" w:ascii="Times New Roman" w:hAnsi="Times New Roman" w:eastAsia="方正楷体_GBK"/>
          <w:b w:val="0"/>
          <w:bCs/>
          <w:sz w:val="32"/>
          <w:szCs w:val="32"/>
          <w:shd w:val="clear" w:color="auto" w:fill="FFFFFF"/>
        </w:rPr>
        <w:t>2023</w:t>
      </w:r>
      <w:r>
        <w:rPr>
          <w:rFonts w:hint="default" w:ascii="Times New Roman" w:hAnsi="Times New Roman" w:eastAsia="方正仿宋_GBK" w:cs="方正仿宋_GBK"/>
          <w:sz w:val="32"/>
          <w:szCs w:val="32"/>
        </w:rPr>
        <w:t>年度相比，增加</w:t>
      </w:r>
      <w:r>
        <w:rPr>
          <w:rFonts w:hint="default" w:ascii="Times New Roman" w:hAnsi="Times New Roman" w:eastAsia="方正仿宋_GBK"/>
          <w:sz w:val="32"/>
          <w:szCs w:val="32"/>
        </w:rPr>
        <w:t>204.63</w:t>
      </w:r>
      <w:r>
        <w:rPr>
          <w:rFonts w:hint="default" w:ascii="Times New Roman" w:hAnsi="Times New Roman" w:eastAsia="方正仿宋_GBK" w:cs="方正仿宋_GBK"/>
          <w:sz w:val="32"/>
          <w:szCs w:val="32"/>
        </w:rPr>
        <w:t>万元，增长</w:t>
      </w:r>
      <w:r>
        <w:rPr>
          <w:rFonts w:hint="default" w:ascii="Times New Roman" w:hAnsi="Times New Roman" w:eastAsia="方正仿宋_GBK"/>
          <w:sz w:val="32"/>
          <w:szCs w:val="32"/>
        </w:rPr>
        <w:t>13.1%</w:t>
      </w:r>
      <w:r>
        <w:rPr>
          <w:rFonts w:hint="default" w:ascii="Times New Roman" w:hAnsi="Times New Roman" w:eastAsia="方正仿宋_GBK" w:cs="方正仿宋_GBK"/>
          <w:sz w:val="32"/>
          <w:szCs w:val="32"/>
        </w:rPr>
        <w:t>，主要原因是财政拨款收入增加，导致本年度收入较上年增加。其中：财政拨款收入</w:t>
      </w:r>
      <w:r>
        <w:rPr>
          <w:rFonts w:hint="default" w:ascii="Times New Roman" w:hAnsi="Times New Roman" w:eastAsia="方正仿宋_GBK"/>
          <w:sz w:val="32"/>
          <w:szCs w:val="32"/>
        </w:rPr>
        <w:t>1702.26</w:t>
      </w:r>
      <w:r>
        <w:rPr>
          <w:rFonts w:hint="default" w:ascii="Times New Roman" w:hAnsi="Times New Roman" w:eastAsia="方正仿宋_GBK" w:cs="方正仿宋_GBK"/>
          <w:sz w:val="32"/>
          <w:szCs w:val="32"/>
        </w:rPr>
        <w:t>万元，占</w:t>
      </w:r>
      <w:r>
        <w:rPr>
          <w:rFonts w:hint="default" w:ascii="Times New Roman" w:hAnsi="Times New Roman" w:eastAsia="方正仿宋_GBK"/>
          <w:sz w:val="32"/>
          <w:szCs w:val="32"/>
        </w:rPr>
        <w:t>96.4%</w:t>
      </w:r>
      <w:r>
        <w:rPr>
          <w:rFonts w:hint="default" w:ascii="Times New Roman" w:hAnsi="Times New Roman" w:eastAsia="方正仿宋_GBK" w:cs="方正仿宋_GBK"/>
          <w:sz w:val="32"/>
          <w:szCs w:val="32"/>
        </w:rPr>
        <w:t>；事业收入</w:t>
      </w:r>
      <w:r>
        <w:rPr>
          <w:rFonts w:hint="default" w:ascii="Times New Roman" w:hAnsi="Times New Roman" w:eastAsia="方正仿宋_GBK"/>
          <w:sz w:val="32"/>
          <w:szCs w:val="32"/>
        </w:rPr>
        <w:t>63.37万元</w:t>
      </w:r>
      <w:r>
        <w:rPr>
          <w:rFonts w:hint="default" w:ascii="Times New Roman" w:hAnsi="Times New Roman" w:eastAsia="方正仿宋_GBK" w:cs="方正仿宋_GBK"/>
          <w:sz w:val="32"/>
          <w:szCs w:val="32"/>
        </w:rPr>
        <w:t>，占</w:t>
      </w:r>
      <w:r>
        <w:rPr>
          <w:rFonts w:hint="default" w:ascii="Times New Roman" w:hAnsi="Times New Roman" w:eastAsia="方正仿宋_GBK"/>
          <w:sz w:val="32"/>
          <w:szCs w:val="32"/>
        </w:rPr>
        <w:t>3.6%</w:t>
      </w:r>
      <w:r>
        <w:rPr>
          <w:rFonts w:hint="default" w:ascii="Times New Roman" w:hAnsi="Times New Roman" w:eastAsia="方正仿宋_GBK" w:cs="方正仿宋_GBK"/>
          <w:sz w:val="32"/>
          <w:szCs w:val="32"/>
        </w:rPr>
        <w:t>；经营收入</w:t>
      </w:r>
      <w:r>
        <w:rPr>
          <w:rFonts w:hint="default" w:ascii="Times New Roman" w:hAnsi="Times New Roman" w:eastAsia="方正仿宋_GBK"/>
          <w:sz w:val="32"/>
          <w:szCs w:val="32"/>
        </w:rPr>
        <w:t>0.00</w:t>
      </w:r>
      <w:r>
        <w:rPr>
          <w:rFonts w:hint="default" w:ascii="Times New Roman" w:hAnsi="Times New Roman" w:eastAsia="方正仿宋_GBK" w:cs="方正仿宋_GBK"/>
          <w:sz w:val="32"/>
          <w:szCs w:val="32"/>
        </w:rPr>
        <w:t>万元，占</w:t>
      </w:r>
      <w:r>
        <w:rPr>
          <w:rFonts w:hint="default" w:ascii="Times New Roman" w:hAnsi="Times New Roman" w:eastAsia="方正仿宋_GBK"/>
          <w:sz w:val="32"/>
          <w:szCs w:val="32"/>
        </w:rPr>
        <w:t>0.0%</w:t>
      </w:r>
      <w:r>
        <w:rPr>
          <w:rFonts w:hint="default" w:ascii="Times New Roman" w:hAnsi="Times New Roman" w:eastAsia="方正仿宋_GBK" w:cs="方正仿宋_GBK"/>
          <w:sz w:val="32"/>
          <w:szCs w:val="32"/>
        </w:rPr>
        <w:t>；其他收入</w:t>
      </w:r>
      <w:r>
        <w:rPr>
          <w:rFonts w:hint="default" w:ascii="Times New Roman" w:hAnsi="Times New Roman" w:eastAsia="方正仿宋_GBK"/>
          <w:sz w:val="32"/>
          <w:szCs w:val="32"/>
        </w:rPr>
        <w:t>0.00</w:t>
      </w:r>
      <w:r>
        <w:rPr>
          <w:rFonts w:hint="default" w:ascii="Times New Roman" w:hAnsi="Times New Roman" w:eastAsia="方正仿宋_GBK" w:cs="方正仿宋_GBK"/>
          <w:sz w:val="32"/>
          <w:szCs w:val="32"/>
        </w:rPr>
        <w:t>万元，占</w:t>
      </w:r>
      <w:r>
        <w:rPr>
          <w:rFonts w:hint="default" w:ascii="Times New Roman" w:hAnsi="Times New Roman" w:eastAsia="方正仿宋_GBK"/>
          <w:sz w:val="32"/>
          <w:szCs w:val="32"/>
        </w:rPr>
        <w:t>0.0%</w:t>
      </w:r>
      <w:r>
        <w:rPr>
          <w:rFonts w:hint="default" w:ascii="Times New Roman" w:hAnsi="Times New Roman" w:eastAsia="方正仿宋_GBK" w:cs="方正仿宋_GBK"/>
          <w:sz w:val="32"/>
          <w:szCs w:val="32"/>
        </w:rPr>
        <w:t>。此外，使用非财政拨款结余（含专用结余）0.00万元，年初结转和结余7.39万元。</w:t>
      </w:r>
    </w:p>
    <w:p>
      <w:pPr>
        <w:pStyle w:val="19"/>
        <w:keepNext w:val="0"/>
        <w:keepLines w:val="0"/>
        <w:pageBreakBefore w:val="0"/>
        <w:widowControl w:val="0"/>
        <w:kinsoku/>
        <w:wordWrap/>
        <w:overflowPunct/>
        <w:topLinePunct w:val="0"/>
        <w:autoSpaceDE w:val="0"/>
        <w:autoSpaceDN/>
        <w:bidi w:val="0"/>
        <w:adjustRightInd/>
        <w:spacing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hint="default" w:ascii="Times New Roman" w:hAnsi="Times New Roman" w:eastAsia="方正仿宋_GBK" w:cs="方正仿宋_GBK"/>
          <w:sz w:val="32"/>
          <w:szCs w:val="32"/>
        </w:rPr>
        <w:t>2.支出情况。2024年度支出合计1773.02万元，与2023年度相比，减少46.78万元，下降2.6%，主要原因是事业收入和年初结转和结余资金减少，导致本年度支出较上年减少。其中：基本支出1402.83万元，占79.1%；项目支出370.19万元，占20.9%；经营支出0.00万元，占0.0%。此外，结余分配0.00万元。</w:t>
      </w:r>
    </w:p>
    <w:p>
      <w:pPr>
        <w:pStyle w:val="19"/>
        <w:keepNext w:val="0"/>
        <w:keepLines w:val="0"/>
        <w:pageBreakBefore w:val="0"/>
        <w:widowControl w:val="0"/>
        <w:kinsoku/>
        <w:wordWrap/>
        <w:overflowPunct/>
        <w:topLinePunct w:val="0"/>
        <w:autoSpaceDE w:val="0"/>
        <w:autoSpaceDN/>
        <w:bidi w:val="0"/>
        <w:adjustRightInd/>
        <w:spacing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hint="default" w:ascii="Times New Roman" w:hAnsi="Times New Roman" w:eastAsia="方正仿宋_GBK" w:cs="方正仿宋_GBK"/>
          <w:sz w:val="32"/>
          <w:szCs w:val="32"/>
        </w:rPr>
        <w:t>3.结转结余情况。2024年度年末结转和结余0.00万元，与2023年度相比，减少7.39万元，下降100.0%，主要原因是上年度结转结余资金用于2024年度支出，导致2024年度支出增加，结转结余减少。</w:t>
      </w:r>
    </w:p>
    <w:p>
      <w:pPr>
        <w:pStyle w:val="8"/>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outlineLvl w:val="9"/>
        <w:rPr>
          <w:rStyle w:val="10"/>
          <w:rFonts w:hint="eastAsia" w:ascii="Times New Roman" w:hAnsi="Times New Roman" w:eastAsia="方正楷体_GBK" w:cs="Times New Roman"/>
          <w:b w:val="0"/>
          <w:bCs/>
          <w:sz w:val="32"/>
          <w:szCs w:val="32"/>
          <w:shd w:val="clear" w:color="auto" w:fill="FFFFFF"/>
        </w:rPr>
      </w:pPr>
      <w:r>
        <w:rPr>
          <w:rStyle w:val="10"/>
          <w:rFonts w:hint="eastAsia" w:ascii="Times New Roman" w:hAnsi="Times New Roman" w:eastAsia="方正楷体_GBK" w:cs="Times New Roman"/>
          <w:b w:val="0"/>
          <w:bCs/>
          <w:sz w:val="32"/>
          <w:szCs w:val="32"/>
          <w:shd w:val="clear" w:color="auto" w:fill="FFFFFF"/>
        </w:rPr>
        <w:t>（二）财政拨款收入支出决算总体情况说明</w:t>
      </w:r>
    </w:p>
    <w:p>
      <w:pPr>
        <w:pStyle w:val="19"/>
        <w:keepNext w:val="0"/>
        <w:keepLines w:val="0"/>
        <w:pageBreakBefore w:val="0"/>
        <w:widowControl w:val="0"/>
        <w:kinsoku/>
        <w:wordWrap/>
        <w:overflowPunct/>
        <w:topLinePunct w:val="0"/>
        <w:autoSpaceDE w:val="0"/>
        <w:autoSpaceDN/>
        <w:bidi w:val="0"/>
        <w:adjustRightInd/>
        <w:spacing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hint="default" w:ascii="Times New Roman" w:hAnsi="Times New Roman" w:eastAsia="方正仿宋_GBK" w:cs="方正仿宋_GBK"/>
          <w:sz w:val="32"/>
          <w:szCs w:val="32"/>
        </w:rPr>
        <w:t>2024年度财政拨款收、支总计均为1709.66万元。与2023年度相比，财政拨款收、支总计各增加30.74万元，增长1.8%。主要原因是2024</w:t>
      </w:r>
      <w:r>
        <w:rPr>
          <w:rFonts w:ascii="Times New Roman" w:hAnsi="Times New Roman" w:eastAsia="方正仿宋_GBK" w:cs="方正仿宋_GBK"/>
          <w:sz w:val="32"/>
          <w:szCs w:val="32"/>
        </w:rPr>
        <w:t>年</w:t>
      </w:r>
      <w:r>
        <w:rPr>
          <w:rFonts w:hint="default" w:ascii="Times New Roman" w:hAnsi="Times New Roman" w:eastAsia="方正仿宋_GBK" w:cs="方正仿宋_GBK"/>
          <w:sz w:val="32"/>
          <w:szCs w:val="32"/>
        </w:rPr>
        <w:t>县卫生健康综合行政执法支队与县疾病预防控制中心整合，人员经费拨款增加，导致本年度财政拨款收、支总计较上年增加。</w:t>
      </w:r>
    </w:p>
    <w:p>
      <w:pPr>
        <w:pStyle w:val="8"/>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outlineLvl w:val="9"/>
        <w:rPr>
          <w:rStyle w:val="10"/>
          <w:rFonts w:hint="eastAsia" w:ascii="Times New Roman" w:hAnsi="Times New Roman" w:eastAsia="方正楷体_GBK" w:cs="Times New Roman"/>
          <w:b w:val="0"/>
          <w:bCs/>
          <w:sz w:val="32"/>
          <w:szCs w:val="32"/>
          <w:shd w:val="clear" w:color="auto" w:fill="FFFFFF"/>
        </w:rPr>
      </w:pPr>
      <w:r>
        <w:rPr>
          <w:rStyle w:val="10"/>
          <w:rFonts w:hint="eastAsia" w:ascii="Times New Roman" w:hAnsi="Times New Roman" w:eastAsia="方正楷体_GBK" w:cs="Times New Roman"/>
          <w:b w:val="0"/>
          <w:bCs/>
          <w:sz w:val="32"/>
          <w:szCs w:val="32"/>
          <w:shd w:val="clear" w:color="auto" w:fill="FFFFFF"/>
        </w:rPr>
        <w:t>（三）一般公共预算财政拨款收入支出决算情况说明</w:t>
      </w:r>
    </w:p>
    <w:p>
      <w:pPr>
        <w:pStyle w:val="19"/>
        <w:keepNext w:val="0"/>
        <w:keepLines w:val="0"/>
        <w:pageBreakBefore w:val="0"/>
        <w:widowControl w:val="0"/>
        <w:kinsoku/>
        <w:wordWrap/>
        <w:overflowPunct/>
        <w:topLinePunct w:val="0"/>
        <w:autoSpaceDE w:val="0"/>
        <w:autoSpaceDN/>
        <w:bidi w:val="0"/>
        <w:adjustRightInd/>
        <w:spacing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hint="default" w:ascii="Times New Roman" w:hAnsi="Times New Roman" w:eastAsia="方正仿宋_GBK" w:cs="方正仿宋_GBK"/>
          <w:sz w:val="32"/>
          <w:szCs w:val="32"/>
        </w:rPr>
        <w:t>1.收入情况。2024年度一般公共预算财政拨款收入1702.26万元，与2023年度相比，增加289.54万元，增长20.5%。主要原因是2024</w:t>
      </w:r>
      <w:r>
        <w:rPr>
          <w:rFonts w:ascii="Times New Roman" w:hAnsi="Times New Roman" w:eastAsia="方正仿宋_GBK" w:cs="方正仿宋_GBK"/>
          <w:sz w:val="32"/>
          <w:szCs w:val="32"/>
        </w:rPr>
        <w:t>年</w:t>
      </w:r>
      <w:r>
        <w:rPr>
          <w:rFonts w:hint="default" w:ascii="Times New Roman" w:hAnsi="Times New Roman" w:eastAsia="方正仿宋_GBK" w:cs="方正仿宋_GBK"/>
          <w:sz w:val="32"/>
          <w:szCs w:val="32"/>
        </w:rPr>
        <w:t>县卫生健康综合行政执法支队与县疾病预防控制中心整合，人员经费拨款增加，导致</w:t>
      </w:r>
      <w:r>
        <w:rPr>
          <w:rFonts w:hint="eastAsia" w:ascii="Times New Roman" w:hAnsi="Times New Roman" w:eastAsia="方正仿宋_GBK" w:cs="方正仿宋_GBK"/>
          <w:sz w:val="32"/>
          <w:szCs w:val="32"/>
          <w:lang w:val="en-US" w:eastAsia="zh-CN"/>
        </w:rPr>
        <w:t>一般公共预算</w:t>
      </w:r>
      <w:r>
        <w:rPr>
          <w:rFonts w:hint="default" w:ascii="Times New Roman" w:hAnsi="Times New Roman" w:eastAsia="方正仿宋_GBK" w:cs="方正仿宋_GBK"/>
          <w:sz w:val="32"/>
          <w:szCs w:val="32"/>
        </w:rPr>
        <w:t>财政拨款收入增加。较年初预算数增加128.78万元，增长8.2%。主要原因是较年初预算数增加了人员经费拨款。此外，年初财政拨款结转和结余7.39万元。</w:t>
      </w:r>
    </w:p>
    <w:p>
      <w:pPr>
        <w:pStyle w:val="19"/>
        <w:keepNext w:val="0"/>
        <w:keepLines w:val="0"/>
        <w:pageBreakBefore w:val="0"/>
        <w:widowControl w:val="0"/>
        <w:kinsoku/>
        <w:wordWrap/>
        <w:overflowPunct/>
        <w:topLinePunct w:val="0"/>
        <w:autoSpaceDE w:val="0"/>
        <w:autoSpaceDN/>
        <w:bidi w:val="0"/>
        <w:adjustRightInd/>
        <w:spacing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hint="default" w:ascii="Times New Roman" w:hAnsi="Times New Roman" w:eastAsia="方正仿宋_GBK" w:cs="方正仿宋_GBK"/>
          <w:sz w:val="32"/>
          <w:szCs w:val="32"/>
        </w:rPr>
        <w:t>2.支出情况。2024年度一般公共预算财政拨款支出1709.66万元，与2023年度相比，增加38.14万元，增长2.3%。主要原因是2024</w:t>
      </w:r>
      <w:r>
        <w:rPr>
          <w:rFonts w:ascii="Times New Roman" w:hAnsi="Times New Roman" w:eastAsia="方正仿宋_GBK" w:cs="方正仿宋_GBK"/>
          <w:sz w:val="32"/>
          <w:szCs w:val="32"/>
        </w:rPr>
        <w:t>年</w:t>
      </w:r>
      <w:r>
        <w:rPr>
          <w:rFonts w:hint="default" w:ascii="Times New Roman" w:hAnsi="Times New Roman" w:eastAsia="方正仿宋_GBK" w:cs="方正仿宋_GBK"/>
          <w:sz w:val="32"/>
          <w:szCs w:val="32"/>
        </w:rPr>
        <w:t>县卫生健康综合行政执法支队与县疾病预防控制中心整合，人员经费支出增加。较年初预算数增加136.18万元，增长8.7%。主要原因是较年初预算数人员经费支出增加。</w:t>
      </w:r>
    </w:p>
    <w:p>
      <w:pPr>
        <w:pStyle w:val="19"/>
        <w:keepNext w:val="0"/>
        <w:keepLines w:val="0"/>
        <w:pageBreakBefore w:val="0"/>
        <w:widowControl w:val="0"/>
        <w:kinsoku/>
        <w:wordWrap/>
        <w:overflowPunct/>
        <w:topLinePunct w:val="0"/>
        <w:autoSpaceDE w:val="0"/>
        <w:autoSpaceDN/>
        <w:bidi w:val="0"/>
        <w:adjustRightInd/>
        <w:spacing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hint="default" w:ascii="Times New Roman" w:hAnsi="Times New Roman" w:eastAsia="方正仿宋_GBK" w:cs="方正仿宋_GBK"/>
          <w:sz w:val="32"/>
          <w:szCs w:val="32"/>
        </w:rPr>
        <w:t>一般公共预算财政拨款支出主要用途如下：</w:t>
      </w:r>
    </w:p>
    <w:p>
      <w:pPr>
        <w:pStyle w:val="19"/>
        <w:keepNext w:val="0"/>
        <w:keepLines w:val="0"/>
        <w:pageBreakBefore w:val="0"/>
        <w:widowControl w:val="0"/>
        <w:kinsoku/>
        <w:wordWrap/>
        <w:overflowPunct/>
        <w:topLinePunct w:val="0"/>
        <w:autoSpaceDE w:val="0"/>
        <w:autoSpaceDN/>
        <w:bidi w:val="0"/>
        <w:adjustRightInd/>
        <w:spacing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hint="default" w:ascii="Times New Roman" w:hAnsi="Times New Roman" w:eastAsia="方正仿宋_GBK" w:cs="方正仿宋_GBK"/>
          <w:sz w:val="32"/>
          <w:szCs w:val="32"/>
        </w:rPr>
        <w:t>（1）社会保障和就业支出273.37万元，占16.0%，较年初预算数增加67.73万元，增长32.9%，主要原因是补缴了2024年社保及机构整合人员增加，社保缴费增加。而年初未纳入预算，导致2024年支出较年初预算数增加。</w:t>
      </w:r>
    </w:p>
    <w:p>
      <w:pPr>
        <w:pStyle w:val="19"/>
        <w:keepNext w:val="0"/>
        <w:keepLines w:val="0"/>
        <w:pageBreakBefore w:val="0"/>
        <w:widowControl w:val="0"/>
        <w:kinsoku/>
        <w:wordWrap/>
        <w:overflowPunct/>
        <w:topLinePunct w:val="0"/>
        <w:autoSpaceDE w:val="0"/>
        <w:autoSpaceDN/>
        <w:bidi w:val="0"/>
        <w:adjustRightInd/>
        <w:spacing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hint="default" w:ascii="Times New Roman" w:hAnsi="Times New Roman" w:eastAsia="方正仿宋_GBK" w:cs="方正仿宋_GBK"/>
          <w:sz w:val="32"/>
          <w:szCs w:val="32"/>
        </w:rPr>
        <w:t>（2）卫生健康支出1371.46万元，占80.2%，较年初预算数增加58.75万元，增长4.5%，主要原因是机构整合人员增加，人员经费支出增加。</w:t>
      </w:r>
    </w:p>
    <w:p>
      <w:pPr>
        <w:pStyle w:val="19"/>
        <w:keepNext w:val="0"/>
        <w:keepLines w:val="0"/>
        <w:pageBreakBefore w:val="0"/>
        <w:widowControl w:val="0"/>
        <w:kinsoku/>
        <w:wordWrap/>
        <w:overflowPunct/>
        <w:topLinePunct w:val="0"/>
        <w:autoSpaceDE w:val="0"/>
        <w:autoSpaceDN/>
        <w:bidi w:val="0"/>
        <w:adjustRightInd/>
        <w:spacing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hint="default" w:ascii="Times New Roman" w:hAnsi="Times New Roman" w:eastAsia="方正仿宋_GBK" w:cs="方正仿宋_GBK"/>
          <w:sz w:val="32"/>
          <w:szCs w:val="32"/>
        </w:rPr>
        <w:t>（3）住房保障支出64.82万元，占3.8%，较年初预算数增加9.68万元，增长17.6%，主要原因是机构整合人员增加，住房保障支出增加。</w:t>
      </w:r>
    </w:p>
    <w:p>
      <w:pPr>
        <w:pStyle w:val="8"/>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hint="default" w:ascii="Times New Roman" w:hAnsi="Times New Roman" w:eastAsia="方正仿宋_GBK" w:cs="方正仿宋_GBK"/>
          <w:sz w:val="32"/>
          <w:szCs w:val="32"/>
        </w:rPr>
        <w:t>3.结转结余情况。2024年度年末一般公共预算财政拨款结转和结余0.00万元，与2023年度相比，减少7.39万元，下降100.0%，主要原因是上年度结转结余资金用于2024年度支出，导致2024年度支出增加，结转结余减少。</w:t>
      </w:r>
    </w:p>
    <w:p>
      <w:pPr>
        <w:pStyle w:val="8"/>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outlineLvl w:val="9"/>
        <w:rPr>
          <w:rStyle w:val="10"/>
          <w:rFonts w:hint="eastAsia" w:ascii="Times New Roman" w:hAnsi="Times New Roman" w:eastAsia="方正楷体_GBK" w:cs="Times New Roman"/>
          <w:b w:val="0"/>
          <w:bCs/>
          <w:sz w:val="32"/>
          <w:szCs w:val="32"/>
          <w:shd w:val="clear" w:color="auto" w:fill="FFFFFF"/>
        </w:rPr>
      </w:pPr>
      <w:r>
        <w:rPr>
          <w:rStyle w:val="10"/>
          <w:rFonts w:hint="eastAsia" w:ascii="Times New Roman" w:hAnsi="Times New Roman" w:eastAsia="方正楷体_GBK" w:cs="Times New Roman"/>
          <w:b w:val="0"/>
          <w:bCs/>
          <w:sz w:val="32"/>
          <w:szCs w:val="32"/>
          <w:shd w:val="clear" w:color="auto" w:fill="FFFFFF"/>
        </w:rPr>
        <w:t>（四）一般公共预算财政拨款基本支出决算情况说明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hint="default" w:ascii="Times New Roman" w:hAnsi="Times New Roman" w:eastAsia="方正仿宋_GBK" w:cs="方正仿宋_GBK"/>
          <w:sz w:val="32"/>
          <w:szCs w:val="32"/>
        </w:rPr>
        <w:t>2024年度一般公共财政拨款基本支出1339.47万元。其中：</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hint="default" w:ascii="Times New Roman" w:hAnsi="Times New Roman" w:eastAsia="方正仿宋_GBK" w:cs="方正仿宋_GBK"/>
          <w:sz w:val="32"/>
          <w:szCs w:val="32"/>
        </w:rPr>
        <w:t>人员经费1278.48万元，与2023年度相比，增加108.72万元，增长9.3%，主要原因是机构整合人员增加，人员经费拨款增加。人员经费用途主要包括工资、津补贴、绩效、社会保障等。</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hint="default" w:ascii="Times New Roman" w:hAnsi="Times New Roman" w:eastAsia="方正仿宋_GBK" w:cs="方正仿宋_GBK"/>
          <w:sz w:val="32"/>
          <w:szCs w:val="32"/>
        </w:rPr>
        <w:t>公用经费60.99万元，与2023年度相比，减少15.99万元，下降20.8%，主要原因是2024年通讯费停发，邮电费支出减少。公用经费用途主要包括办公费、水电费、邮电费、差旅费、维修（护）费、培训费、劳务费、福利费、工会费等。</w:t>
      </w:r>
    </w:p>
    <w:p>
      <w:pPr>
        <w:pStyle w:val="8"/>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outlineLvl w:val="9"/>
        <w:rPr>
          <w:rStyle w:val="10"/>
          <w:rFonts w:hint="eastAsia" w:ascii="Times New Roman" w:hAnsi="Times New Roman" w:eastAsia="方正楷体_GBK" w:cs="Times New Roman"/>
          <w:b w:val="0"/>
          <w:bCs/>
          <w:sz w:val="32"/>
          <w:szCs w:val="32"/>
          <w:shd w:val="clear" w:color="auto" w:fill="FFFFFF"/>
        </w:rPr>
      </w:pPr>
      <w:r>
        <w:rPr>
          <w:rStyle w:val="10"/>
          <w:rFonts w:hint="eastAsia" w:ascii="Times New Roman" w:hAnsi="Times New Roman" w:eastAsia="方正楷体_GBK" w:cs="Times New Roman"/>
          <w:b w:val="0"/>
          <w:bCs/>
          <w:sz w:val="32"/>
          <w:szCs w:val="32"/>
          <w:shd w:val="clear" w:color="auto" w:fill="FFFFFF"/>
        </w:rPr>
        <w:t>（五）政府性基金预算收支决算情况说明</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hint="default" w:ascii="Times New Roman" w:hAnsi="Times New Roman" w:eastAsia="方正仿宋_GBK" w:cs="方正仿宋_GBK"/>
          <w:sz w:val="32"/>
          <w:szCs w:val="32"/>
        </w:rPr>
        <w:t>本单位2024年度无政府性基金预算财政拨款收支。</w:t>
      </w:r>
    </w:p>
    <w:p>
      <w:pPr>
        <w:pStyle w:val="8"/>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outlineLvl w:val="9"/>
        <w:rPr>
          <w:rStyle w:val="10"/>
          <w:rFonts w:hint="eastAsia" w:ascii="Times New Roman" w:hAnsi="Times New Roman" w:eastAsia="方正楷体_GBK" w:cs="Times New Roman"/>
          <w:b w:val="0"/>
          <w:bCs/>
          <w:sz w:val="32"/>
          <w:szCs w:val="32"/>
          <w:shd w:val="clear" w:color="auto" w:fill="FFFFFF"/>
        </w:rPr>
      </w:pPr>
      <w:r>
        <w:rPr>
          <w:rStyle w:val="10"/>
          <w:rFonts w:hint="eastAsia" w:ascii="Times New Roman" w:hAnsi="Times New Roman" w:eastAsia="方正楷体_GBK" w:cs="Times New Roman"/>
          <w:b w:val="0"/>
          <w:bCs/>
          <w:sz w:val="32"/>
          <w:szCs w:val="32"/>
          <w:shd w:val="clear" w:color="auto" w:fill="FFFFFF"/>
        </w:rPr>
        <w:t>（六）国有资本经营预算财政拨款支出决算情况说明</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shd w:val="clear" w:color="auto" w:fill="FFFFFF"/>
        </w:rPr>
      </w:pPr>
      <w:r>
        <w:rPr>
          <w:rFonts w:hint="default" w:ascii="Times New Roman" w:hAnsi="Times New Roman" w:eastAsia="方正仿宋_GBK" w:cs="方正仿宋_GBK"/>
          <w:sz w:val="32"/>
          <w:szCs w:val="32"/>
        </w:rPr>
        <w:t>本单位2024年度无国有资本经营预算财政拨款支出。</w:t>
      </w:r>
    </w:p>
    <w:p>
      <w:pPr>
        <w:pStyle w:val="8"/>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黑体_GBK" w:cs="Times New Roman"/>
          <w:b w:val="0"/>
          <w:bCs/>
          <w:sz w:val="32"/>
          <w:szCs w:val="32"/>
          <w:shd w:val="clear" w:color="auto" w:fill="FFFFFF"/>
        </w:rPr>
      </w:pPr>
      <w:r>
        <w:rPr>
          <w:rStyle w:val="10"/>
          <w:rFonts w:ascii="Times New Roman" w:hAnsi="Times New Roman" w:eastAsia="方正黑体_GBK" w:cs="Times New Roman"/>
          <w:b w:val="0"/>
          <w:bCs/>
          <w:sz w:val="32"/>
          <w:szCs w:val="32"/>
          <w:shd w:val="clear" w:color="auto" w:fill="FFFFFF"/>
        </w:rPr>
        <w:t>三、财政拨款“三公”经费情况说明</w:t>
      </w:r>
    </w:p>
    <w:p>
      <w:pPr>
        <w:pStyle w:val="8"/>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outlineLvl w:val="9"/>
        <w:rPr>
          <w:rStyle w:val="10"/>
          <w:rFonts w:hint="eastAsia" w:ascii="Times New Roman" w:hAnsi="Times New Roman" w:eastAsia="方正楷体_GBK" w:cs="Times New Roman"/>
          <w:b w:val="0"/>
          <w:bCs/>
          <w:sz w:val="32"/>
          <w:szCs w:val="32"/>
          <w:shd w:val="clear" w:color="auto" w:fill="FFFFFF"/>
        </w:rPr>
      </w:pPr>
      <w:r>
        <w:rPr>
          <w:rStyle w:val="10"/>
          <w:rFonts w:hint="eastAsia" w:ascii="Times New Roman" w:hAnsi="Times New Roman" w:eastAsia="方正楷体_GBK" w:cs="Times New Roman"/>
          <w:b w:val="0"/>
          <w:bCs/>
          <w:sz w:val="32"/>
          <w:szCs w:val="32"/>
          <w:shd w:val="clear" w:color="auto" w:fill="FFFFFF"/>
        </w:rPr>
        <w:t>（一）“三公”经费支出总体情况说明</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hint="default" w:ascii="Times New Roman" w:hAnsi="Times New Roman" w:eastAsia="方正仿宋_GBK" w:cs="方正仿宋_GBK"/>
          <w:sz w:val="32"/>
          <w:szCs w:val="32"/>
        </w:rPr>
        <w:t>2024年度“三公”经费支出共计0.20万元，较年初预算数无增减，主要原因是本单位严格执行中央厉行节约精神，加强内部控制，压减不必要开支等。较上年支出数减少0.30万元，下降60.0%，主要原因是本单位为事业单位，车辆用油及车辆保险费等做其他交通费列支，固较上年支出减少。</w:t>
      </w:r>
    </w:p>
    <w:p>
      <w:pPr>
        <w:pStyle w:val="8"/>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楷体_GBK" w:cs="Times New Roman"/>
          <w:b w:val="0"/>
          <w:bCs/>
          <w:sz w:val="32"/>
          <w:szCs w:val="32"/>
          <w:shd w:val="clear" w:color="auto" w:fill="FFFFFF"/>
        </w:rPr>
      </w:pPr>
      <w:r>
        <w:rPr>
          <w:rStyle w:val="10"/>
          <w:rFonts w:hint="eastAsia" w:ascii="Times New Roman" w:hAnsi="Times New Roman" w:eastAsia="方正楷体_GBK" w:cs="Times New Roman"/>
          <w:b w:val="0"/>
          <w:bCs/>
          <w:sz w:val="32"/>
          <w:szCs w:val="32"/>
          <w:shd w:val="clear" w:color="auto" w:fill="FFFFFF"/>
        </w:rPr>
        <w:t>（二）“三公”经费分项支出情况</w:t>
      </w:r>
    </w:p>
    <w:p>
      <w:pPr>
        <w:pStyle w:val="8"/>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hint="default" w:ascii="Times New Roman" w:hAnsi="Times New Roman" w:eastAsia="方正仿宋_GBK" w:cs="方正仿宋_GBK"/>
          <w:sz w:val="32"/>
          <w:szCs w:val="32"/>
        </w:rPr>
        <w:t>2024年度本</w:t>
      </w:r>
      <w:r>
        <w:rPr>
          <w:rFonts w:hint="eastAsia" w:ascii="Times New Roman" w:hAnsi="Times New Roman" w:eastAsia="方正仿宋_GBK" w:cs="方正仿宋_GBK"/>
          <w:sz w:val="32"/>
          <w:szCs w:val="32"/>
          <w:lang w:val="en-US" w:eastAsia="zh-CN"/>
        </w:rPr>
        <w:t>单位</w:t>
      </w:r>
      <w:r>
        <w:rPr>
          <w:rFonts w:hint="default" w:ascii="Times New Roman" w:hAnsi="Times New Roman" w:eastAsia="方正仿宋_GBK" w:cs="方正仿宋_GBK"/>
          <w:sz w:val="32"/>
          <w:szCs w:val="32"/>
        </w:rPr>
        <w:t>因公出国（境）费用0.00万元，主要是用于因公出国（境）。费用支出0.00万元，主要原因是本</w:t>
      </w:r>
      <w:r>
        <w:rPr>
          <w:rFonts w:hint="eastAsia" w:ascii="Times New Roman" w:hAnsi="Times New Roman" w:eastAsia="方正仿宋_GBK" w:cs="方正仿宋_GBK"/>
          <w:sz w:val="32"/>
          <w:szCs w:val="32"/>
          <w:lang w:val="en-US" w:eastAsia="zh-CN"/>
        </w:rPr>
        <w:t>单位</w:t>
      </w:r>
      <w:r>
        <w:rPr>
          <w:rFonts w:hint="default" w:ascii="Times New Roman" w:hAnsi="Times New Roman" w:eastAsia="方正仿宋_GBK" w:cs="方正仿宋_GBK"/>
          <w:sz w:val="32"/>
          <w:szCs w:val="32"/>
        </w:rPr>
        <w:t>2024年度未发生因公出国（境）费用支出。较上年支出数无增减，主要原因是本</w:t>
      </w:r>
      <w:r>
        <w:rPr>
          <w:rFonts w:hint="eastAsia" w:ascii="Times New Roman" w:hAnsi="Times New Roman" w:eastAsia="方正仿宋_GBK" w:cs="方正仿宋_GBK"/>
          <w:sz w:val="32"/>
          <w:szCs w:val="32"/>
          <w:lang w:val="en-US" w:eastAsia="zh-CN"/>
        </w:rPr>
        <w:t>单位</w:t>
      </w:r>
      <w:r>
        <w:rPr>
          <w:rFonts w:hint="default" w:ascii="Times New Roman" w:hAnsi="Times New Roman" w:eastAsia="方正仿宋_GBK" w:cs="方正仿宋_GBK"/>
          <w:sz w:val="32"/>
          <w:szCs w:val="32"/>
        </w:rPr>
        <w:t>2024年度未发生因公出国（境）费用支出。</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hint="eastAsia" w:ascii="Times New Roman" w:hAnsi="Times New Roman" w:eastAsia="方正仿宋_GBK" w:cs="方正仿宋_GBK"/>
          <w:sz w:val="32"/>
          <w:szCs w:val="32"/>
          <w:lang w:val="en-US" w:eastAsia="zh-CN"/>
        </w:rPr>
        <w:t>2024年度本单位</w:t>
      </w:r>
      <w:r>
        <w:rPr>
          <w:rFonts w:hint="default" w:ascii="Times New Roman" w:hAnsi="Times New Roman" w:eastAsia="方正仿宋_GBK" w:cs="方正仿宋_GBK"/>
          <w:sz w:val="32"/>
          <w:szCs w:val="32"/>
        </w:rPr>
        <w:t>公务车购置费0.00万元，主要用于公务车辆购置。费用支出0.00万元，主要原因是本</w:t>
      </w:r>
      <w:r>
        <w:rPr>
          <w:rFonts w:hint="eastAsia" w:ascii="Times New Roman" w:hAnsi="Times New Roman" w:eastAsia="方正仿宋_GBK" w:cs="方正仿宋_GBK"/>
          <w:sz w:val="32"/>
          <w:szCs w:val="32"/>
          <w:lang w:val="en-US" w:eastAsia="zh-CN"/>
        </w:rPr>
        <w:t>单位</w:t>
      </w:r>
      <w:r>
        <w:rPr>
          <w:rFonts w:hint="default" w:ascii="Times New Roman" w:hAnsi="Times New Roman" w:eastAsia="方正仿宋_GBK" w:cs="方正仿宋_GBK"/>
          <w:sz w:val="32"/>
          <w:szCs w:val="32"/>
        </w:rPr>
        <w:t>2024年度未发生公务车购置费用支出。较上年支出数无增减，主要原因是本</w:t>
      </w:r>
      <w:r>
        <w:rPr>
          <w:rFonts w:hint="eastAsia" w:ascii="Times New Roman" w:hAnsi="Times New Roman" w:eastAsia="方正仿宋_GBK" w:cs="方正仿宋_GBK"/>
          <w:sz w:val="32"/>
          <w:szCs w:val="32"/>
          <w:lang w:val="en-US" w:eastAsia="zh-CN"/>
        </w:rPr>
        <w:t>单位</w:t>
      </w:r>
      <w:r>
        <w:rPr>
          <w:rFonts w:hint="default" w:ascii="Times New Roman" w:hAnsi="Times New Roman" w:eastAsia="方正仿宋_GBK" w:cs="方正仿宋_GBK"/>
          <w:sz w:val="32"/>
          <w:szCs w:val="32"/>
        </w:rPr>
        <w:t>2024年度未发生公务车购置费用支出。</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hint="default" w:ascii="Times New Roman" w:hAnsi="Times New Roman" w:eastAsia="方正仿宋_GBK" w:cs="方正仿宋_GBK"/>
          <w:sz w:val="32"/>
          <w:szCs w:val="32"/>
        </w:rPr>
        <w:t>2024年度本单位无公务用车运行维护费，较年初预算数无增减，较上年支出数减少0.50万元，下降100.0%，主要原因是本单位为事业单位，车辆用油及车辆保险费等做其他交通费列支，固较上年支出减少。</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hint="default" w:ascii="Times New Roman" w:hAnsi="Times New Roman" w:eastAsia="方正仿宋_GBK" w:cs="方正仿宋_GBK"/>
          <w:sz w:val="32"/>
          <w:szCs w:val="32"/>
        </w:rPr>
        <w:t>2024年度本单位公务接待费0.20万元，主要用于接待</w:t>
      </w:r>
      <w:r>
        <w:rPr>
          <w:rFonts w:hint="eastAsia" w:ascii="Times New Roman" w:hAnsi="Times New Roman" w:eastAsia="方正仿宋_GBK" w:cs="方正仿宋_GBK"/>
          <w:sz w:val="32"/>
          <w:szCs w:val="32"/>
          <w:lang w:val="en-US" w:eastAsia="zh-CN"/>
        </w:rPr>
        <w:t>市疾控、市结防所</w:t>
      </w:r>
      <w:r>
        <w:rPr>
          <w:rFonts w:hint="default" w:ascii="Times New Roman" w:hAnsi="Times New Roman" w:eastAsia="方正仿宋_GBK" w:cs="方正仿宋_GBK"/>
          <w:sz w:val="32"/>
          <w:szCs w:val="32"/>
        </w:rPr>
        <w:t>来我中心督导考核费用。费用支出较年初预算数无增减，主要原因是本单位严格执行中央厉行节约精神，加强内部控制，压减不必要开支等。较上年支出数增加0.20万元，增长100.0%，主要原因是上级部门来我中心督导考核次数增加，导致支出增加。</w:t>
      </w:r>
    </w:p>
    <w:p>
      <w:pPr>
        <w:pStyle w:val="8"/>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outlineLvl w:val="9"/>
        <w:rPr>
          <w:rStyle w:val="10"/>
          <w:rFonts w:hint="eastAsia" w:ascii="Times New Roman" w:hAnsi="Times New Roman" w:eastAsia="方正楷体_GBK" w:cs="Times New Roman"/>
          <w:b w:val="0"/>
          <w:bCs/>
          <w:sz w:val="32"/>
          <w:szCs w:val="32"/>
          <w:shd w:val="clear" w:color="auto" w:fill="FFFFFF"/>
        </w:rPr>
      </w:pPr>
      <w:r>
        <w:rPr>
          <w:rStyle w:val="10"/>
          <w:rFonts w:hint="eastAsia" w:ascii="Times New Roman" w:hAnsi="Times New Roman" w:eastAsia="方正楷体_GBK" w:cs="Times New Roman"/>
          <w:b w:val="0"/>
          <w:bCs/>
          <w:sz w:val="32"/>
          <w:szCs w:val="32"/>
          <w:shd w:val="clear" w:color="auto" w:fill="FFFFFF"/>
        </w:rPr>
        <w:t>（三）“三公”经费实物量情况</w:t>
      </w:r>
    </w:p>
    <w:p>
      <w:pPr>
        <w:pStyle w:val="8"/>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hint="default" w:ascii="Times New Roman" w:hAnsi="Times New Roman" w:eastAsia="方正仿宋_GBK" w:cs="方正仿宋_GBK"/>
          <w:sz w:val="32"/>
          <w:szCs w:val="32"/>
        </w:rPr>
        <w:t>2024年度本单位因公出国（境）共计0个团组，0人；公务用车购置0辆，公务车保有量为0辆；国内公务接待4批次20人，其中：国内外事接待0批次，0人；国（境）外公务接待0批次，0人。2024年本单位人均接待费100.00元，车均购置费0万元，车均维护费0万元。</w:t>
      </w:r>
    </w:p>
    <w:p>
      <w:pPr>
        <w:pStyle w:val="8"/>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黑体_GBK" w:cs="Times New Roman"/>
          <w:b w:val="0"/>
          <w:bCs/>
          <w:sz w:val="32"/>
          <w:szCs w:val="32"/>
          <w:shd w:val="clear" w:color="auto" w:fill="FFFFFF"/>
        </w:rPr>
      </w:pPr>
      <w:r>
        <w:rPr>
          <w:rStyle w:val="10"/>
          <w:rFonts w:ascii="Times New Roman" w:hAnsi="Times New Roman" w:eastAsia="方正黑体_GBK" w:cs="Times New Roman"/>
          <w:b w:val="0"/>
          <w:bCs/>
          <w:sz w:val="32"/>
          <w:szCs w:val="32"/>
          <w:shd w:val="clear" w:color="auto" w:fill="FFFFFF"/>
        </w:rPr>
        <w:t>四、其他需要说明的事项</w:t>
      </w:r>
    </w:p>
    <w:p>
      <w:pPr>
        <w:pStyle w:val="8"/>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楷体_GBK" w:cs="Times New Roman"/>
          <w:b w:val="0"/>
          <w:bCs/>
          <w:sz w:val="32"/>
          <w:szCs w:val="32"/>
          <w:shd w:val="clear" w:color="auto" w:fill="FFFFFF"/>
        </w:rPr>
      </w:pPr>
      <w:r>
        <w:rPr>
          <w:rStyle w:val="10"/>
          <w:rFonts w:hint="eastAsia" w:ascii="Times New Roman" w:hAnsi="Times New Roman" w:eastAsia="方正楷体_GBK" w:cs="Times New Roman"/>
          <w:b w:val="0"/>
          <w:bCs/>
          <w:sz w:val="32"/>
          <w:szCs w:val="32"/>
          <w:shd w:val="clear" w:color="auto" w:fill="FFFFFF"/>
        </w:rPr>
        <w:t>（一）财政拨款会议费、培训费和差旅费情况说明</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hint="default" w:ascii="Times New Roman" w:hAnsi="Times New Roman" w:eastAsia="方正仿宋_GBK" w:cs="方正仿宋_GBK"/>
          <w:sz w:val="32"/>
          <w:szCs w:val="32"/>
        </w:rPr>
        <w:t>本年度会议费支出0.00万元，与2023年度相比，减少0.45万元，下降100.0%，主要原因是本年度会议次数减少，相应支出减少。本年度培训费支出2.96万元，与2023年度相比，减少5.63万元，下降65.5%，主要原因是本年度</w:t>
      </w:r>
      <w:r>
        <w:rPr>
          <w:rFonts w:ascii="Times New Roman" w:hAnsi="Times New Roman" w:eastAsia="方正仿宋_GBK" w:cs="方正仿宋_GBK"/>
          <w:sz w:val="32"/>
          <w:szCs w:val="32"/>
        </w:rPr>
        <w:t>外部</w:t>
      </w:r>
      <w:r>
        <w:rPr>
          <w:rFonts w:hint="default" w:ascii="Times New Roman" w:hAnsi="Times New Roman" w:eastAsia="方正仿宋_GBK" w:cs="方正仿宋_GBK"/>
          <w:sz w:val="32"/>
          <w:szCs w:val="32"/>
        </w:rPr>
        <w:t>培训减少，相应培训支出减少。本年度差旅费支出16.49万元，与2023年度相比，减少0.98万元，下降5.6%，主要原因是本年出差频次</w:t>
      </w:r>
      <w:r>
        <w:rPr>
          <w:rFonts w:ascii="Times New Roman" w:hAnsi="Times New Roman" w:eastAsia="方正仿宋_GBK" w:cs="方正仿宋_GBK"/>
          <w:sz w:val="32"/>
          <w:szCs w:val="32"/>
        </w:rPr>
        <w:t>降低</w:t>
      </w:r>
      <w:r>
        <w:rPr>
          <w:rFonts w:hint="default" w:ascii="Times New Roman" w:hAnsi="Times New Roman" w:eastAsia="方正仿宋_GBK" w:cs="方正仿宋_GBK"/>
          <w:sz w:val="32"/>
          <w:szCs w:val="32"/>
        </w:rPr>
        <w:t>，相应差旅费支出减少。</w:t>
      </w:r>
    </w:p>
    <w:p>
      <w:pPr>
        <w:pStyle w:val="8"/>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outlineLvl w:val="9"/>
        <w:rPr>
          <w:rStyle w:val="10"/>
          <w:rFonts w:hint="eastAsia" w:ascii="Times New Roman" w:hAnsi="Times New Roman" w:eastAsia="方正楷体_GBK" w:cs="Times New Roman"/>
          <w:b w:val="0"/>
          <w:bCs/>
          <w:sz w:val="32"/>
          <w:szCs w:val="32"/>
          <w:shd w:val="clear" w:color="auto" w:fill="FFFFFF"/>
        </w:rPr>
      </w:pPr>
      <w:r>
        <w:rPr>
          <w:rStyle w:val="10"/>
          <w:rFonts w:hint="eastAsia" w:ascii="Times New Roman" w:hAnsi="Times New Roman" w:eastAsia="方正楷体_GBK" w:cs="Times New Roman"/>
          <w:b w:val="0"/>
          <w:bCs/>
          <w:sz w:val="32"/>
          <w:szCs w:val="32"/>
          <w:shd w:val="clear" w:color="auto" w:fill="FFFFFF"/>
        </w:rPr>
        <w:t>（二）机关运行经费情况说明</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hint="default" w:ascii="Times New Roman" w:hAnsi="Times New Roman" w:eastAsia="方正仿宋_GBK" w:cs="方正仿宋_GBK"/>
          <w:sz w:val="32"/>
          <w:szCs w:val="32"/>
        </w:rPr>
        <w:t>按照部门决算列报口径，</w:t>
      </w:r>
      <w:r>
        <w:rPr>
          <w:rFonts w:hint="eastAsia" w:ascii="Times New Roman" w:hAnsi="Times New Roman" w:eastAsia="方正仿宋_GBK" w:cs="方正仿宋_GBK"/>
          <w:sz w:val="32"/>
          <w:szCs w:val="32"/>
          <w:lang w:eastAsia="zh-CN"/>
        </w:rPr>
        <w:t>本</w:t>
      </w:r>
      <w:r>
        <w:rPr>
          <w:rFonts w:hint="default" w:ascii="Times New Roman" w:hAnsi="Times New Roman" w:eastAsia="方正仿宋_GBK" w:cs="方正仿宋_GBK"/>
          <w:sz w:val="32"/>
          <w:szCs w:val="32"/>
        </w:rPr>
        <w:t>单位不在机关运行经费统计范围之内。</w:t>
      </w:r>
    </w:p>
    <w:p>
      <w:pPr>
        <w:pStyle w:val="8"/>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outlineLvl w:val="9"/>
        <w:rPr>
          <w:rStyle w:val="10"/>
          <w:rFonts w:hint="eastAsia" w:ascii="Times New Roman" w:hAnsi="Times New Roman" w:eastAsia="方正楷体_GBK" w:cs="Times New Roman"/>
          <w:b w:val="0"/>
          <w:bCs/>
          <w:sz w:val="32"/>
          <w:szCs w:val="32"/>
          <w:shd w:val="clear" w:color="auto" w:fill="FFFFFF"/>
        </w:rPr>
      </w:pPr>
      <w:r>
        <w:rPr>
          <w:rStyle w:val="10"/>
          <w:rFonts w:hint="eastAsia" w:ascii="Times New Roman" w:hAnsi="Times New Roman" w:eastAsia="方正楷体_GBK" w:cs="Times New Roman"/>
          <w:b w:val="0"/>
          <w:bCs/>
          <w:sz w:val="32"/>
          <w:szCs w:val="32"/>
          <w:shd w:val="clear" w:color="auto" w:fill="FFFFFF"/>
        </w:rPr>
        <w:t>（三）国有资产占用情况说明</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hint="default" w:ascii="Times New Roman" w:hAnsi="Times New Roman" w:eastAsia="方正仿宋_GBK" w:cs="方正仿宋_GBK"/>
          <w:sz w:val="32"/>
          <w:szCs w:val="32"/>
        </w:rPr>
        <w:t>截至2024年12月31日，本单位共有车辆4辆，其中，副部（省）级及以上领导用车0辆、主要负责人用车0辆、机要通信用车0辆、应急保障用车2辆、执法执勤用车0辆，特种专业技术用车2辆，离退休干部用车0辆。单价100万元（含）以上专用设备5台（套）。</w:t>
      </w:r>
    </w:p>
    <w:p>
      <w:pPr>
        <w:pStyle w:val="8"/>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outlineLvl w:val="9"/>
        <w:rPr>
          <w:rStyle w:val="10"/>
          <w:rFonts w:hint="eastAsia" w:ascii="Times New Roman" w:hAnsi="Times New Roman" w:eastAsia="方正楷体_GBK" w:cs="Times New Roman"/>
          <w:b w:val="0"/>
          <w:bCs/>
          <w:sz w:val="32"/>
          <w:szCs w:val="32"/>
          <w:shd w:val="clear" w:color="auto" w:fill="FFFFFF"/>
        </w:rPr>
      </w:pPr>
      <w:r>
        <w:rPr>
          <w:rStyle w:val="10"/>
          <w:rFonts w:hint="eastAsia" w:ascii="Times New Roman" w:hAnsi="Times New Roman" w:eastAsia="方正楷体_GBK" w:cs="Times New Roman"/>
          <w:b w:val="0"/>
          <w:bCs/>
          <w:sz w:val="32"/>
          <w:szCs w:val="32"/>
          <w:shd w:val="clear" w:color="auto" w:fill="FFFFFF"/>
        </w:rPr>
        <w:t>（四）政府采购支出情况说明</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sz w:val="32"/>
          <w:szCs w:val="32"/>
          <w:lang w:eastAsia="zh-CN"/>
        </w:rPr>
      </w:pPr>
      <w:r>
        <w:rPr>
          <w:rFonts w:hint="default" w:ascii="Times New Roman" w:hAnsi="Times New Roman" w:eastAsia="方正仿宋_GBK" w:cs="方正仿宋_GBK"/>
          <w:sz w:val="32"/>
          <w:szCs w:val="32"/>
        </w:rPr>
        <w:t>2024年度</w:t>
      </w:r>
      <w:r>
        <w:rPr>
          <w:rFonts w:hint="eastAsia" w:ascii="Times New Roman" w:hAnsi="Times New Roman" w:eastAsia="方正仿宋_GBK" w:cs="方正仿宋_GBK"/>
          <w:sz w:val="32"/>
          <w:szCs w:val="32"/>
          <w:lang w:eastAsia="zh-CN"/>
        </w:rPr>
        <w:t>本</w:t>
      </w:r>
      <w:r>
        <w:rPr>
          <w:rFonts w:hint="default" w:ascii="Times New Roman" w:hAnsi="Times New Roman" w:eastAsia="方正仿宋_GBK" w:cs="方正仿宋_GBK"/>
          <w:sz w:val="32"/>
          <w:szCs w:val="32"/>
        </w:rPr>
        <w:t>单位未发生政府采购事项，无相关经费支出</w:t>
      </w:r>
      <w:r>
        <w:rPr>
          <w:rFonts w:hint="eastAsia" w:ascii="Times New Roman" w:hAnsi="Times New Roman" w:eastAsia="方正仿宋_GBK" w:cs="方正仿宋_GBK"/>
          <w:sz w:val="32"/>
          <w:szCs w:val="32"/>
          <w:lang w:eastAsia="zh-CN"/>
        </w:rPr>
        <w:t>。</w:t>
      </w:r>
    </w:p>
    <w:p>
      <w:pPr>
        <w:pStyle w:val="8"/>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Style w:val="10"/>
          <w:rFonts w:hint="default" w:ascii="Times New Roman" w:hAnsi="Times New Roman" w:eastAsia="方正黑体_GBK"/>
          <w:b w:val="0"/>
          <w:bCs/>
          <w:sz w:val="32"/>
          <w:szCs w:val="32"/>
          <w:shd w:val="clear" w:color="auto" w:fill="FFFFFF"/>
        </w:rPr>
      </w:pPr>
      <w:r>
        <w:rPr>
          <w:rStyle w:val="10"/>
          <w:rFonts w:ascii="Times New Roman" w:hAnsi="Times New Roman" w:eastAsia="方正黑体_GBK"/>
          <w:b w:val="0"/>
          <w:bCs/>
          <w:sz w:val="32"/>
          <w:szCs w:val="32"/>
          <w:shd w:val="clear" w:color="auto" w:fill="FFFFFF"/>
        </w:rPr>
        <w:t>五、预算绩效管理情况说明</w:t>
      </w:r>
    </w:p>
    <w:p>
      <w:pPr>
        <w:pStyle w:val="8"/>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Style w:val="10"/>
          <w:rFonts w:hint="default" w:ascii="Times New Roman" w:hAnsi="Times New Roman" w:eastAsia="方正楷体_GBK"/>
          <w:b w:val="0"/>
          <w:bCs/>
          <w:sz w:val="32"/>
          <w:szCs w:val="32"/>
          <w:shd w:val="clear" w:color="auto" w:fill="FFFFFF"/>
        </w:rPr>
      </w:pPr>
      <w:r>
        <w:rPr>
          <w:rStyle w:val="10"/>
          <w:rFonts w:ascii="Times New Roman" w:hAnsi="Times New Roman" w:eastAsia="方正楷体_GBK"/>
          <w:b w:val="0"/>
          <w:bCs/>
          <w:sz w:val="32"/>
          <w:szCs w:val="32"/>
          <w:shd w:val="clear" w:color="auto" w:fill="FFFFFF"/>
        </w:rPr>
        <w:t>（一）单位自评情况</w:t>
      </w:r>
    </w:p>
    <w:p>
      <w:pPr>
        <w:pStyle w:val="14"/>
        <w:keepNext w:val="0"/>
        <w:keepLines w:val="0"/>
        <w:pageBreakBefore w:val="0"/>
        <w:kinsoku/>
        <w:wordWrap/>
        <w:overflowPunct/>
        <w:topLinePunct w:val="0"/>
        <w:autoSpaceDE w:val="0"/>
        <w:autoSpaceDN/>
        <w:bidi w:val="0"/>
        <w:adjustRightInd/>
        <w:spacing w:before="0" w:beforeAutospacing="0" w:afterAutospacing="0" w:line="560"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根据预算绩效管理要求，本单位对6个二级项目开展了绩效自评，涉及项目支出资金</w:t>
      </w:r>
      <w:r>
        <w:rPr>
          <w:rFonts w:hint="eastAsia" w:ascii="Times New Roman" w:hAnsi="Times New Roman" w:eastAsia="方正仿宋_GBK" w:cs="方正仿宋_GBK"/>
          <w:sz w:val="32"/>
          <w:szCs w:val="32"/>
          <w:lang w:val="en-US" w:eastAsia="zh-CN"/>
        </w:rPr>
        <w:t>370.19</w:t>
      </w:r>
      <w:r>
        <w:rPr>
          <w:rFonts w:hint="eastAsia" w:ascii="Times New Roman" w:hAnsi="Times New Roman" w:eastAsia="方正仿宋_GBK" w:cs="方正仿宋_GBK"/>
          <w:sz w:val="32"/>
          <w:szCs w:val="32"/>
        </w:rPr>
        <w:t>万元。</w:t>
      </w:r>
    </w:p>
    <w:p>
      <w:pPr>
        <w:pStyle w:val="14"/>
        <w:keepNext w:val="0"/>
        <w:keepLines w:val="0"/>
        <w:pageBreakBefore w:val="0"/>
        <w:kinsoku/>
        <w:wordWrap/>
        <w:overflowPunct/>
        <w:topLinePunct w:val="0"/>
        <w:autoSpaceDE w:val="0"/>
        <w:autoSpaceDN/>
        <w:bidi w:val="0"/>
        <w:adjustRightInd/>
        <w:spacing w:before="0" w:beforeAutospacing="0" w:afterAutospacing="0" w:line="560" w:lineRule="exact"/>
        <w:ind w:firstLine="640" w:firstLineChars="200"/>
        <w:jc w:val="both"/>
        <w:textAlignment w:val="auto"/>
        <w:rPr>
          <w:rFonts w:hint="eastAsia" w:ascii="Times New Roman" w:hAnsi="Times New Roman" w:eastAsia="方正仿宋_GBK" w:cs="方正仿宋_GBK"/>
          <w:sz w:val="32"/>
          <w:szCs w:val="32"/>
        </w:rPr>
      </w:pPr>
    </w:p>
    <w:p>
      <w:pPr>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 xml:space="preserve">秀山土家族苗族自治县疾病预防控制中心  </w:t>
      </w:r>
      <w:r>
        <w:rPr>
          <w:rFonts w:hint="eastAsia"/>
          <w:sz w:val="36"/>
          <w:szCs w:val="36"/>
        </w:rPr>
        <w:t xml:space="preserve">                                                                                                           </w:t>
      </w:r>
      <w:r>
        <w:rPr>
          <w:rFonts w:hint="default" w:ascii="Times New Roman" w:hAnsi="Times New Roman" w:cs="Times New Roman"/>
          <w:sz w:val="36"/>
          <w:szCs w:val="36"/>
        </w:rPr>
        <w:t>2</w:t>
      </w:r>
      <w:r>
        <w:rPr>
          <w:rFonts w:hint="default" w:ascii="Times New Roman" w:hAnsi="Times New Roman" w:eastAsia="方正小标宋_GBK" w:cs="Times New Roman"/>
          <w:sz w:val="36"/>
          <w:szCs w:val="36"/>
        </w:rPr>
        <w:t>024</w:t>
      </w:r>
      <w:r>
        <w:rPr>
          <w:rFonts w:hint="eastAsia" w:ascii="方正小标宋_GBK" w:hAnsi="方正小标宋_GBK" w:eastAsia="方正小标宋_GBK" w:cs="方正小标宋_GBK"/>
          <w:sz w:val="36"/>
          <w:szCs w:val="36"/>
        </w:rPr>
        <w:t>年度项目支出绩效自评情况表（二级项目）</w:t>
      </w:r>
    </w:p>
    <w:tbl>
      <w:tblPr>
        <w:tblStyle w:val="11"/>
        <w:tblW w:w="8335" w:type="dxa"/>
        <w:tblInd w:w="0" w:type="dxa"/>
        <w:shd w:val="clear" w:color="auto" w:fill="auto"/>
        <w:tblLayout w:type="fixed"/>
        <w:tblCellMar>
          <w:top w:w="0" w:type="dxa"/>
          <w:left w:w="0" w:type="dxa"/>
          <w:bottom w:w="0" w:type="dxa"/>
          <w:right w:w="0" w:type="dxa"/>
        </w:tblCellMar>
      </w:tblPr>
      <w:tblGrid>
        <w:gridCol w:w="528"/>
        <w:gridCol w:w="601"/>
        <w:gridCol w:w="2026"/>
        <w:gridCol w:w="619"/>
        <w:gridCol w:w="786"/>
        <w:gridCol w:w="592"/>
        <w:gridCol w:w="632"/>
        <w:gridCol w:w="721"/>
        <w:gridCol w:w="644"/>
        <w:gridCol w:w="554"/>
        <w:gridCol w:w="632"/>
      </w:tblGrid>
      <w:tr>
        <w:tblPrEx>
          <w:shd w:val="clear" w:color="auto" w:fill="auto"/>
          <w:tblLayout w:type="fixed"/>
          <w:tblCellMar>
            <w:top w:w="0" w:type="dxa"/>
            <w:left w:w="0" w:type="dxa"/>
            <w:bottom w:w="0" w:type="dxa"/>
            <w:right w:w="0" w:type="dxa"/>
          </w:tblCellMar>
        </w:tblPrEx>
        <w:trPr>
          <w:trHeight w:val="825" w:hRule="atLeast"/>
        </w:trPr>
        <w:tc>
          <w:tcPr>
            <w:tcW w:w="52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序号</w:t>
            </w:r>
          </w:p>
        </w:tc>
        <w:tc>
          <w:tcPr>
            <w:tcW w:w="6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项目名称</w:t>
            </w:r>
          </w:p>
        </w:tc>
        <w:tc>
          <w:tcPr>
            <w:tcW w:w="20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指标名称</w:t>
            </w:r>
          </w:p>
        </w:tc>
        <w:tc>
          <w:tcPr>
            <w:tcW w:w="6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指标性质</w:t>
            </w:r>
          </w:p>
        </w:tc>
        <w:tc>
          <w:tcPr>
            <w:tcW w:w="78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指标值</w:t>
            </w:r>
          </w:p>
        </w:tc>
        <w:tc>
          <w:tcPr>
            <w:tcW w:w="59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计量单位</w:t>
            </w:r>
          </w:p>
        </w:tc>
        <w:tc>
          <w:tcPr>
            <w:tcW w:w="63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指标权重</w:t>
            </w:r>
          </w:p>
        </w:tc>
        <w:tc>
          <w:tcPr>
            <w:tcW w:w="72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全年完成值</w:t>
            </w:r>
          </w:p>
        </w:tc>
        <w:tc>
          <w:tcPr>
            <w:tcW w:w="6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指标得分</w:t>
            </w:r>
          </w:p>
        </w:tc>
        <w:tc>
          <w:tcPr>
            <w:tcW w:w="55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说明</w:t>
            </w:r>
          </w:p>
        </w:tc>
        <w:tc>
          <w:tcPr>
            <w:tcW w:w="63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自评得分</w:t>
            </w:r>
          </w:p>
        </w:tc>
      </w:tr>
      <w:tr>
        <w:tblPrEx>
          <w:tblLayout w:type="fixed"/>
          <w:tblCellMar>
            <w:top w:w="0" w:type="dxa"/>
            <w:left w:w="0" w:type="dxa"/>
            <w:bottom w:w="0" w:type="dxa"/>
            <w:right w:w="0" w:type="dxa"/>
          </w:tblCellMar>
        </w:tblPrEx>
        <w:trPr>
          <w:trHeight w:val="660" w:hRule="atLeast"/>
        </w:trPr>
        <w:tc>
          <w:tcPr>
            <w:tcW w:w="528"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1</w:t>
            </w:r>
          </w:p>
        </w:tc>
        <w:tc>
          <w:tcPr>
            <w:tcW w:w="6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重大传染病中央补助项目</w:t>
            </w:r>
          </w:p>
        </w:tc>
        <w:tc>
          <w:tcPr>
            <w:tcW w:w="20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每年对重点传染病的监测次数</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w:t>
            </w:r>
          </w:p>
        </w:tc>
        <w:tc>
          <w:tcPr>
            <w:tcW w:w="7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6</w:t>
            </w:r>
          </w:p>
        </w:tc>
        <w:tc>
          <w:tcPr>
            <w:tcW w:w="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次</w:t>
            </w:r>
          </w:p>
        </w:tc>
        <w:tc>
          <w:tcPr>
            <w:tcW w:w="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30</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6</w:t>
            </w:r>
          </w:p>
        </w:tc>
        <w:tc>
          <w:tcPr>
            <w:tcW w:w="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30</w:t>
            </w:r>
          </w:p>
        </w:tc>
        <w:tc>
          <w:tcPr>
            <w:tcW w:w="55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Times New Roman" w:hAnsi="Times New Roman" w:eastAsia="仿宋" w:cs="仿宋"/>
                <w:i w:val="0"/>
                <w:color w:val="000000"/>
                <w:sz w:val="24"/>
                <w:szCs w:val="24"/>
                <w:u w:val="none"/>
              </w:rPr>
            </w:pPr>
          </w:p>
        </w:tc>
        <w:tc>
          <w:tcPr>
            <w:tcW w:w="632"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93.27</w:t>
            </w:r>
          </w:p>
        </w:tc>
      </w:tr>
      <w:tr>
        <w:tblPrEx>
          <w:tblLayout w:type="fixed"/>
          <w:tblCellMar>
            <w:top w:w="0" w:type="dxa"/>
            <w:left w:w="0" w:type="dxa"/>
            <w:bottom w:w="0" w:type="dxa"/>
            <w:right w:w="0" w:type="dxa"/>
          </w:tblCellMar>
        </w:tblPrEx>
        <w:trPr>
          <w:trHeight w:val="6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Times New Roman" w:hAnsi="Times New Roman" w:eastAsia="仿宋" w:cs="仿宋"/>
                <w:i w:val="0"/>
                <w:color w:val="000000"/>
                <w:sz w:val="24"/>
                <w:szCs w:val="24"/>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imes New Roman" w:hAnsi="Times New Roman" w:eastAsia="仿宋" w:cs="仿宋"/>
                <w:i w:val="0"/>
                <w:color w:val="000000"/>
                <w:sz w:val="24"/>
                <w:szCs w:val="24"/>
                <w:u w:val="none"/>
              </w:rPr>
            </w:pPr>
          </w:p>
        </w:tc>
        <w:tc>
          <w:tcPr>
            <w:tcW w:w="20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对重大传染病患者的随访干预率</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w:t>
            </w:r>
          </w:p>
        </w:tc>
        <w:tc>
          <w:tcPr>
            <w:tcW w:w="7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100</w:t>
            </w:r>
          </w:p>
        </w:tc>
        <w:tc>
          <w:tcPr>
            <w:tcW w:w="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w:t>
            </w:r>
          </w:p>
        </w:tc>
        <w:tc>
          <w:tcPr>
            <w:tcW w:w="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30</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100</w:t>
            </w:r>
          </w:p>
        </w:tc>
        <w:tc>
          <w:tcPr>
            <w:tcW w:w="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30</w:t>
            </w:r>
          </w:p>
        </w:tc>
        <w:tc>
          <w:tcPr>
            <w:tcW w:w="55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Times New Roman" w:hAnsi="Times New Roman" w:eastAsia="仿宋" w:cs="仿宋"/>
                <w:i w:val="0"/>
                <w:color w:val="000000"/>
                <w:sz w:val="24"/>
                <w:szCs w:val="24"/>
                <w:u w:val="none"/>
              </w:rPr>
            </w:pPr>
          </w:p>
        </w:tc>
        <w:tc>
          <w:tcPr>
            <w:tcW w:w="632"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Times New Roman" w:hAnsi="Times New Roman" w:eastAsia="仿宋" w:cs="仿宋"/>
                <w:i w:val="0"/>
                <w:color w:val="000000"/>
                <w:sz w:val="24"/>
                <w:szCs w:val="24"/>
                <w:u w:val="none"/>
              </w:rPr>
            </w:pPr>
          </w:p>
        </w:tc>
      </w:tr>
      <w:tr>
        <w:tblPrEx>
          <w:tblLayout w:type="fixed"/>
          <w:tblCellMar>
            <w:top w:w="0" w:type="dxa"/>
            <w:left w:w="0" w:type="dxa"/>
            <w:bottom w:w="0" w:type="dxa"/>
            <w:right w:w="0" w:type="dxa"/>
          </w:tblCellMar>
        </w:tblPrEx>
        <w:trPr>
          <w:trHeight w:val="6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Times New Roman" w:hAnsi="Times New Roman" w:eastAsia="仿宋" w:cs="仿宋"/>
                <w:i w:val="0"/>
                <w:color w:val="000000"/>
                <w:sz w:val="24"/>
                <w:szCs w:val="24"/>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imes New Roman" w:hAnsi="Times New Roman" w:eastAsia="仿宋" w:cs="仿宋"/>
                <w:i w:val="0"/>
                <w:color w:val="000000"/>
                <w:sz w:val="24"/>
                <w:szCs w:val="24"/>
                <w:u w:val="none"/>
              </w:rPr>
            </w:pPr>
          </w:p>
        </w:tc>
        <w:tc>
          <w:tcPr>
            <w:tcW w:w="20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重大传染病预警处置响应率</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w:t>
            </w:r>
          </w:p>
        </w:tc>
        <w:tc>
          <w:tcPr>
            <w:tcW w:w="7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95</w:t>
            </w:r>
          </w:p>
        </w:tc>
        <w:tc>
          <w:tcPr>
            <w:tcW w:w="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w:t>
            </w:r>
          </w:p>
        </w:tc>
        <w:tc>
          <w:tcPr>
            <w:tcW w:w="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30</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99</w:t>
            </w:r>
          </w:p>
        </w:tc>
        <w:tc>
          <w:tcPr>
            <w:tcW w:w="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30</w:t>
            </w:r>
          </w:p>
        </w:tc>
        <w:tc>
          <w:tcPr>
            <w:tcW w:w="55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Times New Roman" w:hAnsi="Times New Roman" w:eastAsia="仿宋" w:cs="仿宋"/>
                <w:i w:val="0"/>
                <w:color w:val="000000"/>
                <w:sz w:val="24"/>
                <w:szCs w:val="24"/>
                <w:u w:val="none"/>
              </w:rPr>
            </w:pPr>
          </w:p>
        </w:tc>
        <w:tc>
          <w:tcPr>
            <w:tcW w:w="632"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Times New Roman" w:hAnsi="Times New Roman" w:eastAsia="仿宋" w:cs="仿宋"/>
                <w:i w:val="0"/>
                <w:color w:val="000000"/>
                <w:sz w:val="24"/>
                <w:szCs w:val="24"/>
                <w:u w:val="none"/>
              </w:rPr>
            </w:pPr>
          </w:p>
        </w:tc>
      </w:tr>
      <w:tr>
        <w:tblPrEx>
          <w:tblLayout w:type="fixed"/>
          <w:tblCellMar>
            <w:top w:w="0" w:type="dxa"/>
            <w:left w:w="0" w:type="dxa"/>
            <w:bottom w:w="0" w:type="dxa"/>
            <w:right w:w="0" w:type="dxa"/>
          </w:tblCellMar>
        </w:tblPrEx>
        <w:trPr>
          <w:trHeight w:val="660" w:hRule="atLeast"/>
        </w:trPr>
        <w:tc>
          <w:tcPr>
            <w:tcW w:w="52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2</w:t>
            </w:r>
          </w:p>
        </w:tc>
        <w:tc>
          <w:tcPr>
            <w:tcW w:w="6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新生入学肺结核筛查</w:t>
            </w:r>
          </w:p>
        </w:tc>
        <w:tc>
          <w:tcPr>
            <w:tcW w:w="20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筛查学生人数</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w:t>
            </w:r>
          </w:p>
        </w:tc>
        <w:tc>
          <w:tcPr>
            <w:tcW w:w="7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5000</w:t>
            </w:r>
          </w:p>
        </w:tc>
        <w:tc>
          <w:tcPr>
            <w:tcW w:w="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人</w:t>
            </w:r>
          </w:p>
        </w:tc>
        <w:tc>
          <w:tcPr>
            <w:tcW w:w="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30</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9200</w:t>
            </w:r>
          </w:p>
        </w:tc>
        <w:tc>
          <w:tcPr>
            <w:tcW w:w="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30</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imes New Roman" w:hAnsi="Times New Roman" w:eastAsia="仿宋" w:cs="仿宋"/>
                <w:i w:val="0"/>
                <w:color w:val="000000"/>
                <w:sz w:val="24"/>
                <w:szCs w:val="24"/>
                <w:u w:val="none"/>
              </w:rPr>
            </w:pPr>
          </w:p>
        </w:tc>
        <w:tc>
          <w:tcPr>
            <w:tcW w:w="6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95.39</w:t>
            </w:r>
          </w:p>
        </w:tc>
      </w:tr>
      <w:tr>
        <w:tblPrEx>
          <w:tblLayout w:type="fixed"/>
          <w:tblCellMar>
            <w:top w:w="0" w:type="dxa"/>
            <w:left w:w="0" w:type="dxa"/>
            <w:bottom w:w="0" w:type="dxa"/>
            <w:right w:w="0" w:type="dxa"/>
          </w:tblCellMar>
        </w:tblPrEx>
        <w:trPr>
          <w:trHeight w:val="6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imes New Roman" w:hAnsi="Times New Roman" w:eastAsia="仿宋" w:cs="仿宋"/>
                <w:i w:val="0"/>
                <w:color w:val="000000"/>
                <w:sz w:val="24"/>
                <w:szCs w:val="24"/>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imes New Roman" w:hAnsi="Times New Roman" w:eastAsia="仿宋" w:cs="仿宋"/>
                <w:i w:val="0"/>
                <w:color w:val="000000"/>
                <w:sz w:val="24"/>
                <w:szCs w:val="24"/>
                <w:u w:val="none"/>
              </w:rPr>
            </w:pPr>
          </w:p>
        </w:tc>
        <w:tc>
          <w:tcPr>
            <w:tcW w:w="20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学生筛查覆盖率</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w:t>
            </w:r>
          </w:p>
        </w:tc>
        <w:tc>
          <w:tcPr>
            <w:tcW w:w="7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100</w:t>
            </w:r>
          </w:p>
        </w:tc>
        <w:tc>
          <w:tcPr>
            <w:tcW w:w="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w:t>
            </w:r>
          </w:p>
        </w:tc>
        <w:tc>
          <w:tcPr>
            <w:tcW w:w="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20</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100</w:t>
            </w:r>
          </w:p>
        </w:tc>
        <w:tc>
          <w:tcPr>
            <w:tcW w:w="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20</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imes New Roman" w:hAnsi="Times New Roman" w:eastAsia="仿宋" w:cs="仿宋"/>
                <w:i w:val="0"/>
                <w:color w:val="000000"/>
                <w:sz w:val="24"/>
                <w:szCs w:val="24"/>
                <w:u w:val="none"/>
              </w:rPr>
            </w:pPr>
          </w:p>
        </w:tc>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imes New Roman" w:hAnsi="Times New Roman" w:eastAsia="仿宋" w:cs="仿宋"/>
                <w:i w:val="0"/>
                <w:color w:val="000000"/>
                <w:sz w:val="24"/>
                <w:szCs w:val="24"/>
                <w:u w:val="none"/>
              </w:rPr>
            </w:pPr>
          </w:p>
        </w:tc>
      </w:tr>
      <w:tr>
        <w:tblPrEx>
          <w:tblLayout w:type="fixed"/>
          <w:tblCellMar>
            <w:top w:w="0" w:type="dxa"/>
            <w:left w:w="0" w:type="dxa"/>
            <w:bottom w:w="0" w:type="dxa"/>
            <w:right w:w="0" w:type="dxa"/>
          </w:tblCellMar>
        </w:tblPrEx>
        <w:trPr>
          <w:trHeight w:val="6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imes New Roman" w:hAnsi="Times New Roman" w:eastAsia="仿宋" w:cs="仿宋"/>
                <w:i w:val="0"/>
                <w:color w:val="000000"/>
                <w:sz w:val="24"/>
                <w:szCs w:val="24"/>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imes New Roman" w:hAnsi="Times New Roman" w:eastAsia="仿宋" w:cs="仿宋"/>
                <w:i w:val="0"/>
                <w:color w:val="000000"/>
                <w:sz w:val="24"/>
                <w:szCs w:val="24"/>
                <w:u w:val="none"/>
              </w:rPr>
            </w:pPr>
          </w:p>
        </w:tc>
        <w:tc>
          <w:tcPr>
            <w:tcW w:w="20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学生筛查率</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w:t>
            </w:r>
          </w:p>
        </w:tc>
        <w:tc>
          <w:tcPr>
            <w:tcW w:w="7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95</w:t>
            </w:r>
          </w:p>
        </w:tc>
        <w:tc>
          <w:tcPr>
            <w:tcW w:w="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w:t>
            </w:r>
          </w:p>
        </w:tc>
        <w:tc>
          <w:tcPr>
            <w:tcW w:w="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10</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95</w:t>
            </w:r>
          </w:p>
        </w:tc>
        <w:tc>
          <w:tcPr>
            <w:tcW w:w="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10</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imes New Roman" w:hAnsi="Times New Roman" w:eastAsia="仿宋" w:cs="仿宋"/>
                <w:i w:val="0"/>
                <w:color w:val="000000"/>
                <w:sz w:val="24"/>
                <w:szCs w:val="24"/>
                <w:u w:val="none"/>
              </w:rPr>
            </w:pPr>
          </w:p>
        </w:tc>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imes New Roman" w:hAnsi="Times New Roman" w:eastAsia="仿宋" w:cs="仿宋"/>
                <w:i w:val="0"/>
                <w:color w:val="000000"/>
                <w:sz w:val="24"/>
                <w:szCs w:val="24"/>
                <w:u w:val="none"/>
              </w:rPr>
            </w:pPr>
          </w:p>
        </w:tc>
      </w:tr>
      <w:tr>
        <w:tblPrEx>
          <w:tblLayout w:type="fixed"/>
          <w:tblCellMar>
            <w:top w:w="0" w:type="dxa"/>
            <w:left w:w="0" w:type="dxa"/>
            <w:bottom w:w="0" w:type="dxa"/>
            <w:right w:w="0" w:type="dxa"/>
          </w:tblCellMar>
        </w:tblPrEx>
        <w:trPr>
          <w:trHeight w:val="6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imes New Roman" w:hAnsi="Times New Roman" w:eastAsia="仿宋" w:cs="仿宋"/>
                <w:i w:val="0"/>
                <w:color w:val="000000"/>
                <w:sz w:val="24"/>
                <w:szCs w:val="24"/>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imes New Roman" w:hAnsi="Times New Roman" w:eastAsia="仿宋" w:cs="仿宋"/>
                <w:i w:val="0"/>
                <w:color w:val="000000"/>
                <w:sz w:val="24"/>
                <w:szCs w:val="24"/>
                <w:u w:val="none"/>
              </w:rPr>
            </w:pPr>
          </w:p>
        </w:tc>
        <w:tc>
          <w:tcPr>
            <w:tcW w:w="20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减少疾病发病率</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w:t>
            </w:r>
          </w:p>
        </w:tc>
        <w:tc>
          <w:tcPr>
            <w:tcW w:w="7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90</w:t>
            </w:r>
          </w:p>
        </w:tc>
        <w:tc>
          <w:tcPr>
            <w:tcW w:w="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w:t>
            </w:r>
          </w:p>
        </w:tc>
        <w:tc>
          <w:tcPr>
            <w:tcW w:w="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20</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90</w:t>
            </w:r>
          </w:p>
        </w:tc>
        <w:tc>
          <w:tcPr>
            <w:tcW w:w="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20</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imes New Roman" w:hAnsi="Times New Roman" w:eastAsia="仿宋" w:cs="仿宋"/>
                <w:i w:val="0"/>
                <w:color w:val="000000"/>
                <w:sz w:val="24"/>
                <w:szCs w:val="24"/>
                <w:u w:val="none"/>
              </w:rPr>
            </w:pPr>
          </w:p>
        </w:tc>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imes New Roman" w:hAnsi="Times New Roman" w:eastAsia="仿宋" w:cs="仿宋"/>
                <w:i w:val="0"/>
                <w:color w:val="000000"/>
                <w:sz w:val="24"/>
                <w:szCs w:val="24"/>
                <w:u w:val="none"/>
              </w:rPr>
            </w:pPr>
          </w:p>
        </w:tc>
      </w:tr>
      <w:tr>
        <w:tblPrEx>
          <w:tblLayout w:type="fixed"/>
          <w:tblCellMar>
            <w:top w:w="0" w:type="dxa"/>
            <w:left w:w="0" w:type="dxa"/>
            <w:bottom w:w="0" w:type="dxa"/>
            <w:right w:w="0" w:type="dxa"/>
          </w:tblCellMar>
        </w:tblPrEx>
        <w:trPr>
          <w:trHeight w:val="6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imes New Roman" w:hAnsi="Times New Roman" w:eastAsia="仿宋" w:cs="仿宋"/>
                <w:i w:val="0"/>
                <w:color w:val="000000"/>
                <w:sz w:val="24"/>
                <w:szCs w:val="24"/>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imes New Roman" w:hAnsi="Times New Roman" w:eastAsia="仿宋" w:cs="仿宋"/>
                <w:i w:val="0"/>
                <w:color w:val="000000"/>
                <w:sz w:val="24"/>
                <w:szCs w:val="24"/>
                <w:u w:val="none"/>
              </w:rPr>
            </w:pPr>
          </w:p>
        </w:tc>
        <w:tc>
          <w:tcPr>
            <w:tcW w:w="20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筛查对象满意度</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w:t>
            </w:r>
          </w:p>
        </w:tc>
        <w:tc>
          <w:tcPr>
            <w:tcW w:w="7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90</w:t>
            </w:r>
          </w:p>
        </w:tc>
        <w:tc>
          <w:tcPr>
            <w:tcW w:w="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w:t>
            </w:r>
          </w:p>
        </w:tc>
        <w:tc>
          <w:tcPr>
            <w:tcW w:w="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10</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88</w:t>
            </w:r>
          </w:p>
        </w:tc>
        <w:tc>
          <w:tcPr>
            <w:tcW w:w="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仿宋" w:cs="仿宋"/>
                <w:i w:val="0"/>
                <w:color w:val="000000"/>
                <w:sz w:val="24"/>
                <w:szCs w:val="24"/>
                <w:u w:val="none"/>
              </w:rPr>
            </w:pPr>
            <w:r>
              <w:rPr>
                <w:rFonts w:hint="eastAsia" w:ascii="Times New Roman" w:hAnsi="Times New Roman" w:eastAsia="仿宋" w:cs="仿宋"/>
                <w:i w:val="0"/>
                <w:color w:val="000000"/>
                <w:kern w:val="0"/>
                <w:sz w:val="24"/>
                <w:szCs w:val="24"/>
                <w:u w:val="none"/>
                <w:lang w:val="en-US" w:eastAsia="zh-CN" w:bidi="ar"/>
              </w:rPr>
              <w:t>7.78</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imes New Roman" w:hAnsi="Times New Roman" w:eastAsia="仿宋" w:cs="仿宋"/>
                <w:i w:val="0"/>
                <w:color w:val="000000"/>
                <w:sz w:val="24"/>
                <w:szCs w:val="24"/>
                <w:u w:val="none"/>
              </w:rPr>
            </w:pPr>
          </w:p>
        </w:tc>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imes New Roman" w:hAnsi="Times New Roman" w:eastAsia="仿宋" w:cs="仿宋"/>
                <w:i w:val="0"/>
                <w:color w:val="000000"/>
                <w:sz w:val="24"/>
                <w:szCs w:val="24"/>
                <w:u w:val="none"/>
              </w:rPr>
            </w:pPr>
          </w:p>
        </w:tc>
      </w:tr>
    </w:tbl>
    <w:p>
      <w:pPr>
        <w:pStyle w:val="8"/>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楷体_GBK"/>
          <w:b w:val="0"/>
          <w:bCs/>
          <w:sz w:val="32"/>
          <w:szCs w:val="32"/>
          <w:shd w:val="clear" w:color="auto" w:fill="FFFFFF"/>
        </w:rPr>
      </w:pPr>
      <w:bookmarkStart w:id="0" w:name="_GoBack"/>
      <w:bookmarkEnd w:id="0"/>
      <w:r>
        <w:rPr>
          <w:rStyle w:val="10"/>
          <w:rFonts w:ascii="Times New Roman" w:hAnsi="Times New Roman" w:eastAsia="方正楷体_GBK"/>
          <w:b w:val="0"/>
          <w:bCs/>
          <w:sz w:val="32"/>
          <w:szCs w:val="32"/>
          <w:shd w:val="clear" w:color="auto" w:fill="FFFFFF"/>
        </w:rPr>
        <w:t>（二）单位绩效评价情况</w:t>
      </w:r>
    </w:p>
    <w:p>
      <w:pPr>
        <w:pStyle w:val="13"/>
        <w:keepNext w:val="0"/>
        <w:keepLines w:val="0"/>
        <w:pageBreakBefore w:val="0"/>
        <w:widowControl/>
        <w:kinsoku/>
        <w:wordWrap/>
        <w:overflowPunct/>
        <w:topLinePunct w:val="0"/>
        <w:autoSpaceDE w:val="0"/>
        <w:autoSpaceDN/>
        <w:bidi w:val="0"/>
        <w:adjustRightInd/>
        <w:spacing w:line="560" w:lineRule="exact"/>
        <w:ind w:firstLine="640"/>
        <w:jc w:val="both"/>
        <w:textAlignment w:val="auto"/>
        <w:outlineLvl w:val="9"/>
        <w:rPr>
          <w:rFonts w:ascii="Times New Roman" w:hAnsi="Times New Roman" w:eastAsia="方正仿宋_GBK" w:cs="方正仿宋_GBK"/>
          <w:b/>
        </w:rPr>
      </w:pPr>
      <w:r>
        <w:rPr>
          <w:rFonts w:hint="eastAsia" w:ascii="Times New Roman" w:hAnsi="Times New Roman" w:eastAsia="方正仿宋_GBK" w:cs="方正仿宋_GBK"/>
          <w:sz w:val="32"/>
          <w:szCs w:val="32"/>
          <w:lang w:eastAsia="zh-CN"/>
        </w:rPr>
        <w:t>本</w:t>
      </w:r>
      <w:r>
        <w:rPr>
          <w:rFonts w:hint="eastAsia" w:ascii="Times New Roman" w:hAnsi="Times New Roman" w:eastAsia="方正仿宋_GBK" w:cs="方正仿宋_GBK"/>
          <w:sz w:val="32"/>
          <w:szCs w:val="32"/>
        </w:rPr>
        <w:t>单位未组织开展绩效评价。</w:t>
      </w:r>
    </w:p>
    <w:p>
      <w:pPr>
        <w:pStyle w:val="8"/>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黑体_GBK"/>
          <w:b w:val="0"/>
          <w:bCs/>
          <w:sz w:val="32"/>
          <w:szCs w:val="32"/>
          <w:shd w:val="clear" w:color="auto" w:fill="FFFFFF"/>
        </w:rPr>
      </w:pPr>
      <w:r>
        <w:rPr>
          <w:rStyle w:val="10"/>
          <w:rFonts w:ascii="Times New Roman" w:hAnsi="Times New Roman" w:eastAsia="方正黑体_GBK"/>
          <w:b w:val="0"/>
          <w:bCs/>
          <w:sz w:val="32"/>
          <w:szCs w:val="32"/>
          <w:shd w:val="clear" w:color="auto" w:fill="FFFFFF"/>
        </w:rPr>
        <w:t>六、专业名词解释</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rPr>
      </w:pPr>
      <w:r>
        <w:rPr>
          <w:rStyle w:val="10"/>
          <w:rFonts w:ascii="Times New Roman" w:hAnsi="Times New Roman" w:eastAsia="方正楷体_GBK"/>
          <w:b w:val="0"/>
          <w:bCs/>
          <w:sz w:val="32"/>
          <w:szCs w:val="32"/>
          <w:shd w:val="clear" w:color="auto" w:fill="FFFFFF"/>
        </w:rPr>
        <w:t>（一）财政拨款收入：</w:t>
      </w:r>
      <w:r>
        <w:rPr>
          <w:rFonts w:ascii="Times New Roman" w:hAnsi="Times New Roman" w:eastAsia="方正仿宋_GBK" w:cs="方正仿宋_GBK"/>
          <w:sz w:val="32"/>
          <w:szCs w:val="32"/>
        </w:rPr>
        <w:t>指本年度从本级财政部门取得的财政拨款。</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rPr>
      </w:pPr>
      <w:r>
        <w:rPr>
          <w:rStyle w:val="10"/>
          <w:rFonts w:ascii="Times New Roman" w:hAnsi="Times New Roman" w:eastAsia="方正楷体_GBK"/>
          <w:b w:val="0"/>
          <w:bCs/>
          <w:sz w:val="32"/>
          <w:szCs w:val="32"/>
          <w:shd w:val="clear" w:color="auto" w:fill="FFFFFF"/>
        </w:rPr>
        <w:t>（二）事业收入：</w:t>
      </w:r>
      <w:r>
        <w:rPr>
          <w:rFonts w:ascii="Times New Roman" w:hAnsi="Times New Roman" w:eastAsia="方正仿宋_GBK" w:cs="方正仿宋_GBK"/>
          <w:sz w:val="32"/>
          <w:szCs w:val="32"/>
        </w:rPr>
        <w:t>指事业单位开展专业业务活动及其辅助活动取得的收入。</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rPr>
      </w:pPr>
      <w:r>
        <w:rPr>
          <w:rStyle w:val="10"/>
          <w:rFonts w:ascii="Times New Roman" w:hAnsi="Times New Roman" w:eastAsia="方正楷体_GBK"/>
          <w:b w:val="0"/>
          <w:bCs/>
          <w:sz w:val="32"/>
          <w:szCs w:val="32"/>
          <w:shd w:val="clear" w:color="auto" w:fill="FFFFFF"/>
        </w:rPr>
        <w:t>（三）经营收入：</w:t>
      </w:r>
      <w:r>
        <w:rPr>
          <w:rFonts w:ascii="Times New Roman" w:hAnsi="Times New Roman" w:eastAsia="方正仿宋_GBK" w:cs="方正仿宋_GBK"/>
          <w:sz w:val="32"/>
          <w:szCs w:val="32"/>
        </w:rPr>
        <w:t>指事业单位在专业业务活动及其辅助活动之外开展非独立核算经营活动取得的收入。</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rPr>
      </w:pPr>
      <w:r>
        <w:rPr>
          <w:rStyle w:val="10"/>
          <w:rFonts w:ascii="Times New Roman" w:hAnsi="Times New Roman" w:eastAsia="方正楷体_GBK"/>
          <w:b w:val="0"/>
          <w:bCs/>
          <w:sz w:val="32"/>
          <w:szCs w:val="32"/>
          <w:shd w:val="clear" w:color="auto" w:fill="FFFFFF"/>
        </w:rPr>
        <w:t>（四）其他收入</w:t>
      </w:r>
      <w:r>
        <w:rPr>
          <w:rFonts w:ascii="Times New Roman" w:hAnsi="Times New Roman" w:eastAsia="楷体" w:cs="楷体"/>
          <w:sz w:val="32"/>
          <w:szCs w:val="32"/>
          <w:shd w:val="clear" w:color="auto" w:fill="FFFFFF"/>
        </w:rPr>
        <w:t>：</w:t>
      </w:r>
      <w:r>
        <w:rPr>
          <w:rFonts w:ascii="Times New Roman" w:hAnsi="Times New Roman" w:eastAsia="方正仿宋_GBK" w:cs="方正仿宋_GBK"/>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rPr>
      </w:pPr>
      <w:r>
        <w:rPr>
          <w:rStyle w:val="10"/>
          <w:rFonts w:ascii="Times New Roman" w:hAnsi="Times New Roman" w:eastAsia="方正楷体_GBK"/>
          <w:b w:val="0"/>
          <w:bCs/>
          <w:sz w:val="32"/>
          <w:szCs w:val="32"/>
          <w:shd w:val="clear" w:color="auto" w:fill="FFFFFF"/>
        </w:rPr>
        <w:t>（五）使用非财政拨款结余（含专用结余）：</w:t>
      </w:r>
      <w:r>
        <w:rPr>
          <w:rFonts w:ascii="Times New Roman" w:hAnsi="Times New Roman" w:eastAsia="方正仿宋_GBK" w:cs="方正仿宋_GBK"/>
          <w:sz w:val="32"/>
          <w:szCs w:val="32"/>
          <w:shd w:val="clear" w:color="auto" w:fill="FFFFFF"/>
        </w:rPr>
        <w:t>指事业单位按照预算管理要求使用非财政拨款结余弥补收支差额的金额，以及使用专用结余安排支出的金额。</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rPr>
      </w:pPr>
      <w:r>
        <w:rPr>
          <w:rStyle w:val="10"/>
          <w:rFonts w:ascii="Times New Roman" w:hAnsi="Times New Roman" w:eastAsia="方正楷体_GBK"/>
          <w:b w:val="0"/>
          <w:bCs/>
          <w:sz w:val="32"/>
          <w:szCs w:val="32"/>
          <w:shd w:val="clear" w:color="auto" w:fill="FFFFFF"/>
        </w:rPr>
        <w:t>（六）年初结转和结余：</w:t>
      </w:r>
      <w:r>
        <w:rPr>
          <w:rFonts w:ascii="Times New Roman" w:hAnsi="Times New Roman" w:eastAsia="方正仿宋_GBK" w:cs="方正仿宋_GBK"/>
          <w:sz w:val="32"/>
          <w:szCs w:val="32"/>
          <w:shd w:val="clear" w:color="auto" w:fill="FFFFFF"/>
        </w:rPr>
        <w:t>指单位上年结转本年使用的基本支出结转、项目支出结转和结余、经营结余。</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rPr>
      </w:pPr>
      <w:r>
        <w:rPr>
          <w:rStyle w:val="10"/>
          <w:rFonts w:ascii="Times New Roman" w:hAnsi="Times New Roman" w:eastAsia="方正楷体_GBK"/>
          <w:b w:val="0"/>
          <w:bCs/>
          <w:sz w:val="32"/>
          <w:szCs w:val="32"/>
          <w:shd w:val="clear" w:color="auto" w:fill="FFFFFF"/>
        </w:rPr>
        <w:t>（七）结余分配：</w:t>
      </w:r>
      <w:r>
        <w:rPr>
          <w:rFonts w:ascii="Times New Roman" w:hAnsi="Times New Roman" w:eastAsia="方正仿宋_GBK" w:cs="方正仿宋_GBK"/>
          <w:sz w:val="32"/>
          <w:szCs w:val="32"/>
          <w:shd w:val="clear" w:color="auto" w:fill="FFFFFF"/>
        </w:rPr>
        <w:t>指单位按照国家有关规定，缴纳所得税、提取专用基金、转入非财政拨款结余等当年结余的分配情况。</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rPr>
      </w:pPr>
      <w:r>
        <w:rPr>
          <w:rStyle w:val="10"/>
          <w:rFonts w:ascii="Times New Roman" w:hAnsi="Times New Roman" w:eastAsia="方正楷体_GBK"/>
          <w:b w:val="0"/>
          <w:bCs/>
          <w:sz w:val="32"/>
          <w:szCs w:val="32"/>
          <w:shd w:val="clear" w:color="auto" w:fill="FFFFFF"/>
        </w:rPr>
        <w:t>（八）年末结转和结余：</w:t>
      </w:r>
      <w:r>
        <w:rPr>
          <w:rFonts w:ascii="Times New Roman" w:hAnsi="Times New Roman" w:eastAsia="方正仿宋_GBK" w:cs="方正仿宋_GBK"/>
          <w:sz w:val="32"/>
          <w:szCs w:val="32"/>
          <w:shd w:val="clear" w:color="auto" w:fill="FFFFFF"/>
        </w:rPr>
        <w:t>指单位结转下年的基本支出结转、项目支出结转和结余、经营结余。</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rPr>
      </w:pPr>
      <w:r>
        <w:rPr>
          <w:rStyle w:val="10"/>
          <w:rFonts w:ascii="Times New Roman" w:hAnsi="Times New Roman" w:eastAsia="方正楷体_GBK"/>
          <w:b w:val="0"/>
          <w:bCs/>
          <w:sz w:val="32"/>
          <w:szCs w:val="32"/>
          <w:shd w:val="clear" w:color="auto" w:fill="FFFFFF"/>
        </w:rPr>
        <w:t>（九）基本支出：</w:t>
      </w:r>
      <w:r>
        <w:rPr>
          <w:rFonts w:ascii="Times New Roman" w:hAnsi="Times New Roman" w:eastAsia="方正仿宋_GBK" w:cs="方正仿宋_GBK"/>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rPr>
      </w:pPr>
      <w:r>
        <w:rPr>
          <w:rStyle w:val="10"/>
          <w:rFonts w:ascii="Times New Roman" w:hAnsi="Times New Roman" w:eastAsia="方正楷体_GBK"/>
          <w:b w:val="0"/>
          <w:bCs/>
          <w:sz w:val="32"/>
          <w:szCs w:val="32"/>
          <w:shd w:val="clear" w:color="auto" w:fill="FFFFFF"/>
        </w:rPr>
        <w:t>（十）项目支出：</w:t>
      </w:r>
      <w:r>
        <w:rPr>
          <w:rFonts w:ascii="Times New Roman" w:hAnsi="Times New Roman" w:eastAsia="方正仿宋_GBK" w:cs="方正仿宋_GBK"/>
          <w:sz w:val="32"/>
          <w:szCs w:val="32"/>
          <w:shd w:val="clear" w:color="auto" w:fill="FFFFFF"/>
        </w:rPr>
        <w:t>指在基本支出之外为完成特定行政任务和事业发展目标所发生的支出。</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rPr>
      </w:pPr>
      <w:r>
        <w:rPr>
          <w:rStyle w:val="10"/>
          <w:rFonts w:ascii="Times New Roman" w:hAnsi="Times New Roman" w:eastAsia="方正楷体_GBK"/>
          <w:b w:val="0"/>
          <w:bCs/>
          <w:sz w:val="32"/>
          <w:szCs w:val="32"/>
          <w:shd w:val="clear" w:color="auto" w:fill="FFFFFF"/>
        </w:rPr>
        <w:t>（十一）经营支出：</w:t>
      </w:r>
      <w:r>
        <w:rPr>
          <w:rFonts w:ascii="Times New Roman" w:hAnsi="Times New Roman" w:eastAsia="方正仿宋_GBK" w:cs="方正仿宋_GBK"/>
          <w:sz w:val="32"/>
          <w:szCs w:val="32"/>
          <w:shd w:val="clear" w:color="auto" w:fill="FFFFFF"/>
        </w:rPr>
        <w:t>指事业单位在专业业务活动及其辅助活动之外开展非独立核算经营活动发生的支出。</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rPr>
      </w:pPr>
      <w:r>
        <w:rPr>
          <w:rStyle w:val="10"/>
          <w:rFonts w:ascii="Times New Roman" w:hAnsi="Times New Roman" w:eastAsia="方正楷体_GBK"/>
          <w:b w:val="0"/>
          <w:bCs/>
          <w:sz w:val="32"/>
          <w:szCs w:val="32"/>
          <w:shd w:val="clear" w:color="auto" w:fill="FFFFFF"/>
        </w:rPr>
        <w:t>（十二）“三公”经费：</w:t>
      </w:r>
      <w:r>
        <w:rPr>
          <w:rFonts w:ascii="Times New Roman" w:hAnsi="Times New Roman" w:eastAsia="方正仿宋_GBK" w:cs="方正仿宋_GBK"/>
          <w:sz w:val="32"/>
          <w:szCs w:val="32"/>
          <w:shd w:val="clear" w:color="auto" w:fill="FFFFFF"/>
        </w:rPr>
        <w:t>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rPr>
      </w:pPr>
      <w:r>
        <w:rPr>
          <w:rStyle w:val="10"/>
          <w:rFonts w:ascii="Times New Roman" w:hAnsi="Times New Roman" w:eastAsia="方正楷体_GBK"/>
          <w:b w:val="0"/>
          <w:bCs/>
          <w:sz w:val="32"/>
          <w:szCs w:val="32"/>
          <w:shd w:val="clear" w:color="auto" w:fill="FFFFFF"/>
        </w:rPr>
        <w:t>（十三）机关运行经费：</w:t>
      </w:r>
      <w:r>
        <w:rPr>
          <w:rFonts w:ascii="Times New Roman" w:hAnsi="Times New Roman" w:eastAsia="方正仿宋_GBK" w:cs="方正仿宋_GBK"/>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rPr>
      </w:pPr>
      <w:r>
        <w:rPr>
          <w:rStyle w:val="10"/>
          <w:rFonts w:ascii="Times New Roman" w:hAnsi="Times New Roman" w:eastAsia="方正楷体_GBK"/>
          <w:b w:val="0"/>
          <w:bCs/>
          <w:sz w:val="32"/>
          <w:szCs w:val="32"/>
          <w:shd w:val="clear" w:color="auto" w:fill="FFFFFF"/>
        </w:rPr>
        <w:t>（十四）工资福利支出（支出经济分类科目类级）：</w:t>
      </w:r>
      <w:r>
        <w:rPr>
          <w:rFonts w:ascii="Times New Roman" w:hAnsi="Times New Roman" w:eastAsia="方正仿宋_GBK" w:cs="方正仿宋_GBK"/>
          <w:sz w:val="32"/>
          <w:szCs w:val="32"/>
          <w:shd w:val="clear" w:color="auto" w:fill="FFFFFF"/>
        </w:rPr>
        <w:t>反映单位开支的在职职工和编制外长期聘用人员的各类劳动报酬，以及为上述人员缴纳的各项社会保险费等。</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rPr>
      </w:pPr>
      <w:r>
        <w:rPr>
          <w:rStyle w:val="10"/>
          <w:rFonts w:ascii="Times New Roman" w:hAnsi="Times New Roman" w:eastAsia="方正楷体_GBK"/>
          <w:b w:val="0"/>
          <w:bCs/>
          <w:sz w:val="32"/>
          <w:szCs w:val="32"/>
          <w:shd w:val="clear" w:color="auto" w:fill="FFFFFF"/>
        </w:rPr>
        <w:t>（十五）商品和服务支出（支出经济分类科目类级）：</w:t>
      </w:r>
      <w:r>
        <w:rPr>
          <w:rFonts w:ascii="Times New Roman" w:hAnsi="Times New Roman" w:eastAsia="方正仿宋_GBK" w:cs="方正仿宋_GBK"/>
          <w:sz w:val="32"/>
          <w:szCs w:val="32"/>
          <w:shd w:val="clear" w:color="auto" w:fill="FFFFFF"/>
        </w:rPr>
        <w:t>反映单位购买商品和服务的支出（不包括用于购置固定资产的支出、战略性和应急储备支出）。</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rPr>
      </w:pPr>
      <w:r>
        <w:rPr>
          <w:rStyle w:val="10"/>
          <w:rFonts w:ascii="Times New Roman" w:hAnsi="Times New Roman" w:eastAsia="方正楷体_GBK"/>
          <w:b w:val="0"/>
          <w:bCs/>
          <w:sz w:val="32"/>
          <w:szCs w:val="32"/>
          <w:shd w:val="clear" w:color="auto" w:fill="FFFFFF"/>
        </w:rPr>
        <w:t>（十六）对个人和家庭的补助（支出经济分类科目类级）：</w:t>
      </w:r>
      <w:r>
        <w:rPr>
          <w:rFonts w:ascii="Times New Roman" w:hAnsi="Times New Roman" w:eastAsia="方正仿宋_GBK" w:cs="方正仿宋_GBK"/>
          <w:sz w:val="32"/>
          <w:szCs w:val="32"/>
          <w:shd w:val="clear" w:color="auto" w:fill="FFFFFF"/>
        </w:rPr>
        <w:t>反映用于对个人和家庭的补助支出。</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shd w:val="clear" w:color="auto" w:fill="FFFFFF"/>
        </w:rPr>
      </w:pPr>
      <w:r>
        <w:rPr>
          <w:rStyle w:val="10"/>
          <w:rFonts w:ascii="Times New Roman" w:hAnsi="Times New Roman" w:eastAsia="方正楷体_GBK"/>
          <w:b w:val="0"/>
          <w:bCs/>
          <w:sz w:val="32"/>
          <w:szCs w:val="32"/>
          <w:shd w:val="clear" w:color="auto" w:fill="FFFFFF"/>
        </w:rPr>
        <w:t>（十七）其他资本性支出（支出经济分类科目类级）：</w:t>
      </w:r>
      <w:r>
        <w:rPr>
          <w:rFonts w:ascii="Times New Roman" w:hAnsi="Times New Roman" w:eastAsia="方正仿宋_GBK" w:cs="方正仿宋_GBK"/>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8"/>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黑体_GBK"/>
          <w:b w:val="0"/>
          <w:bCs/>
          <w:sz w:val="32"/>
          <w:szCs w:val="32"/>
          <w:shd w:val="clear" w:color="auto" w:fill="FFFFFF"/>
        </w:rPr>
      </w:pPr>
      <w:r>
        <w:rPr>
          <w:rStyle w:val="10"/>
          <w:rFonts w:ascii="Times New Roman" w:hAnsi="Times New Roman" w:eastAsia="方正黑体_GBK"/>
          <w:b w:val="0"/>
          <w:bCs/>
          <w:sz w:val="32"/>
          <w:szCs w:val="32"/>
          <w:shd w:val="clear" w:color="auto" w:fill="FFFFFF"/>
        </w:rPr>
        <w:t>七、决算公开联系方式及信息反馈渠道</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shd w:val="clear" w:color="auto" w:fill="FFFFFF"/>
        </w:rPr>
      </w:pPr>
      <w:r>
        <w:rPr>
          <w:rFonts w:ascii="Times New Roman" w:hAnsi="Times New Roman" w:eastAsia="方正仿宋_GBK" w:cs="方正仿宋_GBK"/>
          <w:sz w:val="32"/>
          <w:szCs w:val="32"/>
          <w:shd w:val="clear" w:color="auto" w:fill="FFFFFF"/>
        </w:rPr>
        <w:t>本单位决算公开信息反馈和联系方式：</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仿宋_GBK" w:cs="方正仿宋_GBK"/>
          <w:b w:val="0"/>
          <w:sz w:val="32"/>
          <w:szCs w:val="32"/>
          <w:shd w:val="clear" w:color="auto" w:fill="FFFFFF"/>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ascii="Times New Roman" w:hAnsi="Times New Roman" w:eastAsia="方正仿宋_GBK" w:cs="方正仿宋_GBK"/>
          <w:sz w:val="32"/>
          <w:szCs w:val="32"/>
          <w:shd w:val="clear" w:color="auto" w:fill="FFFFFF"/>
        </w:rPr>
        <w:t>卓婷婷  023-76682123</w:t>
      </w:r>
    </w:p>
    <w:tbl>
      <w:tblPr>
        <w:tblStyle w:val="11"/>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01</w:t>
            </w:r>
            <w:r>
              <w:rPr>
                <w:rFonts w:cs="宋体"/>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单位：</w:t>
            </w:r>
            <w:r>
              <w:rPr>
                <w:sz w:val="20"/>
              </w:rPr>
              <w:t>秀山土家族苗族自治县疾病预防控制中心</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1,702.26</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63.37</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273.37</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1,434.83</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64.82</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1,765.63</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1,773.02</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7.39</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1,773.02</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1,773.02</w:t>
            </w:r>
          </w:p>
        </w:tc>
      </w:tr>
    </w:tbl>
    <w:p>
      <w:pPr>
        <w:rPr>
          <w:rFonts w:hint="default" w:cs="宋体"/>
          <w:sz w:val="21"/>
          <w:szCs w:val="21"/>
        </w:rPr>
      </w:pPr>
    </w:p>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1"/>
        <w:tblW w:w="15503" w:type="dxa"/>
        <w:tblInd w:w="0" w:type="dxa"/>
        <w:tblLayout w:type="fixed"/>
        <w:tblCellMar>
          <w:top w:w="0" w:type="dxa"/>
          <w:left w:w="0" w:type="dxa"/>
          <w:bottom w:w="0" w:type="dxa"/>
          <w:right w:w="0" w:type="dxa"/>
        </w:tblCellMar>
      </w:tblPr>
      <w:tblGrid>
        <w:gridCol w:w="1637"/>
        <w:gridCol w:w="3075"/>
        <w:gridCol w:w="1308"/>
        <w:gridCol w:w="1367"/>
        <w:gridCol w:w="1257"/>
        <w:gridCol w:w="1257"/>
        <w:gridCol w:w="1320"/>
        <w:gridCol w:w="1259"/>
        <w:gridCol w:w="1392"/>
        <w:gridCol w:w="1631"/>
      </w:tblGrid>
      <w:tr>
        <w:tblPrEx>
          <w:tblLayout w:type="fixed"/>
          <w:tblCellMar>
            <w:top w:w="0" w:type="dxa"/>
            <w:left w:w="0" w:type="dxa"/>
            <w:bottom w:w="0" w:type="dxa"/>
            <w:right w:w="0" w:type="dxa"/>
          </w:tblCellMar>
        </w:tblPrEx>
        <w:trPr>
          <w:trHeight w:val="641"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6020"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sz w:val="20"/>
              </w:rPr>
              <w:t>秀山土家族苗族自治县疾病预防控制中心</w:t>
            </w: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02</w:t>
            </w:r>
            <w:r>
              <w:rPr>
                <w:rFonts w:cs="宋体"/>
                <w:color w:val="000000"/>
                <w:sz w:val="20"/>
                <w:szCs w:val="20"/>
              </w:rPr>
              <w:t>表</w:t>
            </w:r>
          </w:p>
        </w:tc>
      </w:tr>
      <w:tr>
        <w:tblPrEx>
          <w:tblLayout w:type="fixed"/>
          <w:tblCellMar>
            <w:top w:w="0" w:type="dxa"/>
            <w:left w:w="0" w:type="dxa"/>
            <w:bottom w:w="0" w:type="dxa"/>
            <w:right w:w="0" w:type="dxa"/>
          </w:tblCellMar>
        </w:tblPrEx>
        <w:trPr>
          <w:trHeight w:val="328" w:hRule="atLeast"/>
        </w:trPr>
        <w:tc>
          <w:tcPr>
            <w:tcW w:w="6020"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712"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2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3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6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75"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12"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7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1,765.63</w:t>
            </w:r>
          </w:p>
        </w:tc>
        <w:tc>
          <w:tcPr>
            <w:tcW w:w="13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1,702.26</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63.37</w:t>
            </w:r>
          </w:p>
        </w:tc>
        <w:tc>
          <w:tcPr>
            <w:tcW w:w="13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3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63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273.37</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273.37</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273.37</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273.37</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90.92</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90.92</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121.45</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121.45</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61.00</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61.00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1,427.44</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1,364.07</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63.37</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54.46</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54.46</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54.46</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54.46</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1,307.09</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1,243.72</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63.37</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疾病预防控制机构</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1,014.64</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951.27</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63.37</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16.03</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16.03</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重大公共卫生服务</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276.26</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276.26</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其他公共卫生支出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0.17</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0.17</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65.88</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65.88</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52.44</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52.44</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13.44</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13.44</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64.82</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64.82</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64.82</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64.82</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64.82</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64.82</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page"/>
      </w:r>
    </w:p>
    <w:tbl>
      <w:tblPr>
        <w:tblStyle w:val="11"/>
        <w:tblW w:w="15322" w:type="dxa"/>
        <w:tblInd w:w="0" w:type="dxa"/>
        <w:tblLayout w:type="fixed"/>
        <w:tblCellMar>
          <w:top w:w="0" w:type="dxa"/>
          <w:left w:w="0" w:type="dxa"/>
          <w:bottom w:w="0" w:type="dxa"/>
          <w:right w:w="0" w:type="dxa"/>
        </w:tblCellMar>
      </w:tblPr>
      <w:tblGrid>
        <w:gridCol w:w="1637"/>
        <w:gridCol w:w="3530"/>
        <w:gridCol w:w="1645"/>
        <w:gridCol w:w="1694"/>
        <w:gridCol w:w="1627"/>
        <w:gridCol w:w="1559"/>
        <w:gridCol w:w="1694"/>
        <w:gridCol w:w="1936"/>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81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rPr>
              <w:t>秀山土家族苗族自治县疾病预防控制中心</w:t>
            </w: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03</w:t>
            </w:r>
            <w:r>
              <w:rPr>
                <w:rFonts w:cs="宋体"/>
                <w:color w:val="000000"/>
                <w:sz w:val="20"/>
                <w:szCs w:val="20"/>
              </w:rPr>
              <w:t>表</w:t>
            </w:r>
          </w:p>
        </w:tc>
      </w:tr>
      <w:tr>
        <w:tblPrEx>
          <w:tblLayout w:type="fixed"/>
          <w:tblCellMar>
            <w:top w:w="0" w:type="dxa"/>
            <w:left w:w="0" w:type="dxa"/>
            <w:bottom w:w="0" w:type="dxa"/>
            <w:right w:w="0" w:type="dxa"/>
          </w:tblCellMar>
        </w:tblPrEx>
        <w:trPr>
          <w:trHeight w:val="342" w:hRule="atLeast"/>
        </w:trPr>
        <w:tc>
          <w:tcPr>
            <w:tcW w:w="681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9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30"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1,773.02</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1,402.83</w:t>
            </w:r>
          </w:p>
        </w:tc>
        <w:tc>
          <w:tcPr>
            <w:tcW w:w="1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370.19</w:t>
            </w:r>
          </w:p>
        </w:tc>
        <w:tc>
          <w:tcPr>
            <w:tcW w:w="1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9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273.37</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273.37</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273.37</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273.37</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90.92</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90.92</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121.45</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121.45</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61.00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61.00</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1,434.83</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1,064.64</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370.19</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54.46</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54.46</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54.46</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54.46</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1,314.49</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998.76</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315.73</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疾病预防控制机构</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1,014.64</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998.76</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15.88</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23.42</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23.42</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重大公共卫生服务</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276.26</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276.26</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其他公共卫生支出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0.17</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0.17</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65.88</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65.88</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52.44</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52.44</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13.44</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13.44</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64.82</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64.82</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64.82</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64.82</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64.82</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64.82</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bl>
    <w:p>
      <w:pPr>
        <w:rPr>
          <w:rFonts w:hint="default" w:cs="宋体"/>
          <w:sz w:val="21"/>
          <w:szCs w:val="21"/>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1"/>
          <w:szCs w:val="21"/>
        </w:rPr>
        <w:br w:type="page"/>
      </w:r>
    </w:p>
    <w:p>
      <w:pPr>
        <w:rPr>
          <w:rFonts w:hint="default" w:cs="宋体"/>
          <w:sz w:val="21"/>
          <w:szCs w:val="21"/>
        </w:rPr>
      </w:pPr>
    </w:p>
    <w:tbl>
      <w:tblPr>
        <w:tblStyle w:val="11"/>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rPr>
              <w:t>秀山土家族苗族自治县疾病预防控制中心</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04</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1,702.26</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273.37</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273.37</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1,371.46</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1,371.46</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64.82</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64.82</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1,702.26</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1,709.66</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1,709.66</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7.39</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7.39</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1,709.66</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1,709.66</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1,709.66</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rPr>
              <w:t>秀山土家族苗族自治县疾病预防控制中心</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05</w:t>
            </w:r>
            <w:r>
              <w:rPr>
                <w:rFonts w:cs="宋体"/>
                <w:color w:val="000000"/>
                <w:sz w:val="20"/>
                <w:szCs w:val="20"/>
              </w:rPr>
              <w:t>表</w:t>
            </w:r>
          </w:p>
        </w:tc>
      </w:tr>
      <w:tr>
        <w:tblPrEx>
          <w:tblLayout w:type="fixed"/>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1,709.66</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1,339.47</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370.19</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273.37</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273.37</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273.37</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273.37</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90.92</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90.92</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121.45</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121.45</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61.00</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61.00</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1,371.46</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1,001.27</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370.19</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54.46</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54.46</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54.46</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54.46</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1,251.12</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935.39</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315.73</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疾病预防控制机构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951.27</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935.39</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15.88</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23.42</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23.42</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重大公共卫生服务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276.26</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276.26</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其他公共卫生支出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0.17</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0.17</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65.88</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65.88</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52.44</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52.44</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13.44</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13.44</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64.82</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64.82</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64.82</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64.82</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64.82</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64.82</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1"/>
          <w:szCs w:val="21"/>
        </w:rPr>
        <w:br w:type="page"/>
      </w:r>
    </w:p>
    <w:tbl>
      <w:tblPr>
        <w:tblStyle w:val="11"/>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rPr>
              <w:t>秀山土家族苗族自治县疾病预防控制中心</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06</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1,179.50</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59.80</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1.18</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285.62</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4.31</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56.17</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1.18</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3.06</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515.19</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3.36</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121.45</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20.88</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61.00</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9.98</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52.44</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1.63</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1.43</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64.82</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18.12</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3.44</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98.98</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1.44</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0.20</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0.04</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89.90</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6.16</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9.08</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2.75</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5.10</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0.69</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1,278.48</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60.99</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rPr>
              <w:t>秀山土家族苗族自治县疾病预防控制中心</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07</w:t>
            </w:r>
            <w:r>
              <w:rPr>
                <w:rFonts w:cs="宋体"/>
                <w:color w:val="000000"/>
                <w:sz w:val="20"/>
                <w:szCs w:val="20"/>
              </w:rPr>
              <w:t>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rPr>
              <w:t>秀山土家族苗族自治县疾病预防控制中心</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08</w:t>
            </w:r>
            <w:r>
              <w:rPr>
                <w:rFonts w:cs="宋体"/>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hint="default" w:cs="宋体"/>
          <w:sz w:val="21"/>
          <w:szCs w:val="21"/>
        </w:rPr>
        <w:br w:type="page"/>
      </w:r>
    </w:p>
    <w:tbl>
      <w:tblPr>
        <w:tblStyle w:val="11"/>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cs="宋体"/>
                <w:kern w:val="2"/>
                <w:sz w:val="20"/>
                <w:szCs w:val="20"/>
              </w:rPr>
              <w:t>单位</w:t>
            </w:r>
            <w:r>
              <w:rPr>
                <w:rFonts w:cs="宋体"/>
                <w:color w:val="000000"/>
                <w:kern w:val="2"/>
                <w:sz w:val="20"/>
                <w:szCs w:val="20"/>
              </w:rPr>
              <w:t>：</w:t>
            </w:r>
            <w:r>
              <w:rPr>
                <w:color w:val="000000"/>
                <w:sz w:val="20"/>
              </w:rPr>
              <w:t>秀山土家族苗族自治县疾病预防控制中心</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0.20</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0.20</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4</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0.20</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0.20</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0.20</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5</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4</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20</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2.96</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16.49</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jc w:val="right"/>
              <w:rPr>
                <w:rFonts w:hint="default" w:cs="宋体"/>
                <w:color w:val="000000"/>
                <w:sz w:val="16"/>
                <w:szCs w:val="16"/>
              </w:rPr>
            </w:pPr>
          </w:p>
        </w:tc>
      </w:tr>
    </w:tbl>
    <w:p>
      <w:pPr>
        <w:rPr>
          <w:rFonts w:hint="default"/>
          <w:sz w:val="18"/>
          <w:szCs w:val="18"/>
        </w:rPr>
      </w:pPr>
      <w:r>
        <w:rPr>
          <w:rFonts w:cs="宋体"/>
          <w:sz w:val="18"/>
          <w:szCs w:val="18"/>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rPr>
    </w:pPr>
    <w:r>
      <w:rPr>
        <w:rFonts w:hint="default"/>
      </w:rPr>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weight="0.5pt" joinstyle="miter"/>
          <v:imagedata o:title=""/>
          <o:lock v:ext="edit"/>
          <v:textbox inset="0mm,0mm,0mm,0mm" style="mso-fit-shape-to-text:t;">
            <w:txbxContent>
              <w:p>
                <w:pPr>
                  <w:pStyle w:val="5"/>
                  <w:rPr>
                    <w:rFonts w:hint="default"/>
                  </w:rPr>
                </w:pPr>
                <w:r>
                  <w:rPr>
                    <w:rFonts w:hint="default"/>
                  </w:rPr>
                  <w:fldChar w:fldCharType="begin"/>
                </w:r>
                <w:r>
                  <w:instrText xml:space="preserve"> PAGE  \* MERGEFORMAT </w:instrText>
                </w:r>
                <w:r>
                  <w:rPr>
                    <w:rFonts w:hint="default"/>
                  </w:rPr>
                  <w:fldChar w:fldCharType="separate"/>
                </w:r>
                <w:r>
                  <w:rPr>
                    <w:rFonts w:hint="default"/>
                  </w:rPr>
                  <w:t>- 11 -</w:t>
                </w:r>
                <w:r>
                  <w:rPr>
                    <w:rFonts w:hint="default"/>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w:rPr>
        <w:rFonts w:hint="default"/>
      </w:rPr>
      <w:pict>
        <v:shape id="_x0000_s1028" o:spid="_x0000_s1028" o:spt="202" type="#_x0000_t202" style="position:absolute;left:0pt;margin-top:0pt;height:144pt;width:144pt;mso-position-horizontal:center;mso-position-horizontal-relative:margin;mso-wrap-style:none;z-index:251664384;mso-width-relative:page;mso-height-relative:page;" filled="f" stroked="f" coordsize="21600,21600" o:allowoverlap="f">
          <v:path/>
          <v:fill on="f" focussize="0,0"/>
          <v:stroke on="f" weight="0.5pt" joinstyle="miter"/>
          <v:imagedata o:title=""/>
          <o:lock v:ext="edit"/>
          <v:textbox inset="0mm,0mm,0mm,0mm" style="mso-fit-shape-to-text:t;">
            <w:txbxContent>
              <w:p>
                <w:pPr>
                  <w:pStyle w:val="5"/>
                  <w:rPr>
                    <w:rFonts w:hint="default"/>
                  </w:rPr>
                </w:pPr>
                <w:r>
                  <w:rPr>
                    <w:rFonts w:hint="default"/>
                  </w:rPr>
                  <w:fldChar w:fldCharType="begin"/>
                </w:r>
                <w:r>
                  <w:instrText xml:space="preserve">PAGE   \* MERGEFORMAT</w:instrText>
                </w:r>
                <w:r>
                  <w:rPr>
                    <w:rFonts w:hint="default"/>
                  </w:rPr>
                  <w:fldChar w:fldCharType="separate"/>
                </w:r>
                <w:r>
                  <w:rPr>
                    <w:rFonts w:hint="default"/>
                    <w:lang w:val="zh-CN"/>
                  </w:rPr>
                  <w:t>-</w:t>
                </w:r>
                <w:r>
                  <w:rPr>
                    <w:rFonts w:hint="default"/>
                  </w:rPr>
                  <w:t xml:space="preserve"> 25 -</w:t>
                </w:r>
                <w:r>
                  <w:rPr>
                    <w:rFonts w:hint="default"/>
                  </w:rPr>
                  <w:fldChar w:fldCharType="end"/>
                </w:r>
              </w:p>
            </w:txbxContent>
          </v:textbox>
        </v:shape>
      </w:pict>
    </w:r>
    <w:r>
      <w:rPr>
        <w:rFonts w:hint="default"/>
      </w:rPr>
      <w:pict>
        <v:shape id="_x0000_s1027" o:spid="_x0000_s1027" o:spt="202" type="#_x0000_t202" style="position:absolute;left:0pt;margin-top:1160.4pt;height:17.4pt;width:144pt;mso-position-horizontal:center;mso-position-horizontal-relative:margin;mso-position-vertical-relative:page;mso-wrap-style:none;z-index:251663360;mso-width-relative:page;mso-height-relative:page;" filled="f" stroked="f" coordsize="21600,21600" o:allowoverlap="f">
          <v:path/>
          <v:fill on="f" focussize="0,0"/>
          <v:stroke on="f" weight="0.5pt" joinstyle="miter"/>
          <v:imagedata o:title=""/>
          <o:lock v:ext="edit"/>
          <v:textbox inset="0mm,0mm,0mm,0mm">
            <w:txbxContent>
              <w:p>
                <w:pPr>
                  <w:pStyle w:val="5"/>
                  <w:jc w:val="both"/>
                  <w:rPr>
                    <w:rFonts w:hint="default" w:cs="宋体"/>
                  </w:rPr>
                </w:pPr>
                <w:r>
                  <w:rPr>
                    <w:rFonts w:cs="宋体"/>
                  </w:rPr>
                  <w:t>— 27.1 —</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HorizontalSpacing w:val="120"/>
  <w:drawingGridVerticalSpacing w:val="164"/>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QwYWQ1YTE0ZDA0NjgxYzlhMjZlMDExNTFmMWI3MmEifQ=="/>
  </w:docVars>
  <w:rsids>
    <w:rsidRoot w:val="00B03CCD"/>
    <w:rsid w:val="000239C6"/>
    <w:rsid w:val="00107750"/>
    <w:rsid w:val="001D3BB7"/>
    <w:rsid w:val="002923A5"/>
    <w:rsid w:val="002B254B"/>
    <w:rsid w:val="00313BEB"/>
    <w:rsid w:val="0034050A"/>
    <w:rsid w:val="0044504F"/>
    <w:rsid w:val="00466C9B"/>
    <w:rsid w:val="00477F83"/>
    <w:rsid w:val="00486CFC"/>
    <w:rsid w:val="00491DDD"/>
    <w:rsid w:val="00550ABE"/>
    <w:rsid w:val="00574C8E"/>
    <w:rsid w:val="005B1480"/>
    <w:rsid w:val="00623A85"/>
    <w:rsid w:val="006D72B7"/>
    <w:rsid w:val="00770383"/>
    <w:rsid w:val="007819D4"/>
    <w:rsid w:val="007A1055"/>
    <w:rsid w:val="007B419D"/>
    <w:rsid w:val="007B4F9C"/>
    <w:rsid w:val="007B7C4B"/>
    <w:rsid w:val="007D3D39"/>
    <w:rsid w:val="007F4C9D"/>
    <w:rsid w:val="00883083"/>
    <w:rsid w:val="00896D0C"/>
    <w:rsid w:val="008C57AC"/>
    <w:rsid w:val="008D3DA5"/>
    <w:rsid w:val="009645D8"/>
    <w:rsid w:val="00984655"/>
    <w:rsid w:val="00984C6A"/>
    <w:rsid w:val="00994AF7"/>
    <w:rsid w:val="009B67B8"/>
    <w:rsid w:val="009C14C9"/>
    <w:rsid w:val="009D2B67"/>
    <w:rsid w:val="009E1452"/>
    <w:rsid w:val="00A566F9"/>
    <w:rsid w:val="00AF2751"/>
    <w:rsid w:val="00B03CCD"/>
    <w:rsid w:val="00BA7A5D"/>
    <w:rsid w:val="00BE2B89"/>
    <w:rsid w:val="00BF0D89"/>
    <w:rsid w:val="00BF741D"/>
    <w:rsid w:val="00C10E9E"/>
    <w:rsid w:val="00C20C3E"/>
    <w:rsid w:val="00C5163E"/>
    <w:rsid w:val="00CF2ACF"/>
    <w:rsid w:val="00D03AAF"/>
    <w:rsid w:val="00D533BF"/>
    <w:rsid w:val="00DD0539"/>
    <w:rsid w:val="00DF5EA9"/>
    <w:rsid w:val="00E07662"/>
    <w:rsid w:val="00E368E9"/>
    <w:rsid w:val="00E5354F"/>
    <w:rsid w:val="00EE1E33"/>
    <w:rsid w:val="00F73F90"/>
    <w:rsid w:val="00FB4B3B"/>
    <w:rsid w:val="01474EBF"/>
    <w:rsid w:val="01F3521E"/>
    <w:rsid w:val="036E2DA9"/>
    <w:rsid w:val="03B87EA0"/>
    <w:rsid w:val="03E3214F"/>
    <w:rsid w:val="044C50BA"/>
    <w:rsid w:val="05BC6D49"/>
    <w:rsid w:val="06194FF1"/>
    <w:rsid w:val="06A2550B"/>
    <w:rsid w:val="06F80EE2"/>
    <w:rsid w:val="07001CCA"/>
    <w:rsid w:val="075678DB"/>
    <w:rsid w:val="07967316"/>
    <w:rsid w:val="079D7CC7"/>
    <w:rsid w:val="08051BCA"/>
    <w:rsid w:val="086C12F4"/>
    <w:rsid w:val="08705944"/>
    <w:rsid w:val="08BA052C"/>
    <w:rsid w:val="08DB07BA"/>
    <w:rsid w:val="0969353F"/>
    <w:rsid w:val="098305D0"/>
    <w:rsid w:val="09B1218B"/>
    <w:rsid w:val="0A3317EA"/>
    <w:rsid w:val="0A5C4B69"/>
    <w:rsid w:val="0A86124A"/>
    <w:rsid w:val="0AB54CC0"/>
    <w:rsid w:val="0B4176B6"/>
    <w:rsid w:val="0B9335CE"/>
    <w:rsid w:val="0BF2311A"/>
    <w:rsid w:val="0C7927C4"/>
    <w:rsid w:val="0C9B098C"/>
    <w:rsid w:val="0D673E11"/>
    <w:rsid w:val="0DDA54E4"/>
    <w:rsid w:val="0E2C781C"/>
    <w:rsid w:val="0E3A5F83"/>
    <w:rsid w:val="0F836721"/>
    <w:rsid w:val="0FA25D96"/>
    <w:rsid w:val="0FBD3C60"/>
    <w:rsid w:val="107B59E5"/>
    <w:rsid w:val="10EC0126"/>
    <w:rsid w:val="10F70B9A"/>
    <w:rsid w:val="111445C7"/>
    <w:rsid w:val="114278C6"/>
    <w:rsid w:val="1158083A"/>
    <w:rsid w:val="11643A4B"/>
    <w:rsid w:val="11ED0F98"/>
    <w:rsid w:val="11F03528"/>
    <w:rsid w:val="123E07B4"/>
    <w:rsid w:val="12C921C4"/>
    <w:rsid w:val="13871C70"/>
    <w:rsid w:val="13A71CB4"/>
    <w:rsid w:val="13AF1D43"/>
    <w:rsid w:val="13CE1647"/>
    <w:rsid w:val="13FD55AB"/>
    <w:rsid w:val="14200702"/>
    <w:rsid w:val="14370EA1"/>
    <w:rsid w:val="145D6F41"/>
    <w:rsid w:val="163A6CEE"/>
    <w:rsid w:val="173708E3"/>
    <w:rsid w:val="17C374FC"/>
    <w:rsid w:val="182E4AB6"/>
    <w:rsid w:val="189079DC"/>
    <w:rsid w:val="189B0D0B"/>
    <w:rsid w:val="18B43F7C"/>
    <w:rsid w:val="191C433B"/>
    <w:rsid w:val="194A1770"/>
    <w:rsid w:val="19B906A4"/>
    <w:rsid w:val="19EF0268"/>
    <w:rsid w:val="1A192813"/>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1556F04"/>
    <w:rsid w:val="22403BD3"/>
    <w:rsid w:val="235417B6"/>
    <w:rsid w:val="24B92327"/>
    <w:rsid w:val="24C14514"/>
    <w:rsid w:val="2533755C"/>
    <w:rsid w:val="25791755"/>
    <w:rsid w:val="25B52F92"/>
    <w:rsid w:val="25F80D86"/>
    <w:rsid w:val="26396DF4"/>
    <w:rsid w:val="27167136"/>
    <w:rsid w:val="271B442C"/>
    <w:rsid w:val="27B23302"/>
    <w:rsid w:val="29310A5F"/>
    <w:rsid w:val="29C37A35"/>
    <w:rsid w:val="2A076083"/>
    <w:rsid w:val="2A73162E"/>
    <w:rsid w:val="2B167953"/>
    <w:rsid w:val="2B200583"/>
    <w:rsid w:val="2B8209DE"/>
    <w:rsid w:val="2B821C91"/>
    <w:rsid w:val="2BF81A22"/>
    <w:rsid w:val="2C636760"/>
    <w:rsid w:val="2C6762A3"/>
    <w:rsid w:val="2DF41D09"/>
    <w:rsid w:val="2FC3143C"/>
    <w:rsid w:val="2FCA4B37"/>
    <w:rsid w:val="2FE029D7"/>
    <w:rsid w:val="2FF06E00"/>
    <w:rsid w:val="30586FEC"/>
    <w:rsid w:val="315F0B22"/>
    <w:rsid w:val="31D84415"/>
    <w:rsid w:val="32285F6F"/>
    <w:rsid w:val="32770556"/>
    <w:rsid w:val="329C0913"/>
    <w:rsid w:val="32AA0460"/>
    <w:rsid w:val="3337290D"/>
    <w:rsid w:val="33E31118"/>
    <w:rsid w:val="33EF7674"/>
    <w:rsid w:val="342D7BC6"/>
    <w:rsid w:val="346E0520"/>
    <w:rsid w:val="352930DB"/>
    <w:rsid w:val="35573069"/>
    <w:rsid w:val="355F6038"/>
    <w:rsid w:val="358C217E"/>
    <w:rsid w:val="36C9128A"/>
    <w:rsid w:val="37841E99"/>
    <w:rsid w:val="37BF1123"/>
    <w:rsid w:val="383C3F15"/>
    <w:rsid w:val="38BE4696"/>
    <w:rsid w:val="3939115E"/>
    <w:rsid w:val="39AB7AFE"/>
    <w:rsid w:val="39B82A39"/>
    <w:rsid w:val="39C42CA8"/>
    <w:rsid w:val="39DC4FD6"/>
    <w:rsid w:val="39F03D7A"/>
    <w:rsid w:val="39F33306"/>
    <w:rsid w:val="3A2C1C67"/>
    <w:rsid w:val="3A2C6DA1"/>
    <w:rsid w:val="3A6A77C9"/>
    <w:rsid w:val="3ADD7F09"/>
    <w:rsid w:val="3B1705E5"/>
    <w:rsid w:val="3B18334B"/>
    <w:rsid w:val="3B36794F"/>
    <w:rsid w:val="3B6F6EE0"/>
    <w:rsid w:val="3C566AD6"/>
    <w:rsid w:val="3C594871"/>
    <w:rsid w:val="3C6A5B02"/>
    <w:rsid w:val="3D2757A1"/>
    <w:rsid w:val="3D3D4FC4"/>
    <w:rsid w:val="3DDF3AB1"/>
    <w:rsid w:val="3E1D0952"/>
    <w:rsid w:val="3E42660A"/>
    <w:rsid w:val="3E7555B1"/>
    <w:rsid w:val="3E787ED9"/>
    <w:rsid w:val="3F032E93"/>
    <w:rsid w:val="3F0527E5"/>
    <w:rsid w:val="3F4C52C6"/>
    <w:rsid w:val="3F694D83"/>
    <w:rsid w:val="3F885DCC"/>
    <w:rsid w:val="3FCD675E"/>
    <w:rsid w:val="4004000C"/>
    <w:rsid w:val="40BD5482"/>
    <w:rsid w:val="40E55347"/>
    <w:rsid w:val="411B6CE5"/>
    <w:rsid w:val="412070D7"/>
    <w:rsid w:val="41314E40"/>
    <w:rsid w:val="41E0734B"/>
    <w:rsid w:val="426C1EA8"/>
    <w:rsid w:val="42736402"/>
    <w:rsid w:val="42E86A87"/>
    <w:rsid w:val="43307B09"/>
    <w:rsid w:val="436D44AF"/>
    <w:rsid w:val="439A3EB9"/>
    <w:rsid w:val="43A2191B"/>
    <w:rsid w:val="43BB152F"/>
    <w:rsid w:val="44C37687"/>
    <w:rsid w:val="45CB699A"/>
    <w:rsid w:val="46423C66"/>
    <w:rsid w:val="465B470D"/>
    <w:rsid w:val="469D6AD4"/>
    <w:rsid w:val="471E6C84"/>
    <w:rsid w:val="4748792B"/>
    <w:rsid w:val="475D719D"/>
    <w:rsid w:val="47674801"/>
    <w:rsid w:val="48225EF7"/>
    <w:rsid w:val="488F422B"/>
    <w:rsid w:val="48E36915"/>
    <w:rsid w:val="48EB6572"/>
    <w:rsid w:val="495C4A24"/>
    <w:rsid w:val="497135DF"/>
    <w:rsid w:val="4A263DF2"/>
    <w:rsid w:val="4A2F278B"/>
    <w:rsid w:val="4A6F6675"/>
    <w:rsid w:val="4B135857"/>
    <w:rsid w:val="4B7951CB"/>
    <w:rsid w:val="4B7C315C"/>
    <w:rsid w:val="4C9316A8"/>
    <w:rsid w:val="4CA226B0"/>
    <w:rsid w:val="4D1F53CA"/>
    <w:rsid w:val="4DAC4ACA"/>
    <w:rsid w:val="4DBE01D2"/>
    <w:rsid w:val="4F0C6BA3"/>
    <w:rsid w:val="4F186D58"/>
    <w:rsid w:val="4FF06082"/>
    <w:rsid w:val="50F06B6E"/>
    <w:rsid w:val="51D10764"/>
    <w:rsid w:val="51D21804"/>
    <w:rsid w:val="52117987"/>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829E0"/>
    <w:rsid w:val="555A3CBC"/>
    <w:rsid w:val="5582012B"/>
    <w:rsid w:val="558E4E05"/>
    <w:rsid w:val="55BE2E85"/>
    <w:rsid w:val="56530F5D"/>
    <w:rsid w:val="567700D3"/>
    <w:rsid w:val="569E5A73"/>
    <w:rsid w:val="56FF7E9E"/>
    <w:rsid w:val="578867FC"/>
    <w:rsid w:val="5842572D"/>
    <w:rsid w:val="5A3B59D6"/>
    <w:rsid w:val="5AD134D8"/>
    <w:rsid w:val="5BF41F67"/>
    <w:rsid w:val="5C263CE4"/>
    <w:rsid w:val="5C5D2777"/>
    <w:rsid w:val="5CF66BF3"/>
    <w:rsid w:val="5D290C69"/>
    <w:rsid w:val="5DA80C2C"/>
    <w:rsid w:val="5F2D4A41"/>
    <w:rsid w:val="60C74F6C"/>
    <w:rsid w:val="61015958"/>
    <w:rsid w:val="61025A59"/>
    <w:rsid w:val="613D5BBC"/>
    <w:rsid w:val="61536C39"/>
    <w:rsid w:val="61894431"/>
    <w:rsid w:val="62944DD7"/>
    <w:rsid w:val="6319381F"/>
    <w:rsid w:val="63C25DC5"/>
    <w:rsid w:val="63C62057"/>
    <w:rsid w:val="64571EF5"/>
    <w:rsid w:val="64FB113D"/>
    <w:rsid w:val="656152C6"/>
    <w:rsid w:val="6587477F"/>
    <w:rsid w:val="658C3A08"/>
    <w:rsid w:val="65C031CA"/>
    <w:rsid w:val="65CE6852"/>
    <w:rsid w:val="66267C04"/>
    <w:rsid w:val="663F505A"/>
    <w:rsid w:val="66AF5D7C"/>
    <w:rsid w:val="66EE5541"/>
    <w:rsid w:val="67924660"/>
    <w:rsid w:val="68407834"/>
    <w:rsid w:val="6883293E"/>
    <w:rsid w:val="688412AD"/>
    <w:rsid w:val="68EB1B71"/>
    <w:rsid w:val="696C0310"/>
    <w:rsid w:val="6A6C7940"/>
    <w:rsid w:val="6A9F1565"/>
    <w:rsid w:val="6AAD2300"/>
    <w:rsid w:val="6B474EF5"/>
    <w:rsid w:val="6B8733AC"/>
    <w:rsid w:val="6C0A5AC5"/>
    <w:rsid w:val="6C560CAE"/>
    <w:rsid w:val="6C576495"/>
    <w:rsid w:val="6D903FF5"/>
    <w:rsid w:val="6DA955B8"/>
    <w:rsid w:val="6DE346AB"/>
    <w:rsid w:val="6DE5391A"/>
    <w:rsid w:val="6EFD1324"/>
    <w:rsid w:val="6F5A53AC"/>
    <w:rsid w:val="6FAC003D"/>
    <w:rsid w:val="6FD926BF"/>
    <w:rsid w:val="6FE55E12"/>
    <w:rsid w:val="6FFB2E76"/>
    <w:rsid w:val="708F6F7F"/>
    <w:rsid w:val="70D94BD3"/>
    <w:rsid w:val="71574775"/>
    <w:rsid w:val="71C34D91"/>
    <w:rsid w:val="72DB435C"/>
    <w:rsid w:val="72E2613A"/>
    <w:rsid w:val="72F771F4"/>
    <w:rsid w:val="73934AD2"/>
    <w:rsid w:val="74F80ED3"/>
    <w:rsid w:val="750837F0"/>
    <w:rsid w:val="754758CF"/>
    <w:rsid w:val="75595ECD"/>
    <w:rsid w:val="764F62AB"/>
    <w:rsid w:val="765C45EC"/>
    <w:rsid w:val="768A7619"/>
    <w:rsid w:val="772E1EBA"/>
    <w:rsid w:val="781926BC"/>
    <w:rsid w:val="78BF498A"/>
    <w:rsid w:val="796D60A4"/>
    <w:rsid w:val="797A664A"/>
    <w:rsid w:val="79A031D5"/>
    <w:rsid w:val="79B47FDF"/>
    <w:rsid w:val="79E569A9"/>
    <w:rsid w:val="7A1525F7"/>
    <w:rsid w:val="7B420052"/>
    <w:rsid w:val="7BD06A28"/>
    <w:rsid w:val="7C3A7C0B"/>
    <w:rsid w:val="7C5248E4"/>
    <w:rsid w:val="7C566698"/>
    <w:rsid w:val="7C5866A3"/>
    <w:rsid w:val="7D7406BB"/>
    <w:rsid w:val="7DE94331"/>
    <w:rsid w:val="7F446A19"/>
    <w:rsid w:val="7F7452B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9">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val="0"/>
      <w:ind w:left="101" w:firstLine="679"/>
    </w:pPr>
    <w:rPr>
      <w:rFonts w:ascii="Arial" w:hAnsi="Arial" w:cs="Times New Roman"/>
      <w:sz w:val="34"/>
      <w:szCs w:val="34"/>
    </w:rPr>
  </w:style>
  <w:style w:type="paragraph" w:styleId="3">
    <w:name w:val="Date"/>
    <w:basedOn w:val="1"/>
    <w:next w:val="1"/>
    <w:qFormat/>
    <w:uiPriority w:val="0"/>
    <w:pPr>
      <w:ind w:left="100" w:leftChars="25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8">
    <w:name w:val="Normal (Web)"/>
    <w:basedOn w:val="1"/>
    <w:unhideWhenUsed/>
    <w:qFormat/>
    <w:uiPriority w:val="0"/>
    <w:pPr>
      <w:spacing w:before="100" w:beforeAutospacing="1" w:after="100" w:afterAutospacing="1"/>
    </w:pPr>
  </w:style>
  <w:style w:type="character" w:styleId="10">
    <w:name w:val="Strong"/>
    <w:qFormat/>
    <w:uiPriority w:val="0"/>
    <w:rPr>
      <w:b/>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列出段落1"/>
    <w:basedOn w:val="1"/>
    <w:qFormat/>
    <w:uiPriority w:val="99"/>
    <w:pPr>
      <w:ind w:firstLine="420" w:firstLineChars="200"/>
    </w:pPr>
    <w:rPr>
      <w:rFonts w:hint="default"/>
    </w:rPr>
  </w:style>
  <w:style w:type="paragraph" w:customStyle="1" w:styleId="14">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5">
    <w:name w:val="21"/>
    <w:qFormat/>
    <w:uiPriority w:val="0"/>
    <w:rPr>
      <w:rFonts w:hint="default" w:ascii="Wingdings" w:hAnsi="Wingdings" w:cs="Wingdings"/>
      <w:b/>
      <w:bCs/>
    </w:rPr>
  </w:style>
  <w:style w:type="paragraph" w:customStyle="1" w:styleId="16">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7">
    <w:name w:val="批注框文本 Char"/>
    <w:basedOn w:val="9"/>
    <w:link w:val="4"/>
    <w:qFormat/>
    <w:uiPriority w:val="0"/>
    <w:rPr>
      <w:rFonts w:ascii="宋体" w:hAnsi="宋体"/>
      <w:sz w:val="18"/>
      <w:szCs w:val="18"/>
    </w:rPr>
  </w:style>
  <w:style w:type="paragraph" w:customStyle="1" w:styleId="18">
    <w:name w:val="列出段落3"/>
    <w:qFormat/>
    <w:uiPriority w:val="99"/>
    <w:pPr>
      <w:ind w:firstLine="420" w:firstLineChars="200"/>
    </w:pPr>
    <w:rPr>
      <w:rFonts w:ascii="宋体" w:hAnsi="宋体" w:eastAsia="宋体" w:cs="Times New Roman"/>
      <w:sz w:val="24"/>
      <w:szCs w:val="24"/>
      <w:lang w:val="en-US" w:eastAsia="zh-CN" w:bidi="ar-SA"/>
    </w:rPr>
  </w:style>
  <w:style w:type="paragraph" w:styleId="1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Company>
  <Pages>25</Pages>
  <Words>9154</Words>
  <Characters>5075</Characters>
  <Lines>42</Lines>
  <Paragraphs>28</Paragraphs>
  <TotalTime>1</TotalTime>
  <ScaleCrop>false</ScaleCrop>
  <LinksUpToDate>false</LinksUpToDate>
  <CharactersWithSpaces>14201</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2025-09-23T06:47:00Z</dcterms:created>
  <dc:creator>Administrator</dc:creator>
  <cp:lastModifiedBy>龚盼</cp:lastModifiedBy>
  <dcterms:modified xsi:type="dcterms:W3CDTF">2025-10-14T07:15:56Z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