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596" w:lineRule="exact"/>
        <w:jc w:val="center"/>
        <w:rPr>
          <w:rFonts w:hint="default" w:ascii="方正小标宋_GBK" w:hAnsi="方正小标宋_GBK" w:eastAsia="方正小标宋_GBK" w:cs="方正小标宋_GBK"/>
          <w:sz w:val="36"/>
          <w:szCs w:val="36"/>
        </w:rPr>
      </w:pP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秀山土家族苗族自治县妇女儿童医院</w:t>
      </w: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2024年度决算公开说明</w:t>
      </w:r>
    </w:p>
    <w:p>
      <w:pPr>
        <w:pStyle w:val="6"/>
        <w:spacing w:before="0" w:beforeAutospacing="0" w:after="0" w:afterAutospacing="0" w:line="596" w:lineRule="exact"/>
        <w:jc w:val="center"/>
        <w:rPr>
          <w:rFonts w:hint="default" w:ascii="方正小标宋_GBK" w:hAnsi="方正小标宋_GBK" w:eastAsia="方正小标宋_GBK" w:cs="方正小标宋_GBK"/>
          <w:sz w:val="36"/>
          <w:szCs w:val="36"/>
          <w:shd w:val="clear" w:color="auto" w:fill="FFFFFF"/>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一、单位基本情况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楷体_GBK" w:hAnsi="方正楷体_GBK" w:eastAsia="方正楷体_GBK" w:cs="方正楷体_GBK"/>
          <w:b w:val="0"/>
          <w:bCs/>
          <w:sz w:val="32"/>
          <w:szCs w:val="32"/>
        </w:rPr>
      </w:pPr>
      <w:r>
        <w:rPr>
          <w:rStyle w:val="8"/>
          <w:rFonts w:hint="eastAsia" w:ascii="方正楷体_GBK" w:hAnsi="方正楷体_GBK" w:eastAsia="方正楷体_GBK" w:cs="方正楷体_GBK"/>
          <w:b w:val="0"/>
          <w:bCs/>
          <w:sz w:val="32"/>
          <w:szCs w:val="32"/>
          <w:shd w:val="clear" w:color="auto" w:fill="FFFFFF"/>
        </w:rPr>
        <w:t>（一）职能职责</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1.</w:t>
      </w:r>
      <w:r>
        <w:rPr>
          <w:rFonts w:hint="default" w:ascii="Times New Roman" w:hAnsi="Times New Roman" w:eastAsia="方正仿宋_GBK"/>
          <w:sz w:val="32"/>
          <w:szCs w:val="32"/>
        </w:rPr>
        <w:t>贯彻执行国家医疗卫生工作的方针政策好，坚持公益性，保障人民身体健康，推动卫生事业健康发展</w:t>
      </w:r>
      <w:r>
        <w:rPr>
          <w:rFonts w:ascii="Times New Roman" w:hAnsi="Times New Roman" w:eastAsia="方正仿宋_GBK"/>
          <w:sz w:val="32"/>
          <w:szCs w:val="32"/>
        </w:rPr>
        <w:t>。</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2.</w:t>
      </w:r>
      <w:r>
        <w:rPr>
          <w:rFonts w:hint="default" w:ascii="Times New Roman" w:hAnsi="Times New Roman" w:eastAsia="方正仿宋_GBK"/>
          <w:sz w:val="32"/>
          <w:szCs w:val="32"/>
        </w:rPr>
        <w:t>开展妇女儿童健康教育与健康促进工作；根据要求和条件，开展妇女和儿童保健服务；对基层医疗机构开展业务指导，并提供技术支持。</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3.</w:t>
      </w:r>
      <w:r>
        <w:rPr>
          <w:rFonts w:hint="default" w:ascii="Times New Roman" w:hAnsi="Times New Roman" w:eastAsia="方正仿宋_GBK"/>
          <w:sz w:val="32"/>
          <w:szCs w:val="32"/>
        </w:rPr>
        <w:t>提供以下基本医疗服务：包括妇女和儿童常见疾病的检查和诊治、计划生育技术服务、产前筛查、新生儿疾病筛查、助产技术服务等，根据需要和条件，开展产前诊断、产科并发症处理、新生儿危急重症救治等。</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4.</w:t>
      </w:r>
      <w:r>
        <w:rPr>
          <w:rFonts w:hint="default" w:ascii="Times New Roman" w:hAnsi="Times New Roman" w:eastAsia="方正仿宋_GBK"/>
          <w:sz w:val="32"/>
          <w:szCs w:val="32"/>
        </w:rPr>
        <w:t>开展妇幼卫生、生殖健康的应用性科学研究并组织推广适宜技术；承担妇女儿童应急救治工作和法定传染病的初诊工作。</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bookmarkStart w:id="0" w:name="OLE_LINK1"/>
      <w:r>
        <w:rPr>
          <w:rFonts w:ascii="Times New Roman" w:hAnsi="Times New Roman" w:eastAsia="方正仿宋_GBK"/>
          <w:sz w:val="32"/>
          <w:szCs w:val="32"/>
        </w:rPr>
        <w:t>5.</w:t>
      </w:r>
      <w:r>
        <w:rPr>
          <w:rFonts w:hint="default" w:ascii="Times New Roman" w:hAnsi="Times New Roman" w:eastAsia="方正仿宋_GBK"/>
          <w:sz w:val="32"/>
          <w:szCs w:val="32"/>
        </w:rPr>
        <w:t>完成县卫生健康委交办的其他事项。</w:t>
      </w:r>
      <w:bookmarkEnd w:id="0"/>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（二）机构设置</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方正仿宋_GBK" w:hAnsi="Times New Roman" w:eastAsia="方正仿宋_GBK"/>
          <w:sz w:val="32"/>
          <w:szCs w:val="32"/>
        </w:rPr>
      </w:pPr>
      <w:r>
        <w:rPr>
          <w:rFonts w:ascii="方正仿宋_GBK" w:hAnsi="Times New Roman" w:eastAsia="方正仿宋_GBK"/>
          <w:sz w:val="32"/>
          <w:szCs w:val="32"/>
        </w:rPr>
        <w:t>本单位和保健院共同下设党政办、财务科、人事科、审计科、医务科、护理部、药械科、总务科、群体保健科、医保物价科、网络信息科、绩效考核办、感染控制科、公共卫生科、避孕药具管理科、产科、妇科、儿科、中医科、儿童保健科、儿童康复科、麻醉科、医学影像科、医学检验科、消毒供应室、药房、收费室。</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二、单位决算收支情况说明</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（一）收入支出决算总体情况说明</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年度收、支总计均为</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收、支与2023年度相比，增加181.77万元，增长21.4%</w:t>
      </w:r>
      <w:r>
        <w:rPr>
          <w:rFonts w:ascii="方正仿宋_GBK" w:hAnsi="方正仿宋_GBK" w:eastAsia="方正仿宋_GBK" w:cs="方正仿宋_GBK"/>
          <w:sz w:val="32"/>
          <w:szCs w:val="32"/>
          <w:shd w:val="clear" w:color="auto" w:fill="FFFFFF"/>
        </w:rPr>
        <w:t>，主要原因是</w:t>
      </w:r>
      <w:bookmarkStart w:id="1" w:name="OLE_LINK9"/>
      <w:bookmarkStart w:id="2" w:name="OLE_LINK8"/>
      <w:bookmarkStart w:id="3" w:name="OLE_LINK5"/>
      <w:bookmarkStart w:id="4" w:name="OLE_LINK4"/>
      <w:r>
        <w:rPr>
          <w:rFonts w:ascii="方正仿宋_GBK" w:hAnsi="方正仿宋_GBK" w:eastAsia="方正仿宋_GBK" w:cs="方正仿宋_GBK"/>
          <w:sz w:val="32"/>
          <w:szCs w:val="32"/>
          <w:shd w:val="clear" w:color="auto" w:fill="FFFFFF"/>
        </w:rPr>
        <w:t>收到项目收入30万元</w:t>
      </w:r>
      <w:bookmarkEnd w:id="1"/>
      <w:bookmarkEnd w:id="2"/>
      <w:r>
        <w:rPr>
          <w:rFonts w:ascii="方正仿宋_GBK" w:hAnsi="方正仿宋_GBK" w:eastAsia="方正仿宋_GBK" w:cs="方正仿宋_GBK"/>
          <w:sz w:val="32"/>
          <w:szCs w:val="32"/>
          <w:shd w:val="clear" w:color="auto" w:fill="FFFFFF"/>
        </w:rPr>
        <w:t>和补缴养老保险和职业年金。</w:t>
      </w:r>
      <w:bookmarkEnd w:id="3"/>
      <w:bookmarkEnd w:id="4"/>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8"/>
          <w:rFonts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与2023年度相比，增加181.77万元，增长21.4%</w:t>
      </w:r>
      <w:r>
        <w:rPr>
          <w:rFonts w:ascii="方正仿宋_GBK" w:hAnsi="方正仿宋_GBK" w:eastAsia="方正仿宋_GBK" w:cs="方正仿宋_GBK"/>
          <w:sz w:val="32"/>
          <w:szCs w:val="32"/>
          <w:shd w:val="clear" w:color="auto" w:fill="FFFFFF"/>
        </w:rPr>
        <w:t>，主要原因是</w:t>
      </w:r>
      <w:bookmarkStart w:id="5" w:name="OLE_LINK6"/>
      <w:bookmarkStart w:id="6" w:name="OLE_LINK7"/>
      <w:r>
        <w:rPr>
          <w:rFonts w:ascii="方正仿宋_GBK" w:hAnsi="方正仿宋_GBK" w:eastAsia="方正仿宋_GBK" w:cs="方正仿宋_GBK"/>
          <w:sz w:val="32"/>
          <w:szCs w:val="32"/>
          <w:shd w:val="clear" w:color="auto" w:fill="FFFFFF"/>
        </w:rPr>
        <w:t>收到项目收入</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bookmarkEnd w:id="5"/>
      <w:bookmarkEnd w:id="6"/>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61.2%</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399.92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38.8%</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Style w:val="8"/>
          <w:rFonts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与2023年度相比，增加181.77万元，增长21.4%</w:t>
      </w:r>
      <w:r>
        <w:rPr>
          <w:rFonts w:ascii="方正仿宋_GBK" w:hAnsi="方正仿宋_GBK" w:eastAsia="方正仿宋_GBK" w:cs="方正仿宋_GBK"/>
          <w:sz w:val="32"/>
          <w:szCs w:val="32"/>
          <w:shd w:val="clear" w:color="auto" w:fill="FFFFFF"/>
        </w:rPr>
        <w:t>，</w:t>
      </w:r>
      <w:bookmarkStart w:id="7" w:name="OLE_LINK12"/>
      <w:r>
        <w:rPr>
          <w:rFonts w:ascii="方正仿宋_GBK" w:hAnsi="方正仿宋_GBK" w:eastAsia="方正仿宋_GBK" w:cs="方正仿宋_GBK"/>
          <w:sz w:val="32"/>
          <w:szCs w:val="32"/>
          <w:shd w:val="clear" w:color="auto" w:fill="FFFFFF"/>
        </w:rPr>
        <w:t>主要原因是项目支出</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bookmarkEnd w:id="7"/>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1001.01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97.1%</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30.00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2.9%</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Style w:val="8"/>
          <w:rFonts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，主要原因是本年度也无结转和结余。</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（二）财政拨款收入支出决算总体情况说明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年度相比，</w:t>
      </w:r>
      <w:r>
        <w:rPr>
          <w:rFonts w:hint="default" w:ascii="Times New Roman" w:hAnsi="Times New Roman" w:eastAsia="方正仿宋_GBK"/>
          <w:sz w:val="32"/>
          <w:szCs w:val="32"/>
          <w:shd w:val="clear" w:color="auto" w:fill="FFFFFF"/>
        </w:rPr>
        <w:t>财政拨款收、支总计各增加110.53万元，增长21.2%</w:t>
      </w:r>
      <w:r>
        <w:rPr>
          <w:rFonts w:ascii="方正仿宋_GBK" w:hAnsi="方正仿宋_GBK" w:eastAsia="方正仿宋_GBK" w:cs="方正仿宋_GBK"/>
          <w:sz w:val="32"/>
          <w:szCs w:val="32"/>
          <w:shd w:val="clear" w:color="auto" w:fill="FFFFFF"/>
        </w:rPr>
        <w:t>。主要原因是</w:t>
      </w:r>
      <w:bookmarkStart w:id="8" w:name="OLE_LINK14"/>
      <w:bookmarkStart w:id="9" w:name="OLE_LINK13"/>
      <w:r>
        <w:rPr>
          <w:rFonts w:ascii="方正仿宋_GBK" w:hAnsi="方正仿宋_GBK" w:eastAsia="方正仿宋_GBK" w:cs="方正仿宋_GBK"/>
          <w:sz w:val="32"/>
          <w:szCs w:val="32"/>
          <w:shd w:val="clear" w:color="auto" w:fill="FFFFFF"/>
        </w:rPr>
        <w:t>收到项目资金</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p>
    <w:bookmarkEnd w:id="8"/>
    <w:bookmarkEnd w:id="9"/>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8"/>
          <w:rFonts w:hint="default"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与2023年度相比，增加110.53万元，增长21.2%</w:t>
      </w:r>
      <w:r>
        <w:rPr>
          <w:rFonts w:ascii="方正仿宋_GBK" w:hAnsi="方正仿宋_GBK" w:eastAsia="方正仿宋_GBK" w:cs="方正仿宋_GBK"/>
          <w:sz w:val="32"/>
          <w:szCs w:val="32"/>
          <w:shd w:val="clear" w:color="auto" w:fill="FFFFFF"/>
        </w:rPr>
        <w:t>。主要原因是收到</w:t>
      </w:r>
      <w:bookmarkStart w:id="10" w:name="OLE_LINK18"/>
      <w:bookmarkStart w:id="11" w:name="OLE_LINK17"/>
      <w:r>
        <w:rPr>
          <w:rFonts w:ascii="方正仿宋_GBK" w:hAnsi="方正仿宋_GBK" w:eastAsia="方正仿宋_GBK" w:cs="方正仿宋_GBK"/>
          <w:sz w:val="32"/>
          <w:szCs w:val="32"/>
          <w:shd w:val="clear" w:color="auto" w:fill="FFFFFF"/>
        </w:rPr>
        <w:t>项目资金</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w:t>
      </w:r>
      <w:bookmarkStart w:id="12" w:name="OLE_LINK15"/>
      <w:bookmarkStart w:id="13" w:name="OLE_LINK16"/>
      <w:r>
        <w:rPr>
          <w:rFonts w:ascii="方正仿宋_GBK" w:hAnsi="方正仿宋_GBK" w:eastAsia="方正仿宋_GBK" w:cs="方正仿宋_GBK"/>
          <w:sz w:val="32"/>
          <w:szCs w:val="32"/>
          <w:shd w:val="clear" w:color="auto" w:fill="FFFFFF"/>
        </w:rPr>
        <w:t>和补缴养老保险和职业年金</w:t>
      </w:r>
      <w:bookmarkEnd w:id="12"/>
      <w:bookmarkEnd w:id="13"/>
      <w:r>
        <w:rPr>
          <w:rFonts w:ascii="方正仿宋_GBK" w:hAnsi="方正仿宋_GBK" w:eastAsia="方正仿宋_GBK" w:cs="方正仿宋_GBK"/>
          <w:sz w:val="32"/>
          <w:szCs w:val="32"/>
          <w:shd w:val="clear" w:color="auto" w:fill="FFFFFF"/>
        </w:rPr>
        <w:t>。</w:t>
      </w:r>
      <w:bookmarkEnd w:id="10"/>
      <w:bookmarkEnd w:id="11"/>
      <w:r>
        <w:rPr>
          <w:rFonts w:hint="default" w:ascii="Times New Roman" w:hAnsi="Times New Roman" w:eastAsia="方正仿宋_GBK"/>
          <w:sz w:val="32"/>
          <w:szCs w:val="32"/>
          <w:shd w:val="clear" w:color="auto" w:fill="FFFFFF"/>
        </w:rPr>
        <w:t>较年初预算数增加61.05万元，增长10.7%</w:t>
      </w:r>
      <w:r>
        <w:rPr>
          <w:rFonts w:ascii="方正仿宋_GBK" w:hAnsi="方正仿宋_GBK" w:eastAsia="方正仿宋_GBK" w:cs="方正仿宋_GBK"/>
          <w:sz w:val="32"/>
          <w:szCs w:val="32"/>
          <w:shd w:val="clear" w:color="auto" w:fill="FFFFFF"/>
        </w:rPr>
        <w:t>。主要原因是</w:t>
      </w:r>
      <w:bookmarkStart w:id="14" w:name="OLE_LINK19"/>
      <w:bookmarkStart w:id="15" w:name="OLE_LINK20"/>
      <w:r>
        <w:rPr>
          <w:rFonts w:ascii="方正仿宋_GBK" w:hAnsi="方正仿宋_GBK" w:eastAsia="方正仿宋_GBK" w:cs="方正仿宋_GBK"/>
          <w:sz w:val="32"/>
          <w:szCs w:val="32"/>
          <w:shd w:val="clear" w:color="auto" w:fill="FFFFFF"/>
        </w:rPr>
        <w:t>补缴养老保险和职业年金。</w:t>
      </w:r>
      <w:bookmarkEnd w:id="14"/>
      <w:bookmarkEnd w:id="15"/>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Style w:val="8"/>
          <w:rFonts w:hint="default"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与2023年度相比，增加110.53万元，增长21.2%</w:t>
      </w:r>
      <w:r>
        <w:rPr>
          <w:rFonts w:ascii="方正仿宋_GBK" w:hAnsi="方正仿宋_GBK" w:eastAsia="方正仿宋_GBK" w:cs="方正仿宋_GBK"/>
          <w:sz w:val="32"/>
          <w:szCs w:val="32"/>
          <w:shd w:val="clear" w:color="auto" w:fill="FFFFFF"/>
        </w:rPr>
        <w:t>。主要原因是项目资金支出</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r>
        <w:rPr>
          <w:rFonts w:hint="default" w:ascii="Times New Roman" w:hAnsi="Times New Roman" w:eastAsia="方正仿宋_GBK"/>
          <w:sz w:val="32"/>
          <w:szCs w:val="32"/>
          <w:shd w:val="clear" w:color="auto" w:fill="FFFFFF"/>
        </w:rPr>
        <w:t>较年初预算数增加61.05万元，增长10.7%</w:t>
      </w:r>
      <w:r>
        <w:rPr>
          <w:rFonts w:ascii="方正仿宋_GBK" w:hAnsi="方正仿宋_GBK" w:eastAsia="方正仿宋_GBK" w:cs="方正仿宋_GBK"/>
          <w:sz w:val="32"/>
          <w:szCs w:val="32"/>
          <w:shd w:val="clear" w:color="auto" w:fill="FFFFFF"/>
        </w:rPr>
        <w:t>。主</w:t>
      </w:r>
      <w:bookmarkStart w:id="16" w:name="OLE_LINK21"/>
      <w:bookmarkStart w:id="17" w:name="OLE_LINK22"/>
      <w:r>
        <w:rPr>
          <w:rFonts w:ascii="方正仿宋_GBK" w:hAnsi="方正仿宋_GBK" w:eastAsia="方正仿宋_GBK" w:cs="方正仿宋_GBK"/>
          <w:sz w:val="32"/>
          <w:szCs w:val="32"/>
          <w:shd w:val="clear" w:color="auto" w:fill="FFFFFF"/>
        </w:rPr>
        <w:t>要原因补缴养老保险和职业年金。</w:t>
      </w:r>
    </w:p>
    <w:bookmarkEnd w:id="16"/>
    <w:bookmarkEnd w:id="17"/>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一般公共预算财政拨款支出主要用途如下：</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）社会保障和就业支出</w:t>
      </w:r>
      <w:r>
        <w:rPr>
          <w:rFonts w:hint="default" w:ascii="Times New Roman" w:hAnsi="Times New Roman" w:eastAsia="方正仿宋_GBK"/>
          <w:sz w:val="32"/>
          <w:szCs w:val="32"/>
          <w:shd w:val="clear" w:color="auto" w:fill="FFFFFF"/>
        </w:rPr>
        <w:t>91.60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14.5%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较年初预算数增加29.16万元，增长46.7%</w:t>
      </w:r>
      <w:r>
        <w:rPr>
          <w:rFonts w:ascii="方正仿宋_GBK" w:hAnsi="方正仿宋_GBK" w:eastAsia="方正仿宋_GBK" w:cs="方正仿宋_GBK"/>
          <w:sz w:val="32"/>
          <w:szCs w:val="32"/>
          <w:shd w:val="clear" w:color="auto" w:fill="FFFFFF"/>
        </w:rPr>
        <w:t>，主要原因</w:t>
      </w:r>
      <w:bookmarkStart w:id="18" w:name="OLE_LINK23"/>
      <w:bookmarkStart w:id="19" w:name="OLE_LINK24"/>
      <w:r>
        <w:rPr>
          <w:rFonts w:ascii="方正仿宋_GBK" w:hAnsi="方正仿宋_GBK" w:eastAsia="方正仿宋_GBK" w:cs="方正仿宋_GBK"/>
          <w:sz w:val="32"/>
          <w:szCs w:val="32"/>
          <w:shd w:val="clear" w:color="auto" w:fill="FFFFFF"/>
        </w:rPr>
        <w:t>是补缴养老保险和职业年金。</w:t>
      </w:r>
    </w:p>
    <w:bookmarkEnd w:id="18"/>
    <w:bookmarkEnd w:id="19"/>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508.26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80.5%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较年初预算数增加31.88万元，增长6.7%</w:t>
      </w:r>
      <w:r>
        <w:rPr>
          <w:rFonts w:ascii="方正仿宋_GBK" w:hAnsi="方正仿宋_GBK" w:eastAsia="方正仿宋_GBK" w:cs="方正仿宋_GBK"/>
          <w:sz w:val="32"/>
          <w:szCs w:val="32"/>
          <w:shd w:val="clear" w:color="auto" w:fill="FFFFFF"/>
        </w:rPr>
        <w:t>，主要原因</w:t>
      </w:r>
      <w:bookmarkStart w:id="20" w:name="OLE_LINK27"/>
      <w:bookmarkStart w:id="21" w:name="OLE_LINK28"/>
      <w:bookmarkStart w:id="22" w:name="OLE_LINK25"/>
      <w:bookmarkStart w:id="23" w:name="OLE_LINK26"/>
      <w:r>
        <w:rPr>
          <w:rFonts w:ascii="方正仿宋_GBK" w:hAnsi="方正仿宋_GBK" w:eastAsia="方正仿宋_GBK" w:cs="方正仿宋_GBK"/>
          <w:sz w:val="32"/>
          <w:szCs w:val="32"/>
          <w:shd w:val="clear" w:color="auto" w:fill="FFFFFF"/>
        </w:rPr>
        <w:t>是补缴养老保险和职业年金。</w:t>
      </w:r>
      <w:bookmarkEnd w:id="20"/>
      <w:bookmarkEnd w:id="21"/>
    </w:p>
    <w:bookmarkEnd w:id="22"/>
    <w:bookmarkEnd w:id="23"/>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31.22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5.0%</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，主要原因是口径没有变化。</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8"/>
          <w:rFonts w:hint="default"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w:t>
      </w:r>
      <w:r>
        <w:rPr>
          <w:rFonts w:hint="default" w:ascii="Times New Roman" w:hAnsi="Times New Roman" w:eastAsia="方正仿宋_GBK"/>
          <w:sz w:val="32"/>
          <w:szCs w:val="32"/>
          <w:shd w:val="clear" w:color="auto" w:fill="FFFFFF"/>
        </w:rPr>
        <w:t>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，主要原因是本年度没有结转和结余情况。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601.09</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601.09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与2023年度相比，增加80.53万元，增长15.5%</w:t>
      </w:r>
      <w:r>
        <w:rPr>
          <w:rFonts w:ascii="方正仿宋_GBK" w:hAnsi="方正仿宋_GBK" w:eastAsia="方正仿宋_GBK" w:cs="方正仿宋_GBK"/>
          <w:sz w:val="32"/>
          <w:szCs w:val="32"/>
          <w:shd w:val="clear" w:color="auto" w:fill="FFFFFF"/>
        </w:rPr>
        <w:t>，主要原因是</w:t>
      </w:r>
      <w:bookmarkStart w:id="39" w:name="_GoBack"/>
      <w:bookmarkEnd w:id="39"/>
      <w:r>
        <w:rPr>
          <w:rFonts w:ascii="方正仿宋_GBK" w:hAnsi="方正仿宋_GBK" w:eastAsia="方正仿宋_GBK" w:cs="方正仿宋_GBK"/>
          <w:sz w:val="32"/>
          <w:szCs w:val="32"/>
          <w:shd w:val="clear" w:color="auto" w:fill="FFFFFF"/>
        </w:rPr>
        <w:t>补缴养老保险和职业年金。</w:t>
      </w:r>
      <w:r>
        <w:rPr>
          <w:rFonts w:ascii="方正仿宋_GBK" w:hAnsi="方正仿宋_GBK" w:eastAsia="方正仿宋_GBK" w:cs="方正仿宋_GBK"/>
          <w:b w:val="0"/>
          <w:bCs/>
          <w:sz w:val="32"/>
          <w:szCs w:val="32"/>
          <w:shd w:val="clear" w:color="auto" w:fill="FFFFFF"/>
        </w:rPr>
        <w:t>人员经费用途主要</w:t>
      </w:r>
      <w:r>
        <w:rPr>
          <w:rFonts w:ascii="方正仿宋_GBK" w:hAnsi="Times New Roman" w:eastAsia="方正仿宋_GBK"/>
          <w:b w:val="0"/>
          <w:bCs/>
          <w:sz w:val="32"/>
          <w:szCs w:val="32"/>
        </w:rPr>
        <w:t>包括基本工资、津补贴、绩效工资、养老保险、</w:t>
      </w:r>
      <w:r>
        <w:rPr>
          <w:rFonts w:hint="eastAsia" w:ascii="方正仿宋_GBK" w:hAnsi="Times New Roman" w:eastAsia="方正仿宋_GBK"/>
          <w:b w:val="0"/>
          <w:bCs/>
          <w:sz w:val="32"/>
          <w:szCs w:val="32"/>
          <w:lang w:eastAsia="zh-CN"/>
        </w:rPr>
        <w:t>职业年金、</w:t>
      </w:r>
      <w:r>
        <w:rPr>
          <w:rFonts w:ascii="方正仿宋_GBK" w:hAnsi="Times New Roman" w:eastAsia="方正仿宋_GBK"/>
          <w:b w:val="0"/>
          <w:bCs/>
          <w:sz w:val="32"/>
          <w:szCs w:val="32"/>
        </w:rPr>
        <w:t>医疗保险、住房公积金等</w:t>
      </w:r>
      <w:r>
        <w:rPr>
          <w:rFonts w:hint="eastAsia" w:ascii="方正仿宋_GBK" w:hAnsi="Times New Roman" w:eastAsia="方正仿宋_GBK"/>
          <w:b w:val="0"/>
          <w:bCs/>
          <w:sz w:val="32"/>
          <w:szCs w:val="32"/>
          <w:lang w:eastAsia="zh-CN"/>
        </w:rPr>
        <w:t>。</w:t>
      </w: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，主要原因是本年度未发生相关费用。</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（五）政府性基金预算收支决算情况说明</w:t>
      </w:r>
    </w:p>
    <w:p>
      <w:pPr>
        <w:pStyle w:val="12"/>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仿宋"/>
          <w:b/>
          <w:bCs/>
          <w:sz w:val="32"/>
          <w:szCs w:val="32"/>
          <w:shd w:val="clear" w:color="auto" w:fill="FFFFFF"/>
        </w:rPr>
      </w:pPr>
      <w:bookmarkStart w:id="24" w:name="OLE_LINK30"/>
      <w:bookmarkStart w:id="25" w:name="OLE_LINK31"/>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4</w:t>
      </w:r>
      <w:r>
        <w:rPr>
          <w:rFonts w:hint="eastAsia" w:ascii="方正仿宋_GBK" w:hAnsi="Times New Roman" w:eastAsia="方正仿宋_GBK"/>
          <w:sz w:val="32"/>
          <w:szCs w:val="32"/>
          <w:shd w:val="clear" w:color="auto" w:fill="FFFFFF"/>
        </w:rPr>
        <w:t>年度无政府性基金预算财政拨款收支。</w:t>
      </w:r>
    </w:p>
    <w:bookmarkEnd w:id="24"/>
    <w:bookmarkEnd w:id="25"/>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12"/>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仿宋"/>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4</w:t>
      </w:r>
      <w:r>
        <w:rPr>
          <w:rFonts w:hint="eastAsia" w:ascii="方正仿宋_GBK" w:hAnsi="Times New Roman" w:eastAsia="方正仿宋_GBK"/>
          <w:sz w:val="32"/>
          <w:szCs w:val="32"/>
          <w:shd w:val="clear" w:color="auto" w:fill="FFFFFF"/>
        </w:rPr>
        <w:t>年度无国有资本经营预算财政拨款支出。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三、财政拨款“三公”经费情况说明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00"/>
        </w:rPr>
      </w:pPr>
      <w:r>
        <w:rPr>
          <w:rFonts w:ascii="方正仿宋_GBK" w:hAnsi="Times New Roman" w:eastAsia="方正仿宋_GBK"/>
          <w:sz w:val="32"/>
          <w:szCs w:val="32"/>
          <w:shd w:val="clear" w:color="auto" w:fill="FFFFFF"/>
        </w:rPr>
        <w:t>本单位属于差额拨款单位，未使用财政资金保障“三公”经费。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（一）“三公”经费支出总体情况说明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年度“三公”经费支出共计</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（二）“三公”经费分项支出情况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年度本单位因公出国（境）费用</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较年初预算数无增减较上年支出数无增减</w:t>
      </w:r>
      <w:r>
        <w:rPr>
          <w:rFonts w:ascii="方正仿宋_GBK" w:hAnsi="方正仿宋_GBK" w:eastAsia="方正仿宋_GBK" w:cs="方正仿宋_GBK"/>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年度本单位公务用车购置费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年度本单位公务用车运行维护费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年度本单位公务接待费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（三）“三公”经费实物量情况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年度本单位因公出国（境）共计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年本单位人均接待费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四、其他需要说明的事项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Times New Roman" w:eastAsia="方正仿宋_GBK"/>
          <w:sz w:val="32"/>
          <w:szCs w:val="32"/>
          <w:shd w:val="clear" w:color="auto" w:fill="FFFFFF"/>
        </w:rPr>
        <w:t>本单位属于差额拨款单位，未使用财政资金保障会议费、培训费和差旅费。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（二）机关运行经费情况说明</w:t>
      </w:r>
    </w:p>
    <w:p>
      <w:pPr>
        <w:pStyle w:val="11"/>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hint="eastAsia" w:ascii="Times New Roman" w:hAnsi="Times New Roman" w:eastAsia="方正仿宋_GBK"/>
          <w:sz w:val="31"/>
          <w:szCs w:val="31"/>
        </w:rPr>
      </w:pPr>
      <w:r>
        <w:rPr>
          <w:rFonts w:hint="eastAsia" w:ascii="Times New Roman" w:hAnsi="Times New Roman" w:eastAsia="方正仿宋_GBK"/>
          <w:sz w:val="32"/>
          <w:szCs w:val="32"/>
        </w:rPr>
        <w:t>按照部门决算列报口径，</w:t>
      </w:r>
      <w:r>
        <w:rPr>
          <w:rFonts w:hint="eastAsia" w:ascii="Times New Roman" w:hAnsi="Times New Roman" w:eastAsia="方正仿宋_GBK"/>
          <w:sz w:val="31"/>
          <w:szCs w:val="31"/>
        </w:rPr>
        <w:t>因本单位为差额拨款事业单位不在机关运行经费统计范围之内。</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（三）国有资产占用情况说明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日，本单位共有车辆</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（四）政府采购支出情况说明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color w:val="FF0000"/>
          <w:sz w:val="32"/>
          <w:szCs w:val="32"/>
          <w:shd w:val="clear" w:color="auto" w:fill="FFFFFF"/>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年度本单位未发生政府采购事项，无相关经费支出。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五、预算绩效管理情况说明</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（一）单位自评情况</w:t>
      </w:r>
    </w:p>
    <w:p>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sz w:val="32"/>
          <w:szCs w:val="32"/>
          <w:shd w:val="clear" w:color="auto" w:fill="FFFFFF"/>
        </w:rPr>
      </w:pPr>
      <w:bookmarkStart w:id="26" w:name="OLE_LINK58"/>
      <w:bookmarkStart w:id="27" w:name="OLE_LINK59"/>
      <w:bookmarkStart w:id="28" w:name="OLE_LINK35"/>
      <w:r>
        <w:rPr>
          <w:rFonts w:hint="eastAsia" w:ascii="Times New Roman" w:hAnsi="Times New Roman" w:eastAsia="方正仿宋_GBK"/>
          <w:sz w:val="32"/>
          <w:szCs w:val="32"/>
          <w:shd w:val="clear" w:color="auto" w:fill="FFFFFF"/>
        </w:rPr>
        <w:t>根据预算绩效管理要求，本单位对1个二级项目开展了绩效自评，涉及财政拨款项目支出资金30万元。</w:t>
      </w:r>
      <w:bookmarkEnd w:id="26"/>
      <w:bookmarkEnd w:id="27"/>
    </w:p>
    <w:bookmarkEnd w:id="28"/>
    <w:tbl>
      <w:tblPr>
        <w:tblStyle w:val="9"/>
        <w:tblpPr w:leftFromText="180" w:rightFromText="180" w:vertAnchor="text" w:horzAnchor="page" w:tblpX="1698" w:tblpY="282"/>
        <w:tblOverlap w:val="never"/>
        <w:tblW w:w="8400" w:type="dxa"/>
        <w:tblInd w:w="0" w:type="dxa"/>
        <w:tblLayout w:type="fixed"/>
        <w:tblCellMar>
          <w:top w:w="15" w:type="dxa"/>
          <w:left w:w="15" w:type="dxa"/>
          <w:bottom w:w="15" w:type="dxa"/>
          <w:right w:w="15" w:type="dxa"/>
        </w:tblCellMar>
      </w:tblPr>
      <w:tblGrid>
        <w:gridCol w:w="8400"/>
      </w:tblGrid>
      <w:tr>
        <w:tblPrEx>
          <w:tblLayout w:type="fixed"/>
          <w:tblCellMar>
            <w:top w:w="15" w:type="dxa"/>
            <w:left w:w="15" w:type="dxa"/>
            <w:bottom w:w="15" w:type="dxa"/>
            <w:right w:w="15" w:type="dxa"/>
          </w:tblCellMar>
        </w:tblPrEx>
        <w:trPr>
          <w:trHeight w:val="1490" w:hRule="atLeast"/>
        </w:trPr>
        <w:tc>
          <w:tcPr>
            <w:tcW w:w="8400" w:type="dxa"/>
            <w:shd w:val="clear" w:color="auto" w:fill="auto"/>
            <w:vAlign w:val="center"/>
          </w:tcPr>
          <w:p>
            <w:pPr>
              <w:ind w:firstLine="1280" w:firstLineChars="400"/>
              <w:jc w:val="both"/>
              <w:textAlignment w:val="center"/>
              <w:rPr>
                <w:rFonts w:hint="default" w:ascii="方正小标宋_GBK" w:hAnsi="方正小标宋_GBK" w:eastAsia="方正小标宋_GBK" w:cs="方正小标宋_GBK"/>
                <w:b w:val="0"/>
                <w:bCs/>
                <w:sz w:val="32"/>
                <w:szCs w:val="32"/>
              </w:rPr>
            </w:pPr>
            <w:bookmarkStart w:id="29" w:name="OLE_LINK42"/>
            <w:bookmarkStart w:id="30" w:name="OLE_LINK43"/>
            <w:r>
              <w:rPr>
                <w:rFonts w:ascii="方正小标宋_GBK" w:hAnsi="方正小标宋_GBK" w:eastAsia="方正小标宋_GBK" w:cs="方正小标宋_GBK"/>
                <w:b w:val="0"/>
                <w:bCs/>
                <w:sz w:val="32"/>
                <w:szCs w:val="32"/>
              </w:rPr>
              <w:t>秀山土家族苗族自治县妇女儿童医院</w:t>
            </w:r>
          </w:p>
          <w:p>
            <w:pPr>
              <w:jc w:val="center"/>
              <w:textAlignment w:val="center"/>
              <w:rPr>
                <w:rFonts w:hint="default" w:cs="宋体"/>
                <w:b/>
                <w:sz w:val="32"/>
                <w:szCs w:val="32"/>
              </w:rPr>
            </w:pPr>
            <w:r>
              <w:rPr>
                <w:rFonts w:ascii="方正小标宋_GBK" w:hAnsi="方正小标宋_GBK" w:eastAsia="方正小标宋_GBK" w:cs="方正小标宋_GBK"/>
                <w:b w:val="0"/>
                <w:bCs/>
                <w:sz w:val="32"/>
                <w:szCs w:val="32"/>
              </w:rPr>
              <w:t>2024年度项目支出绩效自评情况表（二级项目）</w:t>
            </w:r>
          </w:p>
        </w:tc>
      </w:tr>
      <w:bookmarkEnd w:id="29"/>
      <w:bookmarkEnd w:id="30"/>
    </w:tbl>
    <w:tbl>
      <w:tblPr>
        <w:tblStyle w:val="9"/>
        <w:tblpPr w:leftFromText="180" w:rightFromText="180" w:vertAnchor="text" w:horzAnchor="page" w:tblpX="1920" w:tblpY="232"/>
        <w:tblOverlap w:val="never"/>
        <w:tblW w:w="8604" w:type="dxa"/>
        <w:tblInd w:w="0" w:type="dxa"/>
        <w:tblLayout w:type="fixed"/>
        <w:tblCellMar>
          <w:top w:w="0" w:type="dxa"/>
          <w:left w:w="108" w:type="dxa"/>
          <w:bottom w:w="0" w:type="dxa"/>
          <w:right w:w="108" w:type="dxa"/>
        </w:tblCellMar>
      </w:tblPr>
      <w:tblGrid>
        <w:gridCol w:w="504"/>
        <w:gridCol w:w="761"/>
        <w:gridCol w:w="2294"/>
        <w:gridCol w:w="425"/>
        <w:gridCol w:w="910"/>
        <w:gridCol w:w="404"/>
        <w:gridCol w:w="460"/>
        <w:gridCol w:w="761"/>
        <w:gridCol w:w="829"/>
        <w:gridCol w:w="461"/>
        <w:gridCol w:w="795"/>
      </w:tblGrid>
      <w:tr>
        <w:tblPrEx>
          <w:tblLayout w:type="fixed"/>
          <w:tblCellMar>
            <w:top w:w="0" w:type="dxa"/>
            <w:left w:w="108" w:type="dxa"/>
            <w:bottom w:w="0" w:type="dxa"/>
            <w:right w:w="108" w:type="dxa"/>
          </w:tblCellMar>
        </w:tblPrEx>
        <w:trPr>
          <w:trHeight w:val="881" w:hRule="atLeast"/>
        </w:trPr>
        <w:tc>
          <w:tcPr>
            <w:tcW w:w="5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序号</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项目名称</w:t>
            </w: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指标名称</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指标性质</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指标值</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计量单位</w:t>
            </w:r>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指标权重</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全年完成值</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指标得分</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说明</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自评得分</w:t>
            </w:r>
          </w:p>
        </w:tc>
      </w:tr>
      <w:tr>
        <w:tblPrEx>
          <w:tblLayout w:type="fixed"/>
          <w:tblCellMar>
            <w:top w:w="0" w:type="dxa"/>
            <w:left w:w="108" w:type="dxa"/>
            <w:bottom w:w="0" w:type="dxa"/>
            <w:right w:w="108" w:type="dxa"/>
          </w:tblCellMar>
        </w:tblPrEx>
        <w:trPr>
          <w:trHeight w:val="973" w:hRule="atLeast"/>
        </w:trPr>
        <w:tc>
          <w:tcPr>
            <w:tcW w:w="504"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1</w:t>
            </w:r>
          </w:p>
        </w:tc>
        <w:tc>
          <w:tcPr>
            <w:tcW w:w="761"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医疗服务与保障能力提升（公立医院综合改革）</w:t>
            </w: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医务人员满意度</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bookmarkStart w:id="31" w:name="OLE_LINK50"/>
            <w:bookmarkStart w:id="32" w:name="OLE_LINK51"/>
            <w:r>
              <w:rPr>
                <w:rFonts w:ascii="方正仿宋_GBK" w:hAnsi="方正仿宋_GBK" w:eastAsia="方正仿宋_GBK" w:cs="方正仿宋_GBK"/>
                <w:kern w:val="2"/>
              </w:rPr>
              <w:t>≥</w:t>
            </w:r>
            <w:bookmarkEnd w:id="31"/>
            <w:bookmarkEnd w:id="32"/>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94.5</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bookmarkStart w:id="33" w:name="OLE_LINK52"/>
            <w:bookmarkStart w:id="34" w:name="OLE_LINK53"/>
            <w:r>
              <w:rPr>
                <w:rFonts w:hint="eastAsia" w:ascii="Times New Roman" w:hAnsi="Times New Roman" w:eastAsia="方正仿宋_GBK" w:cs="Times New Roman"/>
                <w:sz w:val="32"/>
                <w:szCs w:val="32"/>
                <w:shd w:val="clear" w:color="auto" w:fill="FFFFFF"/>
                <w:lang w:val="en-US" w:eastAsia="zh-CN" w:bidi="ar-SA"/>
              </w:rPr>
              <w:t>%</w:t>
            </w:r>
            <w:bookmarkEnd w:id="33"/>
            <w:bookmarkEnd w:id="34"/>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r>
      <w:tr>
        <w:tblPrEx>
          <w:tblLayout w:type="fixed"/>
          <w:tblCellMar>
            <w:top w:w="0" w:type="dxa"/>
            <w:left w:w="108" w:type="dxa"/>
            <w:bottom w:w="0" w:type="dxa"/>
            <w:right w:w="108" w:type="dxa"/>
          </w:tblCellMar>
        </w:tblPrEx>
        <w:trPr>
          <w:trHeight w:val="1041" w:hRule="atLeast"/>
        </w:trPr>
        <w:tc>
          <w:tcPr>
            <w:tcW w:w="504" w:type="dxa"/>
            <w:vMerge w:val="continue"/>
            <w:tcBorders>
              <w:left w:val="single" w:color="000000" w:sz="4" w:space="0"/>
              <w:right w:val="single" w:color="000000" w:sz="4" w:space="0"/>
            </w:tcBorders>
            <w:vAlign w:val="center"/>
          </w:tcPr>
          <w:p>
            <w:pPr>
              <w:rPr>
                <w:rFonts w:ascii="方正仿宋_GBK" w:hAnsi="方正仿宋_GBK" w:eastAsia="方正仿宋_GBK" w:cs="方正仿宋_GBK"/>
                <w:kern w:val="2"/>
              </w:rPr>
            </w:pPr>
          </w:p>
        </w:tc>
        <w:tc>
          <w:tcPr>
            <w:tcW w:w="761" w:type="dxa"/>
            <w:vMerge w:val="continue"/>
            <w:tcBorders>
              <w:left w:val="single" w:color="000000" w:sz="4" w:space="0"/>
              <w:right w:val="single" w:color="000000" w:sz="4" w:space="0"/>
            </w:tcBorders>
            <w:vAlign w:val="center"/>
          </w:tcPr>
          <w:p>
            <w:pPr>
              <w:rPr>
                <w:rFonts w:ascii="方正仿宋_GBK" w:hAnsi="方正仿宋_GBK" w:eastAsia="方正仿宋_GBK" w:cs="方正仿宋_GBK"/>
                <w:kern w:val="2"/>
              </w:rPr>
            </w:pP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医疗服务性收入占比</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bookmarkStart w:id="35" w:name="OLE_LINK54"/>
            <w:bookmarkStart w:id="36" w:name="OLE_LINK55"/>
            <w:r>
              <w:rPr>
                <w:rFonts w:ascii="方正仿宋_GBK" w:hAnsi="方正仿宋_GBK" w:eastAsia="方正仿宋_GBK" w:cs="方正仿宋_GBK"/>
                <w:kern w:val="2"/>
              </w:rPr>
              <w:t>≥</w:t>
            </w:r>
            <w:bookmarkEnd w:id="35"/>
            <w:bookmarkEnd w:id="36"/>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43.26</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bookmarkStart w:id="37" w:name="OLE_LINK56"/>
            <w:bookmarkStart w:id="38" w:name="OLE_LINK57"/>
            <w:r>
              <w:rPr>
                <w:rFonts w:hint="eastAsia" w:ascii="Times New Roman" w:hAnsi="Times New Roman" w:eastAsia="方正仿宋_GBK" w:cs="Times New Roman"/>
                <w:sz w:val="32"/>
                <w:szCs w:val="32"/>
                <w:shd w:val="clear" w:color="auto" w:fill="FFFFFF"/>
                <w:lang w:val="en-US" w:eastAsia="zh-CN" w:bidi="ar-SA"/>
              </w:rPr>
              <w:t>%</w:t>
            </w:r>
            <w:bookmarkEnd w:id="37"/>
            <w:bookmarkEnd w:id="38"/>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45</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r>
      <w:tr>
        <w:tblPrEx>
          <w:tblLayout w:type="fixed"/>
          <w:tblCellMar>
            <w:top w:w="0" w:type="dxa"/>
            <w:left w:w="108" w:type="dxa"/>
            <w:bottom w:w="0" w:type="dxa"/>
            <w:right w:w="108" w:type="dxa"/>
          </w:tblCellMar>
        </w:tblPrEx>
        <w:trPr>
          <w:trHeight w:val="1041" w:hRule="atLeast"/>
        </w:trPr>
        <w:tc>
          <w:tcPr>
            <w:tcW w:w="504" w:type="dxa"/>
            <w:vMerge w:val="continue"/>
            <w:tcBorders>
              <w:left w:val="single" w:color="000000" w:sz="4" w:space="0"/>
              <w:bottom w:val="single" w:color="000000" w:sz="4" w:space="0"/>
              <w:right w:val="single" w:color="000000" w:sz="4" w:space="0"/>
            </w:tcBorders>
            <w:vAlign w:val="center"/>
          </w:tcPr>
          <w:p>
            <w:pPr>
              <w:rPr>
                <w:rFonts w:ascii="方正仿宋_GBK" w:hAnsi="方正仿宋_GBK" w:eastAsia="方正仿宋_GBK" w:cs="方正仿宋_GBK"/>
                <w:kern w:val="2"/>
              </w:rPr>
            </w:pPr>
          </w:p>
        </w:tc>
        <w:tc>
          <w:tcPr>
            <w:tcW w:w="761" w:type="dxa"/>
            <w:vMerge w:val="continue"/>
            <w:tcBorders>
              <w:left w:val="single" w:color="000000" w:sz="4" w:space="0"/>
              <w:bottom w:val="single" w:color="000000" w:sz="4" w:space="0"/>
              <w:right w:val="single" w:color="000000" w:sz="4" w:space="0"/>
            </w:tcBorders>
            <w:vAlign w:val="center"/>
          </w:tcPr>
          <w:p>
            <w:pPr>
              <w:rPr>
                <w:rFonts w:ascii="方正仿宋_GBK" w:hAnsi="方正仿宋_GBK" w:eastAsia="方正仿宋_GBK" w:cs="方正仿宋_GBK"/>
                <w:kern w:val="2"/>
              </w:rPr>
            </w:pP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专科就诊率年增长率</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8</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w:t>
            </w:r>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35</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35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r>
    </w:tbl>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（二）单位绩效评价情况</w:t>
      </w:r>
    </w:p>
    <w:p>
      <w:pPr>
        <w:pStyle w:val="11"/>
        <w:keepNext w:val="0"/>
        <w:keepLines w:val="0"/>
        <w:pageBreakBefore w:val="0"/>
        <w:widowControl/>
        <w:kinsoku/>
        <w:wordWrap/>
        <w:overflowPunct/>
        <w:topLinePunct w:val="0"/>
        <w:autoSpaceDE w:val="0"/>
        <w:autoSpaceDN/>
        <w:bidi w:val="0"/>
        <w:adjustRightInd w:val="0"/>
        <w:snapToGrid w:val="0"/>
        <w:spacing w:line="560" w:lineRule="exact"/>
        <w:ind w:firstLine="640"/>
        <w:jc w:val="both"/>
        <w:textAlignment w:val="auto"/>
        <w:rPr>
          <w:rStyle w:val="8"/>
          <w:rFonts w:ascii="Times New Roman" w:hAnsi="Times New Roman" w:eastAsia="方正仿宋_GBK"/>
          <w:b w:val="0"/>
          <w:sz w:val="32"/>
          <w:szCs w:val="32"/>
          <w:shd w:val="clear" w:color="auto" w:fill="FFFFFF"/>
        </w:rPr>
      </w:pPr>
      <w:r>
        <w:rPr>
          <w:rFonts w:hint="eastAsia" w:ascii="Times New Roman" w:hAnsi="Times New Roman" w:eastAsia="方正仿宋_GBK"/>
          <w:sz w:val="32"/>
          <w:szCs w:val="32"/>
        </w:rPr>
        <w:t>本单位未组织开展绩效评价。</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六、专业名词解释</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（五）使用非财政拨款结余（含专用结余）：</w:t>
      </w:r>
      <w:r>
        <w:rPr>
          <w:rFonts w:ascii="方正仿宋_GBK" w:hAnsi="方正仿宋_GBK" w:eastAsia="方正仿宋_GBK" w:cs="方正仿宋_GBK"/>
          <w:sz w:val="32"/>
          <w:szCs w:val="32"/>
          <w:shd w:val="clear" w:color="auto" w:fill="FFFFFF"/>
        </w:rPr>
        <w:t>指事业单位按照预算管理要求使用非财政拨款结余弥补收支差额的金额，以及使用专用结余安排支出的金额。</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指</w:t>
      </w:r>
      <w:r>
        <w:rPr>
          <w:rFonts w:ascii="方正仿宋_GBK" w:hAnsi="方正仿宋_GBK" w:eastAsia="方正仿宋_GBK" w:cs="方正仿宋_GBK"/>
          <w:sz w:val="32"/>
          <w:szCs w:val="32"/>
          <w:shd w:val="clear" w:color="auto" w:fill="FFFFFF"/>
        </w:rPr>
        <w:t>单位结转下年的基本支出结转、项目支出结转和结余、经营结余。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shd w:val="clear" w:color="auto" w:fill="FFFFFF"/>
        </w:rPr>
      </w:pPr>
      <w:r>
        <w:rPr>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本单位决算公开信息反馈和联系方式：</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白晓玲 13896808138</w:t>
      </w:r>
      <w:r>
        <w:rPr>
          <w:rFonts w:hint="default" w:ascii="Times New Roman" w:hAnsi="Times New Roman" w:eastAsia="方正仿宋_GBK" w:cs="Times New Roman"/>
          <w:sz w:val="32"/>
          <w:szCs w:val="32"/>
        </w:rPr>
        <w:t xml:space="preserve"> </w:t>
      </w:r>
    </w:p>
    <w:p>
      <w:pPr>
        <w:pStyle w:val="11"/>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Style w:val="8"/>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9"/>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秀山土家族苗族自治县妇女儿童医院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631.09</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399.92</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91.60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908.19</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秀山土家族苗族自治县妇女儿童医院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1,031.01</w:t>
            </w:r>
            <w:r>
              <w:rPr>
                <w:rFonts w:ascii="Times New Roman" w:hAnsi="Times New Roman"/>
                <w:b/>
                <w:color w:val="000000"/>
                <w:sz w:val="20"/>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631.09</w:t>
            </w:r>
            <w:r>
              <w:rPr>
                <w:rFonts w:ascii="Times New Roman" w:hAnsi="Times New Roman"/>
                <w:b/>
                <w:color w:val="000000"/>
                <w:sz w:val="20"/>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399.92</w:t>
            </w:r>
            <w:r>
              <w:rPr>
                <w:rFonts w:ascii="Times New Roman" w:hAnsi="Times New Roman"/>
                <w:b/>
                <w:color w:val="000000"/>
                <w:sz w:val="20"/>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908.19</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508.26</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399.92</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874.11</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474.18</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399.92</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399.92</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tbl>
      <w:tblPr>
        <w:tblStyle w:val="9"/>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 xml:space="preserve">秀山土家族苗族自治县妇女儿童医院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1,031.01</w:t>
            </w:r>
            <w:r>
              <w:rPr>
                <w:rFonts w:ascii="Times New Roman" w:hAnsi="Times New Roman"/>
                <w:b/>
                <w:color w:val="000000"/>
                <w:sz w:val="20"/>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1,001.01</w:t>
            </w:r>
            <w:r>
              <w:rPr>
                <w:rFonts w:ascii="Times New Roman" w:hAnsi="Times New Roman"/>
                <w:b/>
                <w:color w:val="000000"/>
                <w:sz w:val="20"/>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30.00</w:t>
            </w:r>
            <w:r>
              <w:rPr>
                <w:rFonts w:ascii="Times New Roman" w:hAnsi="Times New Roman"/>
                <w:b/>
                <w:color w:val="000000"/>
                <w:sz w:val="20"/>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908.19</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878.19</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874.11</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844.11</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p>
    <w:tbl>
      <w:tblPr>
        <w:tblStyle w:val="9"/>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91.60</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91.60</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508.26</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508.26</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631.09</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601.09</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508.26</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478.26</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474.18</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444.18</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601.09</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134.23</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21.75</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287.42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60.82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30.78</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26.02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0.78</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8.06</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601.09</w:t>
            </w:r>
            <w:r>
              <w:rPr>
                <w:rFonts w:ascii="Times New Roman" w:hAnsi="Times New Roman"/>
                <w:color w:val="000000"/>
                <w:sz w:val="18"/>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p>
    <w:p>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9"/>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秀山土家族苗族自治县妇女儿童医院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rPr>
                    <w:rFonts w:hint="default"/>
                  </w:rPr>
                </w:pPr>
                <w:r>
                  <w:fldChar w:fldCharType="begin"/>
                </w:r>
                <w:r>
                  <w:instrText xml:space="preserve"> PAGE  \* MERGEFORMAT </w:instrText>
                </w:r>
                <w:r>
                  <w:fldChar w:fldCharType="separate"/>
                </w:r>
                <w:r>
                  <w:rPr>
                    <w:rFonts w:hint="default"/>
                  </w:rPr>
                  <w:t>- 10 -</w:t>
                </w:r>
                <w:r>
                  <w:rPr>
                    <w:rFonts w:hint="default"/>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allowoverlap="f">
          <v:path/>
          <v:fill on="f" focussize="0,0"/>
          <v:stroke on="f" weight="0.5pt" joinstyle="miter"/>
          <v:imagedata o:title=""/>
          <o:lock v:ext="edit"/>
          <v:textbox inset="0mm,0mm,0mm,0mm" style="mso-fit-shape-to-text:t;">
            <w:txbxContent>
              <w:p>
                <w:pPr>
                  <w:pStyle w:val="3"/>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18 -</w:t>
                </w:r>
                <w:r>
                  <w:rPr>
                    <w:rFonts w:hint="default"/>
                  </w:rPr>
                  <w:fldChar w:fldCharType="end"/>
                </w:r>
                <w:r>
                  <w:t xml:space="preserve"> </w:t>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v:path/>
          <v:fill on="f" focussize="0,0"/>
          <v:stroke on="f" weight="0.5pt" joinstyle="miter"/>
          <v:imagedata o:title=""/>
          <o:lock v:ext="edit"/>
          <v:textbox inset="0mm,0mm,0mm,0mm">
            <w:txbxContent>
              <w:p>
                <w:pPr>
                  <w:pStyle w:val="3"/>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3D5215"/>
    <w:rsid w:val="0044504F"/>
    <w:rsid w:val="00466C9B"/>
    <w:rsid w:val="00486CFC"/>
    <w:rsid w:val="00491DDD"/>
    <w:rsid w:val="00501299"/>
    <w:rsid w:val="005110B7"/>
    <w:rsid w:val="00550ABE"/>
    <w:rsid w:val="005B1480"/>
    <w:rsid w:val="00615757"/>
    <w:rsid w:val="00623A85"/>
    <w:rsid w:val="006B743A"/>
    <w:rsid w:val="00770383"/>
    <w:rsid w:val="007819D4"/>
    <w:rsid w:val="007B419D"/>
    <w:rsid w:val="007B52EC"/>
    <w:rsid w:val="007B7C4B"/>
    <w:rsid w:val="007D3D39"/>
    <w:rsid w:val="00805224"/>
    <w:rsid w:val="00913ACB"/>
    <w:rsid w:val="00984C6A"/>
    <w:rsid w:val="00994AF7"/>
    <w:rsid w:val="009B67B8"/>
    <w:rsid w:val="009C14C9"/>
    <w:rsid w:val="009D2B67"/>
    <w:rsid w:val="009E1452"/>
    <w:rsid w:val="00A566F9"/>
    <w:rsid w:val="00AF2751"/>
    <w:rsid w:val="00B03CCD"/>
    <w:rsid w:val="00B35FDA"/>
    <w:rsid w:val="00BE2B89"/>
    <w:rsid w:val="00BF0D89"/>
    <w:rsid w:val="00C10E9E"/>
    <w:rsid w:val="00C20C3E"/>
    <w:rsid w:val="00C5163E"/>
    <w:rsid w:val="00C63101"/>
    <w:rsid w:val="00C66A3D"/>
    <w:rsid w:val="00CB0F6C"/>
    <w:rsid w:val="00CF2ACF"/>
    <w:rsid w:val="00D03AAF"/>
    <w:rsid w:val="00D04429"/>
    <w:rsid w:val="00DD0539"/>
    <w:rsid w:val="00E07662"/>
    <w:rsid w:val="00E368E9"/>
    <w:rsid w:val="00EE1E33"/>
    <w:rsid w:val="00F73F90"/>
    <w:rsid w:val="00FB4B3B"/>
    <w:rsid w:val="01474EBF"/>
    <w:rsid w:val="01F3521E"/>
    <w:rsid w:val="036E2DA9"/>
    <w:rsid w:val="03B87EA0"/>
    <w:rsid w:val="03E3214F"/>
    <w:rsid w:val="044C50BA"/>
    <w:rsid w:val="05665D07"/>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577BC"/>
    <w:rsid w:val="11ED0F98"/>
    <w:rsid w:val="11F03528"/>
    <w:rsid w:val="12C921C4"/>
    <w:rsid w:val="13871C70"/>
    <w:rsid w:val="13A71CB4"/>
    <w:rsid w:val="13AF1D43"/>
    <w:rsid w:val="13CE1647"/>
    <w:rsid w:val="13FD55AB"/>
    <w:rsid w:val="14200702"/>
    <w:rsid w:val="14370EA1"/>
    <w:rsid w:val="145D6F41"/>
    <w:rsid w:val="163A6CEE"/>
    <w:rsid w:val="17176013"/>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6C0424"/>
    <w:rsid w:val="3F885DCC"/>
    <w:rsid w:val="3FCD675E"/>
    <w:rsid w:val="4004000C"/>
    <w:rsid w:val="40783B13"/>
    <w:rsid w:val="40BD5482"/>
    <w:rsid w:val="40F41E3E"/>
    <w:rsid w:val="41107227"/>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60A79"/>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4FD97AE7"/>
    <w:rsid w:val="50F06B6E"/>
    <w:rsid w:val="51D21804"/>
    <w:rsid w:val="52234D33"/>
    <w:rsid w:val="522F6E0C"/>
    <w:rsid w:val="52463BA1"/>
    <w:rsid w:val="52F163D4"/>
    <w:rsid w:val="531A2DB4"/>
    <w:rsid w:val="5330365A"/>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452EC4"/>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C940516"/>
    <w:rsid w:val="6D903FF5"/>
    <w:rsid w:val="6DA955B8"/>
    <w:rsid w:val="6DE346AB"/>
    <w:rsid w:val="6DE5391A"/>
    <w:rsid w:val="6DF6704F"/>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6">
    <w:name w:val="Normal (Web)"/>
    <w:basedOn w:val="1"/>
    <w:unhideWhenUsed/>
    <w:qFormat/>
    <w:uiPriority w:val="0"/>
    <w:pPr>
      <w:spacing w:before="100" w:beforeAutospacing="1" w:after="100" w:afterAutospacing="1"/>
    </w:pPr>
  </w:style>
  <w:style w:type="character" w:styleId="8">
    <w:name w:val="Strong"/>
    <w:qFormat/>
    <w:uiPriority w:val="0"/>
    <w:rPr>
      <w:b/>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列出段落1"/>
    <w:basedOn w:val="1"/>
    <w:qFormat/>
    <w:uiPriority w:val="99"/>
    <w:pPr>
      <w:ind w:firstLine="420" w:firstLineChars="200"/>
    </w:pPr>
    <w:rPr>
      <w:rFonts w:hint="default"/>
    </w:rPr>
  </w:style>
  <w:style w:type="paragraph" w:customStyle="1" w:styleId="12">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3">
    <w:name w:val="21"/>
    <w:qFormat/>
    <w:uiPriority w:val="0"/>
    <w:rPr>
      <w:rFonts w:hint="default" w:ascii="Wingdings" w:hAnsi="Wingdings" w:cs="Wingdings"/>
      <w:b/>
      <w:bCs/>
    </w:rPr>
  </w:style>
  <w:style w:type="paragraph" w:customStyle="1" w:styleId="14">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5">
    <w:name w:val="批注框文本 Char"/>
    <w:basedOn w:val="7"/>
    <w:link w:val="2"/>
    <w:qFormat/>
    <w:uiPriority w:val="0"/>
    <w:rPr>
      <w:rFonts w:ascii="宋体" w:hAnsi="宋体"/>
      <w:sz w:val="18"/>
      <w:szCs w:val="18"/>
    </w:rPr>
  </w:style>
  <w:style w:type="paragraph" w:customStyle="1" w:styleId="16">
    <w:name w:val="列出段落3"/>
    <w:qFormat/>
    <w:uiPriority w:val="99"/>
    <w:pPr>
      <w:ind w:firstLine="420" w:firstLineChars="200"/>
    </w:pPr>
    <w:rPr>
      <w:rFonts w:ascii="宋体" w:hAnsi="宋体" w:eastAsia="宋体" w:cs="Times New Roman"/>
      <w:sz w:val="24"/>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4950</Words>
  <Characters>5875</Characters>
  <Lines>90</Lines>
  <Paragraphs>25</Paragraphs>
  <TotalTime>1</TotalTime>
  <ScaleCrop>false</ScaleCrop>
  <LinksUpToDate>false</LinksUpToDate>
  <CharactersWithSpaces>6062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2025-09-24T03:11:00Z</dcterms:created>
  <dc:creator>Administrator</dc:creator>
  <cp:lastModifiedBy>冉淇元</cp:lastModifiedBy>
  <dcterms:modified xsi:type="dcterms:W3CDTF">2025-11-03T08:48:48Z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eyJoZGlkIjoiYjMwZDU5YTNjMTc3NjY4ZTNkM2FlMWE2ZjI5NTZkYWMiLCJ1c2VySWQiOiI0NjE1NTIzOTcifQ==</vt:lpwstr>
  </property>
</Properties>
</file>