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秀山土家族苗族自治县中心血库</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2024年度决算公开说明</w:t>
      </w:r>
    </w:p>
    <w:p>
      <w:pPr>
        <w:pStyle w:val="8"/>
        <w:keepNext w:val="0"/>
        <w:keepLines w:val="0"/>
        <w:pageBreakBefore w:val="0"/>
        <w:widowControl/>
        <w:shd w:val="clear"/>
        <w:kinsoku/>
        <w:wordWrap/>
        <w:overflowPunct/>
        <w:topLinePunct w:val="0"/>
        <w:autoSpaceDN/>
        <w:bidi w:val="0"/>
        <w:adjustRightInd/>
        <w:spacing w:before="0" w:beforeAutospacing="0" w:after="0" w:afterAutospacing="0" w:line="560" w:lineRule="atLeast"/>
        <w:jc w:val="center"/>
        <w:textAlignment w:val="auto"/>
        <w:rPr>
          <w:rFonts w:hint="eastAsia" w:ascii="方正小标宋_GBK" w:hAnsi="方正小标宋_GBK" w:eastAsia="方正小标宋_GBK" w:cs="方正小标宋_GBK"/>
          <w:sz w:val="44"/>
          <w:szCs w:val="44"/>
          <w:shd w:val="clear" w:color="auto" w:fill="FFFFFF"/>
        </w:rPr>
      </w:pPr>
      <w:bookmarkStart w:id="0" w:name="_GoBack"/>
      <w:bookmarkEnd w:id="0"/>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auto"/>
        </w:rPr>
      </w:pPr>
      <w:r>
        <w:rPr>
          <w:rStyle w:val="10"/>
          <w:rFonts w:hint="default" w:ascii="Times New Roman" w:hAnsi="Times New Roman" w:eastAsia="方正黑体_GBK" w:cs="Times New Roman"/>
          <w:b w:val="0"/>
          <w:bCs/>
          <w:sz w:val="32"/>
          <w:szCs w:val="32"/>
          <w:shd w:val="clear" w:color="auto" w:fill="auto"/>
        </w:rPr>
        <w:t>一、</w:t>
      </w:r>
      <w:r>
        <w:rPr>
          <w:rStyle w:val="10"/>
          <w:rFonts w:hint="default" w:ascii="Times New Roman" w:hAnsi="Times New Roman" w:eastAsia="方正黑体_GBK" w:cs="Times New Roman"/>
          <w:b w:val="0"/>
          <w:bCs/>
          <w:sz w:val="32"/>
          <w:szCs w:val="32"/>
          <w:shd w:val="clear" w:color="auto" w:fill="auto"/>
          <w:lang w:eastAsia="zh-CN"/>
        </w:rPr>
        <w:t>单位</w:t>
      </w:r>
      <w:r>
        <w:rPr>
          <w:rStyle w:val="10"/>
          <w:rFonts w:hint="default" w:ascii="Times New Roman" w:hAnsi="Times New Roman" w:eastAsia="方正黑体_GBK" w:cs="Times New Roman"/>
          <w:b w:val="0"/>
          <w:bCs/>
          <w:sz w:val="32"/>
          <w:szCs w:val="32"/>
          <w:shd w:val="clear" w:color="auto" w:fill="auto"/>
        </w:rPr>
        <w:t>基本情况</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Fonts w:hint="default" w:ascii="Times New Roman" w:hAnsi="Times New Roman" w:eastAsia="方正楷体_GBK" w:cs="Times New Roman"/>
          <w:b w:val="0"/>
          <w:bCs/>
          <w:sz w:val="32"/>
          <w:szCs w:val="32"/>
          <w:shd w:val="clear" w:color="auto" w:fill="auto"/>
        </w:rPr>
      </w:pPr>
      <w:r>
        <w:rPr>
          <w:rStyle w:val="10"/>
          <w:rFonts w:hint="default" w:ascii="Times New Roman" w:hAnsi="Times New Roman" w:eastAsia="方正楷体_GBK" w:cs="Times New Roman"/>
          <w:b w:val="0"/>
          <w:bCs/>
          <w:sz w:val="32"/>
          <w:szCs w:val="32"/>
          <w:shd w:val="clear" w:color="auto" w:fill="auto"/>
        </w:rPr>
        <w:t>（一）职能职责</w:t>
      </w:r>
    </w:p>
    <w:p>
      <w:pPr>
        <w:keepNext w:val="0"/>
        <w:keepLines w:val="0"/>
        <w:pageBreakBefore w:val="0"/>
        <w:widowControl/>
        <w:shd w:val="clear"/>
        <w:kinsoku/>
        <w:wordWrap/>
        <w:overflowPunct/>
        <w:topLinePunct w:val="0"/>
        <w:autoSpaceDE/>
        <w:autoSpaceDN/>
        <w:bidi w:val="0"/>
        <w:adjustRightInd/>
        <w:snapToGrid w:val="0"/>
        <w:spacing w:line="560" w:lineRule="atLeast"/>
        <w:ind w:firstLine="640" w:firstLineChars="200"/>
        <w:jc w:val="both"/>
        <w:textAlignment w:val="auto"/>
        <w:outlineLvl w:val="9"/>
        <w:rPr>
          <w:rFonts w:hint="default" w:ascii="Times New Roman" w:hAnsi="Times New Roman" w:eastAsia="仿宋_GB2312" w:cs="Times New Roman"/>
          <w:sz w:val="32"/>
          <w:szCs w:val="32"/>
          <w:highlight w:val="none"/>
          <w:shd w:val="clear" w:color="auto" w:fill="auto"/>
          <w:lang w:eastAsia="zh-CN"/>
        </w:rPr>
      </w:pPr>
      <w:r>
        <w:rPr>
          <w:rFonts w:hint="default" w:ascii="Times New Roman" w:hAnsi="Times New Roman" w:eastAsia="方正仿宋_GBK" w:cs="Times New Roman"/>
          <w:sz w:val="32"/>
          <w:szCs w:val="32"/>
          <w:highlight w:val="none"/>
          <w:shd w:val="clear" w:color="auto" w:fill="auto"/>
          <w:lang w:eastAsia="zh-CN"/>
        </w:rPr>
        <w:t>负责全县范围内无偿献血的招募、血液的采集、储存、临床用血供应等工作；承担临床用血业务指导及质量控制；承接各</w:t>
      </w:r>
      <w:r>
        <w:rPr>
          <w:rFonts w:hint="default" w:ascii="Times New Roman" w:hAnsi="Times New Roman" w:eastAsia="方正仿宋_GBK" w:cs="Times New Roman"/>
          <w:sz w:val="32"/>
          <w:szCs w:val="32"/>
          <w:highlight w:val="none"/>
          <w:shd w:val="clear" w:color="auto" w:fill="auto"/>
          <w:lang w:val="en-US" w:eastAsia="zh-CN"/>
        </w:rPr>
        <w:t>医疗机构</w:t>
      </w:r>
      <w:r>
        <w:rPr>
          <w:rFonts w:hint="default" w:ascii="Times New Roman" w:hAnsi="Times New Roman" w:eastAsia="方正仿宋_GBK" w:cs="Times New Roman"/>
          <w:sz w:val="32"/>
          <w:szCs w:val="32"/>
          <w:highlight w:val="none"/>
          <w:shd w:val="clear" w:color="auto" w:fill="auto"/>
          <w:lang w:eastAsia="zh-CN"/>
        </w:rPr>
        <w:t>供血任务；全县范围内的血液信息交互和血液资源综合管理服务，为献血者和用血医疗机构、用血者提供全方位的血液及健康信息服务。</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auto"/>
        </w:rPr>
      </w:pPr>
      <w:r>
        <w:rPr>
          <w:rStyle w:val="10"/>
          <w:rFonts w:hint="default" w:ascii="Times New Roman" w:hAnsi="Times New Roman" w:eastAsia="方正楷体_GBK" w:cs="Times New Roman"/>
          <w:b w:val="0"/>
          <w:bCs/>
          <w:sz w:val="32"/>
          <w:szCs w:val="32"/>
          <w:shd w:val="clear" w:color="auto" w:fill="auto"/>
        </w:rPr>
        <w:t>（二）机构设置</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Fonts w:hint="default" w:ascii="Times New Roman" w:hAnsi="Times New Roman" w:eastAsia="方正仿宋_GBK" w:cs="Times New Roman"/>
          <w:sz w:val="32"/>
          <w:szCs w:val="32"/>
          <w:highlight w:val="none"/>
          <w:shd w:val="clear" w:color="auto" w:fill="auto"/>
          <w:lang w:val="en-US" w:eastAsia="zh-CN" w:bidi="ar-SA"/>
        </w:rPr>
        <w:t>本单位为县卫生健康委员会管理的公益一类副科级事业单位。下设办公室、财务科、业务科、质管科、采供血科和检验科6个科室。</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auto"/>
        </w:rPr>
      </w:pPr>
      <w:r>
        <w:rPr>
          <w:rStyle w:val="10"/>
          <w:rFonts w:hint="default" w:ascii="Times New Roman" w:hAnsi="Times New Roman" w:eastAsia="方正黑体_GBK" w:cs="Times New Roman"/>
          <w:b w:val="0"/>
          <w:bCs/>
          <w:sz w:val="32"/>
          <w:szCs w:val="32"/>
          <w:shd w:val="clear" w:color="auto" w:fill="auto"/>
        </w:rPr>
        <w:t>二、</w:t>
      </w:r>
      <w:r>
        <w:rPr>
          <w:rStyle w:val="10"/>
          <w:rFonts w:hint="default" w:ascii="Times New Roman" w:hAnsi="Times New Roman" w:eastAsia="方正黑体_GBK" w:cs="Times New Roman"/>
          <w:b w:val="0"/>
          <w:bCs/>
          <w:sz w:val="32"/>
          <w:szCs w:val="32"/>
          <w:shd w:val="clear" w:color="auto" w:fill="auto"/>
          <w:lang w:eastAsia="zh-CN"/>
        </w:rPr>
        <w:t>单位</w:t>
      </w:r>
      <w:r>
        <w:rPr>
          <w:rStyle w:val="10"/>
          <w:rFonts w:hint="default" w:ascii="Times New Roman" w:hAnsi="Times New Roman" w:eastAsia="方正黑体_GBK" w:cs="Times New Roman"/>
          <w:b w:val="0"/>
          <w:bCs/>
          <w:sz w:val="32"/>
          <w:szCs w:val="32"/>
          <w:shd w:val="clear" w:color="auto" w:fill="auto"/>
        </w:rPr>
        <w:t>决算</w:t>
      </w:r>
      <w:r>
        <w:rPr>
          <w:rStyle w:val="10"/>
          <w:rFonts w:hint="default" w:ascii="Times New Roman" w:hAnsi="Times New Roman" w:eastAsia="方正黑体_GBK" w:cs="Times New Roman"/>
          <w:b w:val="0"/>
          <w:bCs/>
          <w:sz w:val="32"/>
          <w:szCs w:val="32"/>
          <w:shd w:val="clear" w:color="auto" w:fill="auto"/>
          <w:lang w:eastAsia="zh-CN"/>
        </w:rPr>
        <w:t>收支</w:t>
      </w:r>
      <w:r>
        <w:rPr>
          <w:rStyle w:val="10"/>
          <w:rFonts w:hint="default" w:ascii="Times New Roman" w:hAnsi="Times New Roman" w:eastAsia="方正黑体_GBK" w:cs="Times New Roman"/>
          <w:b w:val="0"/>
          <w:bCs/>
          <w:sz w:val="32"/>
          <w:szCs w:val="32"/>
          <w:shd w:val="clear" w:color="auto" w:fill="auto"/>
        </w:rPr>
        <w:t>情况说明</w:t>
      </w:r>
    </w:p>
    <w:p>
      <w:pPr>
        <w:pStyle w:val="15"/>
        <w:keepNext w:val="0"/>
        <w:keepLines w:val="0"/>
        <w:pageBreakBefore w:val="0"/>
        <w:widowControl/>
        <w:shd w:val="clear"/>
        <w:kinsoku/>
        <w:wordWrap/>
        <w:overflowPunct/>
        <w:topLinePunct w:val="0"/>
        <w:autoSpaceDE w:val="0"/>
        <w:autoSpaceDN/>
        <w:bidi w:val="0"/>
        <w:adjustRightInd/>
        <w:snapToGrid/>
        <w:spacing w:line="560" w:lineRule="atLeast"/>
        <w:ind w:firstLine="640" w:firstLineChars="200"/>
        <w:jc w:val="both"/>
        <w:textAlignment w:val="auto"/>
        <w:outlineLvl w:val="9"/>
        <w:rPr>
          <w:rStyle w:val="10"/>
          <w:rFonts w:hint="default" w:ascii="Times New Roman" w:hAnsi="Times New Roman" w:eastAsia="方正楷体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（一）收入支出决算总体情况说明</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Fonts w:hint="default" w:ascii="Times New Roman" w:hAnsi="Times New Roman" w:eastAsia="方正仿宋_GBK" w:cs="Times New Roman"/>
          <w:sz w:val="32"/>
          <w:szCs w:val="32"/>
          <w:highlight w:val="none"/>
          <w:shd w:val="clear" w:color="auto" w:fill="auto"/>
          <w:lang w:val="en-US" w:eastAsia="zh-CN" w:bidi="ar-SA"/>
        </w:rPr>
        <w:t>2024年度收、支总计均为248.28万元。收、支与2023年度相比，增加201.43万元，增长430.0%，主要原因是本单位为卫生健康委员会下属二级事业单位，上年与委里面和暑办公，办公经费专项材料费均在卫生健康委列支，今年分开办公，办公经费专项材料费均自行开支。</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Style w:val="10"/>
          <w:rFonts w:hint="default" w:ascii="Times New Roman" w:hAnsi="Times New Roman" w:eastAsia="方正仿宋_GBK" w:cs="Times New Roman"/>
          <w:b w:val="0"/>
          <w:bCs/>
          <w:sz w:val="32"/>
          <w:szCs w:val="32"/>
          <w:shd w:val="clear" w:color="auto" w:fill="auto"/>
          <w:lang w:val="en-US" w:eastAsia="zh-CN" w:bidi="ar-SA"/>
        </w:rPr>
        <w:t>1.收入情况</w:t>
      </w:r>
      <w:r>
        <w:rPr>
          <w:rStyle w:val="10"/>
          <w:rFonts w:hint="default" w:ascii="Times New Roman" w:hAnsi="Times New Roman" w:eastAsia="方正仿宋_GBK" w:cs="Times New Roman"/>
          <w:b w:val="0"/>
          <w:bCs/>
          <w:sz w:val="32"/>
          <w:szCs w:val="32"/>
          <w:shd w:val="clear" w:color="auto" w:fill="auto"/>
        </w:rPr>
        <w:t>。</w:t>
      </w:r>
      <w:r>
        <w:rPr>
          <w:rFonts w:hint="default" w:ascii="Times New Roman" w:hAnsi="Times New Roman" w:eastAsia="方正仿宋_GBK" w:cs="Times New Roman"/>
          <w:sz w:val="32"/>
          <w:szCs w:val="32"/>
          <w:highlight w:val="none"/>
          <w:shd w:val="clear" w:color="auto" w:fill="auto"/>
          <w:lang w:val="en-US" w:eastAsia="zh-CN" w:bidi="ar-SA"/>
        </w:rPr>
        <w:t>2024年度收入合计248.28万元，与2023年度相比，增加201.43万元，增长430.0%，主要原因是本单位为卫生健康委员会下属二级事业单位，上年与委里面和暑办公，办公经费专项材料费均在卫生健康委列支，今年分开办公，办公经费专项材料费均自行开支。</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Fonts w:hint="default" w:ascii="Times New Roman" w:hAnsi="Times New Roman" w:eastAsia="方正仿宋_GBK" w:cs="Times New Roman"/>
          <w:sz w:val="32"/>
          <w:szCs w:val="32"/>
          <w:highlight w:val="none"/>
          <w:shd w:val="clear" w:color="auto" w:fill="auto"/>
          <w:lang w:val="en-US" w:eastAsia="zh-CN" w:bidi="ar-SA"/>
        </w:rPr>
        <w:t>其中：财政拨款收入248.28万元，占100.0%；事业收入0.00万元，占0.0%；经营收入0.00万元，占0.0%；其他收入0.00万元，占0.0%。此外，使用非财政拨款结余（含专用结余）0.00万元，年初结转和结余0.00万元。</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Style w:val="10"/>
          <w:rFonts w:hint="default" w:ascii="Times New Roman" w:hAnsi="Times New Roman" w:eastAsia="方正仿宋_GBK" w:cs="Times New Roman"/>
          <w:b w:val="0"/>
          <w:bCs/>
          <w:sz w:val="32"/>
          <w:szCs w:val="32"/>
          <w:shd w:val="clear" w:color="auto" w:fill="auto"/>
          <w:lang w:val="en-US" w:eastAsia="zh-CN" w:bidi="ar-SA"/>
        </w:rPr>
        <w:t>2.支出情况</w:t>
      </w:r>
      <w:r>
        <w:rPr>
          <w:rStyle w:val="10"/>
          <w:rFonts w:hint="default" w:ascii="Times New Roman" w:hAnsi="Times New Roman" w:eastAsia="方正仿宋_GBK" w:cs="Times New Roman"/>
          <w:sz w:val="32"/>
          <w:szCs w:val="32"/>
          <w:shd w:val="clear" w:color="auto" w:fill="auto"/>
        </w:rPr>
        <w:t>。</w:t>
      </w:r>
      <w:r>
        <w:rPr>
          <w:rFonts w:hint="default" w:ascii="Times New Roman" w:hAnsi="Times New Roman" w:eastAsia="方正仿宋_GBK" w:cs="Times New Roman"/>
          <w:sz w:val="32"/>
          <w:szCs w:val="32"/>
          <w:highlight w:val="none"/>
          <w:shd w:val="clear" w:color="auto" w:fill="auto"/>
          <w:lang w:val="en-US" w:eastAsia="zh-CN" w:bidi="ar-SA"/>
        </w:rPr>
        <w:t>2024年度支出合计248.28万元，与2023年度相比，增加201.43万元，增长430.0%，主要原因是本单位为卫生健康委员会下属二级事业单位，上年与委里面和暑办公，办公经费专项材料费均在卫生健康委列支，今年分开办公，办公经费专项材料费均自行开支。</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Fonts w:hint="default" w:ascii="Times New Roman" w:hAnsi="Times New Roman" w:eastAsia="方正仿宋_GBK" w:cs="Times New Roman"/>
          <w:sz w:val="32"/>
          <w:szCs w:val="32"/>
          <w:highlight w:val="none"/>
          <w:shd w:val="clear" w:color="auto" w:fill="auto"/>
          <w:lang w:val="en-US" w:eastAsia="zh-CN" w:bidi="ar-SA"/>
        </w:rPr>
        <w:t>其中：基本支出168.70万元，占68.0%；项目支出79.58万元，占32.1%；经营支出0.00万元，占0.0%。此外，结余分配0.00万元。</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Style w:val="10"/>
          <w:rFonts w:hint="default" w:ascii="Times New Roman" w:hAnsi="Times New Roman" w:eastAsia="方正仿宋_GBK" w:cs="Times New Roman"/>
          <w:b w:val="0"/>
          <w:bCs/>
          <w:sz w:val="32"/>
          <w:szCs w:val="32"/>
          <w:shd w:val="clear" w:color="auto" w:fill="auto"/>
          <w:lang w:val="en-US" w:eastAsia="zh-CN" w:bidi="ar-SA"/>
        </w:rPr>
        <w:t>3.结转结余情况</w:t>
      </w:r>
      <w:r>
        <w:rPr>
          <w:rStyle w:val="10"/>
          <w:rFonts w:hint="default" w:ascii="Times New Roman" w:hAnsi="Times New Roman" w:eastAsia="方正仿宋_GBK" w:cs="Times New Roman"/>
          <w:b w:val="0"/>
          <w:bCs/>
          <w:sz w:val="32"/>
          <w:szCs w:val="32"/>
          <w:shd w:val="clear" w:color="auto" w:fill="auto"/>
        </w:rPr>
        <w:t>。</w:t>
      </w:r>
      <w:r>
        <w:rPr>
          <w:rFonts w:hint="default" w:ascii="Times New Roman" w:hAnsi="Times New Roman" w:eastAsia="方正仿宋_GBK" w:cs="Times New Roman"/>
          <w:sz w:val="32"/>
          <w:szCs w:val="32"/>
          <w:highlight w:val="none"/>
          <w:shd w:val="clear" w:color="auto" w:fill="auto"/>
          <w:lang w:val="en-US" w:eastAsia="zh-CN" w:bidi="ar-SA"/>
        </w:rPr>
        <w:t>2024年度年末结转和结余0.00万元，与2023年度相比，无增减。</w:t>
      </w:r>
    </w:p>
    <w:p>
      <w:pPr>
        <w:pStyle w:val="15"/>
        <w:keepNext w:val="0"/>
        <w:keepLines w:val="0"/>
        <w:pageBreakBefore w:val="0"/>
        <w:widowControl/>
        <w:shd w:val="clear"/>
        <w:kinsoku/>
        <w:wordWrap/>
        <w:overflowPunct/>
        <w:topLinePunct w:val="0"/>
        <w:autoSpaceDE w:val="0"/>
        <w:autoSpaceDN/>
        <w:bidi w:val="0"/>
        <w:adjustRightInd/>
        <w:snapToGrid/>
        <w:spacing w:line="560" w:lineRule="atLeast"/>
        <w:ind w:firstLine="640" w:firstLineChars="200"/>
        <w:jc w:val="both"/>
        <w:textAlignment w:val="auto"/>
        <w:outlineLvl w:val="9"/>
        <w:rPr>
          <w:rStyle w:val="10"/>
          <w:rFonts w:hint="default" w:ascii="Times New Roman" w:hAnsi="Times New Roman" w:eastAsia="方正楷体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（二）财政拨款收入支出决算总体情况说明</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Fonts w:hint="default" w:ascii="Times New Roman" w:hAnsi="Times New Roman" w:eastAsia="方正仿宋_GBK" w:cs="Times New Roman"/>
          <w:sz w:val="32"/>
          <w:szCs w:val="32"/>
          <w:highlight w:val="none"/>
          <w:shd w:val="clear" w:color="auto" w:fill="auto"/>
          <w:lang w:val="en-US" w:eastAsia="zh-CN" w:bidi="ar-SA"/>
        </w:rPr>
        <w:t>2024年度财政拨款收、支总计均为248.28万元。与2023年度相比，财政拨款收、支总计各增加201.43万元，增长430.0%。主要原因是本单位为卫生健康委员会下属二级事业单位，上年与委里面和暑办公，办公经费专项材料费均在卫生健康委列支，今年分开办公，办公经费专项材料费均自行开支。</w:t>
      </w:r>
    </w:p>
    <w:p>
      <w:pPr>
        <w:pStyle w:val="15"/>
        <w:keepNext w:val="0"/>
        <w:keepLines w:val="0"/>
        <w:pageBreakBefore w:val="0"/>
        <w:widowControl/>
        <w:shd w:val="clear"/>
        <w:kinsoku/>
        <w:wordWrap/>
        <w:overflowPunct/>
        <w:topLinePunct w:val="0"/>
        <w:autoSpaceDE w:val="0"/>
        <w:autoSpaceDN/>
        <w:bidi w:val="0"/>
        <w:adjustRightInd/>
        <w:snapToGrid/>
        <w:spacing w:line="560" w:lineRule="atLeast"/>
        <w:ind w:firstLine="640" w:firstLineChars="200"/>
        <w:jc w:val="both"/>
        <w:textAlignment w:val="auto"/>
        <w:outlineLvl w:val="9"/>
        <w:rPr>
          <w:rFonts w:hint="default" w:ascii="Times New Roman" w:hAnsi="Times New Roman" w:eastAsia="楷体" w:cs="Times New Roman"/>
          <w:b w:val="0"/>
          <w:bCs/>
          <w:sz w:val="32"/>
          <w:szCs w:val="32"/>
          <w:shd w:val="clear" w:color="auto" w:fill="auto"/>
        </w:rPr>
      </w:pPr>
      <w:r>
        <w:rPr>
          <w:rStyle w:val="10"/>
          <w:rFonts w:hint="default" w:ascii="Times New Roman" w:hAnsi="Times New Roman" w:eastAsia="方正楷体_GBK" w:cs="Times New Roman"/>
          <w:b w:val="0"/>
          <w:bCs/>
          <w:sz w:val="32"/>
          <w:szCs w:val="32"/>
          <w:shd w:val="clear" w:color="auto" w:fill="auto"/>
          <w:lang w:val="en-US" w:eastAsia="zh-CN" w:bidi="ar-SA"/>
        </w:rPr>
        <w:t>（三）一般公共预算财政拨款收入支出决算情况说明</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Style w:val="10"/>
          <w:rFonts w:hint="default" w:ascii="Times New Roman" w:hAnsi="Times New Roman" w:eastAsia="方正仿宋_GBK" w:cs="Times New Roman"/>
          <w:b w:val="0"/>
          <w:bCs/>
          <w:sz w:val="32"/>
          <w:szCs w:val="32"/>
          <w:shd w:val="clear" w:color="auto" w:fill="auto"/>
          <w:lang w:val="en-US" w:eastAsia="zh-CN" w:bidi="ar-SA"/>
        </w:rPr>
        <w:t>1.收入情况</w:t>
      </w:r>
      <w:r>
        <w:rPr>
          <w:rStyle w:val="10"/>
          <w:rFonts w:hint="default" w:ascii="Times New Roman" w:hAnsi="Times New Roman" w:eastAsia="方正仿宋_GBK" w:cs="Times New Roman"/>
          <w:sz w:val="32"/>
          <w:szCs w:val="32"/>
          <w:shd w:val="clear" w:color="auto" w:fill="auto"/>
        </w:rPr>
        <w:t>。</w:t>
      </w:r>
      <w:r>
        <w:rPr>
          <w:rFonts w:hint="default" w:ascii="Times New Roman" w:hAnsi="Times New Roman" w:eastAsia="方正仿宋_GBK" w:cs="Times New Roman"/>
          <w:sz w:val="32"/>
          <w:szCs w:val="32"/>
          <w:shd w:val="clear" w:color="auto" w:fill="auto"/>
        </w:rPr>
        <w:t>2</w:t>
      </w:r>
      <w:r>
        <w:rPr>
          <w:rFonts w:hint="default" w:ascii="Times New Roman" w:hAnsi="Times New Roman" w:eastAsia="方正仿宋_GBK" w:cs="Times New Roman"/>
          <w:sz w:val="32"/>
          <w:szCs w:val="32"/>
          <w:highlight w:val="none"/>
          <w:shd w:val="clear" w:color="auto" w:fill="auto"/>
          <w:lang w:val="en-US" w:eastAsia="zh-CN" w:bidi="ar-SA"/>
        </w:rPr>
        <w:t>024年度一般公共预算财政拨款收入248.28万元，与2023年度相比，增加201.43万元，增长430.0%。主要原因是本单位为卫生健康委员会下属二级事业单位，上年与委里面和暑办公，办公经费专项材料费均在卫生健康委列支，今年分开办公，办公经费专项材料费均自行开支。</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highlight w:val="none"/>
          <w:shd w:val="clear" w:color="auto" w:fill="auto"/>
          <w:lang w:val="en-US" w:eastAsia="zh-CN" w:bidi="ar-SA"/>
        </w:rPr>
      </w:pPr>
      <w:r>
        <w:rPr>
          <w:rFonts w:hint="default" w:ascii="Times New Roman" w:hAnsi="Times New Roman" w:eastAsia="方正仿宋_GBK" w:cs="Times New Roman"/>
          <w:sz w:val="32"/>
          <w:szCs w:val="32"/>
          <w:highlight w:val="none"/>
          <w:shd w:val="clear" w:color="auto" w:fill="auto"/>
          <w:lang w:val="en-US" w:eastAsia="zh-CN" w:bidi="ar-SA"/>
        </w:rPr>
        <w:t>较年初预算数减少86.32万元，下降25.8%。主要原因是部分项目完成后未及时付款，转下年执行。此外，年初财政拨款结转和结余0.00万元。</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rPr>
      </w:pPr>
      <w:r>
        <w:rPr>
          <w:rStyle w:val="10"/>
          <w:rFonts w:hint="default" w:ascii="Times New Roman" w:hAnsi="Times New Roman" w:eastAsia="方正仿宋_GBK" w:cs="Times New Roman"/>
          <w:b w:val="0"/>
          <w:bCs/>
          <w:sz w:val="32"/>
          <w:szCs w:val="32"/>
          <w:shd w:val="clear" w:color="auto" w:fill="auto"/>
          <w:lang w:val="en-US" w:eastAsia="zh-CN" w:bidi="ar-SA"/>
        </w:rPr>
        <w:t>2.支出情况</w:t>
      </w:r>
      <w:r>
        <w:rPr>
          <w:rStyle w:val="10"/>
          <w:rFonts w:hint="default" w:ascii="Times New Roman" w:hAnsi="Times New Roman" w:eastAsia="方正仿宋_GBK" w:cs="Times New Roman"/>
          <w:sz w:val="32"/>
          <w:szCs w:val="32"/>
          <w:shd w:val="clear" w:color="auto" w:fill="auto"/>
        </w:rPr>
        <w:t>。</w:t>
      </w:r>
      <w:r>
        <w:rPr>
          <w:rFonts w:hint="default" w:ascii="Times New Roman" w:hAnsi="Times New Roman" w:eastAsia="方正仿宋_GBK" w:cs="Times New Roman"/>
          <w:sz w:val="32"/>
          <w:szCs w:val="32"/>
          <w:shd w:val="clear" w:color="auto" w:fill="auto"/>
        </w:rPr>
        <w:t>2024年度一般公共预算财政拨款支出248.28万元，与2023年度相比，增加201.43万元，增长430.0%。主要原因是</w:t>
      </w:r>
      <w:r>
        <w:rPr>
          <w:rFonts w:hint="default" w:ascii="Times New Roman" w:hAnsi="Times New Roman" w:eastAsia="方正仿宋_GBK" w:cs="Times New Roman"/>
          <w:sz w:val="32"/>
          <w:szCs w:val="32"/>
          <w:shd w:val="clear" w:color="auto" w:fill="auto"/>
          <w:lang w:val="en-US" w:eastAsia="zh-CN"/>
        </w:rPr>
        <w:t>本单位为卫生健康委员会下属二级事业单位，上年与委里面和暑办公，办公经费专项材料费均在卫生健康委列支，今年分开办公，办公经费专项材料费均自行开支。</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rPr>
      </w:pPr>
      <w:r>
        <w:rPr>
          <w:rFonts w:hint="default" w:ascii="Times New Roman" w:hAnsi="Times New Roman" w:eastAsia="方正仿宋_GBK" w:cs="Times New Roman"/>
          <w:sz w:val="32"/>
          <w:szCs w:val="32"/>
          <w:shd w:val="clear" w:color="auto" w:fill="auto"/>
        </w:rPr>
        <w:t>较年初预算数减少86.32万元，下降25.8%。主要原因是</w:t>
      </w:r>
      <w:r>
        <w:rPr>
          <w:rFonts w:hint="default" w:ascii="Times New Roman" w:hAnsi="Times New Roman" w:eastAsia="方正仿宋_GBK" w:cs="Times New Roman"/>
          <w:sz w:val="32"/>
          <w:szCs w:val="32"/>
          <w:shd w:val="clear" w:color="auto" w:fill="auto"/>
          <w:lang w:val="en-US" w:eastAsia="zh-CN"/>
        </w:rPr>
        <w:t>部分项目完成后未及时付款，转下年执行。</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rPr>
      </w:pPr>
      <w:r>
        <w:rPr>
          <w:rFonts w:hint="default" w:ascii="Times New Roman" w:hAnsi="Times New Roman" w:eastAsia="方正仿宋_GBK" w:cs="Times New Roman"/>
          <w:sz w:val="32"/>
          <w:szCs w:val="32"/>
          <w:shd w:val="clear" w:color="auto" w:fill="auto"/>
        </w:rPr>
        <w:t>一般公共预算财政拨款支出主要</w:t>
      </w:r>
      <w:r>
        <w:rPr>
          <w:rFonts w:hint="default" w:ascii="Times New Roman" w:hAnsi="Times New Roman" w:eastAsia="方正仿宋_GBK" w:cs="Times New Roman"/>
          <w:sz w:val="32"/>
          <w:szCs w:val="32"/>
          <w:shd w:val="clear" w:color="auto" w:fill="auto"/>
          <w:lang w:eastAsia="zh-CN"/>
        </w:rPr>
        <w:t>用途如下</w:t>
      </w:r>
      <w:r>
        <w:rPr>
          <w:rFonts w:hint="default" w:ascii="Times New Roman" w:hAnsi="Times New Roman" w:eastAsia="方正仿宋_GBK" w:cs="Times New Roman"/>
          <w:sz w:val="32"/>
          <w:szCs w:val="32"/>
          <w:shd w:val="clear" w:color="auto" w:fill="auto"/>
        </w:rPr>
        <w:t>：</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rPr>
      </w:pPr>
      <w:r>
        <w:rPr>
          <w:rFonts w:hint="default" w:ascii="Times New Roman" w:hAnsi="Times New Roman" w:eastAsia="方正仿宋_GBK" w:cs="Times New Roman"/>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rPr>
        <w:t>1</w:t>
      </w:r>
      <w:r>
        <w:rPr>
          <w:rFonts w:hint="default" w:ascii="Times New Roman" w:hAnsi="Times New Roman" w:eastAsia="方正仿宋_GBK" w:cs="Times New Roman"/>
          <w:sz w:val="32"/>
          <w:szCs w:val="32"/>
          <w:shd w:val="clear" w:color="auto" w:fill="auto"/>
        </w:rPr>
        <w:t>）社会保障</w:t>
      </w:r>
      <w:r>
        <w:rPr>
          <w:rFonts w:hint="default" w:ascii="Times New Roman" w:hAnsi="Times New Roman" w:eastAsia="方正仿宋_GBK" w:cs="Times New Roman"/>
          <w:sz w:val="32"/>
          <w:szCs w:val="32"/>
          <w:shd w:val="clear" w:color="auto" w:fill="auto"/>
          <w:lang w:eastAsia="zh-CN"/>
        </w:rPr>
        <w:t>和</w:t>
      </w:r>
      <w:r>
        <w:rPr>
          <w:rFonts w:hint="default" w:ascii="Times New Roman" w:hAnsi="Times New Roman" w:eastAsia="方正仿宋_GBK" w:cs="Times New Roman"/>
          <w:sz w:val="32"/>
          <w:szCs w:val="32"/>
          <w:shd w:val="clear" w:color="auto" w:fill="auto"/>
        </w:rPr>
        <w:t>就业支出20.72万元，占8.4%，较年初预算数增加6.66万元，增长47.4%，主要原因是</w:t>
      </w:r>
      <w:r>
        <w:rPr>
          <w:rFonts w:hint="default" w:ascii="Times New Roman" w:hAnsi="Times New Roman" w:eastAsia="方正仿宋_GBK" w:cs="Times New Roman"/>
          <w:sz w:val="32"/>
          <w:szCs w:val="32"/>
          <w:shd w:val="clear" w:color="auto" w:fill="auto"/>
          <w:lang w:val="en-US" w:eastAsia="zh-CN"/>
        </w:rPr>
        <w:t>本单位为卫生健康委员会下属二级事业单位，上年与委里面和暑办公，办公经费专项材料费均在卫生健康委列支，今年分开办公，办公经费专项材料费均自行开支。</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rPr>
      </w:pPr>
      <w:r>
        <w:rPr>
          <w:rFonts w:hint="default" w:ascii="Times New Roman" w:hAnsi="Times New Roman" w:eastAsia="方正仿宋_GBK" w:cs="Times New Roman"/>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rPr>
        <w:t>2</w:t>
      </w:r>
      <w:r>
        <w:rPr>
          <w:rFonts w:hint="default" w:ascii="Times New Roman" w:hAnsi="Times New Roman" w:eastAsia="方正仿宋_GBK" w:cs="Times New Roman"/>
          <w:sz w:val="32"/>
          <w:szCs w:val="32"/>
          <w:shd w:val="clear" w:color="auto" w:fill="auto"/>
        </w:rPr>
        <w:t>）卫生健康支出220.01万元，占88.6%，较年初预算数减少93.51万元，下降29.8%，主要原因是</w:t>
      </w:r>
      <w:r>
        <w:rPr>
          <w:rFonts w:hint="default" w:ascii="Times New Roman" w:hAnsi="Times New Roman" w:eastAsia="方正仿宋_GBK" w:cs="Times New Roman"/>
          <w:sz w:val="32"/>
          <w:szCs w:val="32"/>
          <w:shd w:val="clear" w:color="auto" w:fill="auto"/>
          <w:lang w:val="en-US" w:eastAsia="zh-CN"/>
        </w:rPr>
        <w:t>医疗保险基数下降。</w:t>
      </w:r>
    </w:p>
    <w:p>
      <w:pPr>
        <w:keepNext w:val="0"/>
        <w:keepLines w:val="0"/>
        <w:pageBreakBefore w:val="0"/>
        <w:widowControl/>
        <w:shd w:val="clear"/>
        <w:kinsoku/>
        <w:wordWrap/>
        <w:overflowPunct/>
        <w:topLinePunct w:val="0"/>
        <w:autoSpaceDN/>
        <w:bidi w:val="0"/>
        <w:adjustRightInd/>
        <w:snapToGrid w:val="0"/>
        <w:spacing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rPr>
      </w:pPr>
      <w:r>
        <w:rPr>
          <w:rFonts w:hint="default" w:ascii="Times New Roman" w:hAnsi="Times New Roman" w:eastAsia="方正仿宋_GBK" w:cs="Times New Roman"/>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rPr>
        <w:t>3</w:t>
      </w:r>
      <w:r>
        <w:rPr>
          <w:rFonts w:hint="default" w:ascii="Times New Roman" w:hAnsi="Times New Roman" w:eastAsia="方正仿宋_GBK" w:cs="Times New Roman"/>
          <w:sz w:val="32"/>
          <w:szCs w:val="32"/>
          <w:shd w:val="clear" w:color="auto" w:fill="auto"/>
        </w:rPr>
        <w:t>）住房保障支出7.54万元，占3.0%，较年初预算数增加0.51万元，增长7.3%，主要原因是</w:t>
      </w:r>
      <w:r>
        <w:rPr>
          <w:rFonts w:hint="default" w:ascii="Times New Roman" w:hAnsi="Times New Roman" w:eastAsia="方正仿宋_GBK" w:cs="Times New Roman"/>
          <w:sz w:val="32"/>
          <w:szCs w:val="32"/>
          <w:shd w:val="clear" w:color="auto" w:fill="auto"/>
          <w:lang w:val="en-US" w:eastAsia="zh-CN"/>
        </w:rPr>
        <w:t>缴费基数调整。</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仿宋_GBK" w:cs="Times New Roman"/>
          <w:b w:val="0"/>
          <w:bCs/>
          <w:sz w:val="32"/>
          <w:szCs w:val="32"/>
          <w:shd w:val="clear" w:color="auto" w:fill="auto"/>
          <w:lang w:val="en-US" w:eastAsia="zh-CN" w:bidi="ar-SA"/>
        </w:rPr>
        <w:t>3.结转结余情况</w:t>
      </w:r>
      <w:r>
        <w:rPr>
          <w:rStyle w:val="10"/>
          <w:rFonts w:hint="default" w:ascii="Times New Roman" w:hAnsi="Times New Roman" w:eastAsia="方正仿宋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2024年度年末一般公共预算财政拨款结转和结余0.00万元，与2023年度相比，无增减。</w:t>
      </w:r>
    </w:p>
    <w:p>
      <w:pPr>
        <w:pStyle w:val="15"/>
        <w:keepNext w:val="0"/>
        <w:keepLines w:val="0"/>
        <w:pageBreakBefore w:val="0"/>
        <w:widowControl/>
        <w:shd w:val="clear"/>
        <w:kinsoku/>
        <w:wordWrap/>
        <w:overflowPunct/>
        <w:topLinePunct w:val="0"/>
        <w:autoSpaceDE w:val="0"/>
        <w:autoSpaceDN/>
        <w:bidi w:val="0"/>
        <w:adjustRightInd/>
        <w:snapToGrid/>
        <w:spacing w:line="560" w:lineRule="atLeas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（四）一般公共预算财政拨款基本支出决算情况说明</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2024年度一般公共财政拨款基本支出168.70万元。</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其中：</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人员经费148.79万元，与2023年度相比，增加107.82万元，增长263.2%，主要原因是人员工资调整及社保缴费基数调整。人员经费用途主要包括人员工资、社会保险缴费及住房公积金等。公用经费19.91万元，与2023年度相比，增加14.03万元，增长238.6%，主要原因是本单位为卫生健康委员会下属二级事业单位，上年与委里面和暑办公，办公经费专项材料费均在卫生健康委列支，今年分开办公，办公经费专项材料费均自行开支。</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公用经费用途主要包括办公用水、办公用电、公务用车运行维护、物业管理、网络通讯、办公材料等支出。</w:t>
      </w:r>
    </w:p>
    <w:p>
      <w:pPr>
        <w:pStyle w:val="15"/>
        <w:keepNext w:val="0"/>
        <w:keepLines w:val="0"/>
        <w:pageBreakBefore w:val="0"/>
        <w:widowControl/>
        <w:shd w:val="clear"/>
        <w:kinsoku/>
        <w:wordWrap/>
        <w:overflowPunct/>
        <w:topLinePunct w:val="0"/>
        <w:autoSpaceDE w:val="0"/>
        <w:autoSpaceDN/>
        <w:bidi w:val="0"/>
        <w:adjustRightInd/>
        <w:snapToGrid/>
        <w:spacing w:line="560" w:lineRule="atLeast"/>
        <w:ind w:firstLine="640" w:firstLineChars="200"/>
        <w:jc w:val="both"/>
        <w:textAlignment w:val="auto"/>
        <w:outlineLvl w:val="9"/>
        <w:rPr>
          <w:rFonts w:hint="default" w:ascii="Times New Roman" w:hAnsi="Times New Roman" w:eastAsia="楷体" w:cs="Times New Roman"/>
          <w:b w:val="0"/>
          <w:bCs/>
          <w:sz w:val="32"/>
          <w:szCs w:val="32"/>
          <w:shd w:val="clear" w:color="auto" w:fill="auto"/>
        </w:rPr>
      </w:pPr>
      <w:r>
        <w:rPr>
          <w:rStyle w:val="10"/>
          <w:rFonts w:hint="default" w:ascii="Times New Roman" w:hAnsi="Times New Roman" w:eastAsia="方正楷体_GBK" w:cs="Times New Roman"/>
          <w:b w:val="0"/>
          <w:bCs/>
          <w:sz w:val="32"/>
          <w:szCs w:val="32"/>
          <w:shd w:val="clear" w:color="auto" w:fill="auto"/>
          <w:lang w:val="en-US" w:eastAsia="zh-CN" w:bidi="ar-SA"/>
        </w:rPr>
        <w:t>（五）政府性基金预算收支决算情况说明</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本单位2024年度无政府性基金预算财政拨款收支。</w:t>
      </w:r>
    </w:p>
    <w:p>
      <w:pPr>
        <w:pStyle w:val="15"/>
        <w:keepNext w:val="0"/>
        <w:keepLines w:val="0"/>
        <w:pageBreakBefore w:val="0"/>
        <w:widowControl/>
        <w:shd w:val="clear"/>
        <w:kinsoku/>
        <w:wordWrap/>
        <w:overflowPunct/>
        <w:topLinePunct w:val="0"/>
        <w:autoSpaceDE w:val="0"/>
        <w:autoSpaceDN/>
        <w:bidi w:val="0"/>
        <w:adjustRightInd/>
        <w:snapToGrid/>
        <w:spacing w:line="560" w:lineRule="atLeast"/>
        <w:ind w:firstLine="640" w:firstLineChars="200"/>
        <w:jc w:val="both"/>
        <w:textAlignment w:val="auto"/>
        <w:outlineLvl w:val="9"/>
        <w:rPr>
          <w:rFonts w:hint="default" w:ascii="Times New Roman" w:hAnsi="Times New Roman" w:eastAsia="楷体" w:cs="Times New Roman"/>
          <w:b/>
          <w:bCs/>
          <w:sz w:val="32"/>
          <w:szCs w:val="32"/>
          <w:shd w:val="clear" w:color="auto" w:fill="auto"/>
        </w:rPr>
      </w:pPr>
      <w:r>
        <w:rPr>
          <w:rStyle w:val="10"/>
          <w:rFonts w:hint="default" w:ascii="Times New Roman" w:hAnsi="Times New Roman" w:eastAsia="方正楷体_GBK" w:cs="Times New Roman"/>
          <w:b w:val="0"/>
          <w:bCs/>
          <w:sz w:val="32"/>
          <w:szCs w:val="32"/>
          <w:shd w:val="clear" w:color="auto" w:fill="auto"/>
          <w:lang w:val="en-US" w:eastAsia="zh-CN" w:bidi="ar-SA"/>
        </w:rPr>
        <w:t>（六）国有资本经营预算财政拨款支出决算情况说明</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本单位2024年度无国有资本经营预算财政拨款支出。</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auto"/>
          <w:lang w:val="en-US" w:eastAsia="zh-CN" w:bidi="ar-SA"/>
        </w:rPr>
      </w:pPr>
      <w:r>
        <w:rPr>
          <w:rStyle w:val="10"/>
          <w:rFonts w:hint="default" w:ascii="Times New Roman" w:hAnsi="Times New Roman" w:eastAsia="方正黑体_GBK" w:cs="Times New Roman"/>
          <w:b w:val="0"/>
          <w:bCs/>
          <w:sz w:val="32"/>
          <w:szCs w:val="32"/>
          <w:shd w:val="clear" w:color="auto" w:fill="auto"/>
          <w:lang w:val="en-US" w:eastAsia="zh-CN" w:bidi="ar-SA"/>
        </w:rPr>
        <w:t>三、财政拨款“三公”经费情况说明</w:t>
      </w:r>
    </w:p>
    <w:p>
      <w:pPr>
        <w:pStyle w:val="15"/>
        <w:keepNext w:val="0"/>
        <w:keepLines w:val="0"/>
        <w:pageBreakBefore w:val="0"/>
        <w:widowControl/>
        <w:shd w:val="clear"/>
        <w:kinsoku/>
        <w:wordWrap/>
        <w:overflowPunct/>
        <w:topLinePunct w:val="0"/>
        <w:autoSpaceDE w:val="0"/>
        <w:autoSpaceDN/>
        <w:bidi w:val="0"/>
        <w:adjustRightInd/>
        <w:snapToGrid/>
        <w:spacing w:line="560" w:lineRule="atLeas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（一）“三公”经费支出总体情况说明</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2024年度“三公”经费支出共计1.35万元，较年初预算数增加1.35万元，增长100.0%，主要原因是增加采血车一辆导致公务用车运行维护费增加。较上年支出数增加1.18万元，增长694.1%，主要原因是增加采血车一辆导致公务用车运行维护费增加。</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auto"/>
          <w:lang w:val="en-US" w:eastAsia="zh-CN" w:bidi="ar-SA"/>
        </w:rPr>
      </w:pPr>
      <w:r>
        <w:rPr>
          <w:rStyle w:val="10"/>
          <w:rFonts w:hint="eastAsia" w:ascii="方正楷体_GBK" w:hAnsi="方正楷体_GBK" w:eastAsia="方正楷体_GBK" w:cs="方正楷体_GBK"/>
          <w:b w:val="0"/>
          <w:bCs/>
          <w:sz w:val="32"/>
          <w:szCs w:val="32"/>
          <w:shd w:val="clear" w:color="auto" w:fill="auto"/>
          <w:lang w:val="en-US" w:eastAsia="zh-CN" w:bidi="ar-SA"/>
        </w:rPr>
        <w:t>（二）“三公”经费分项支出情况</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2024年度本单位因公出国（境）费用0.00万元，费用支出较年初预算数无增减，较上年支出数无增减。</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2024年度本单位公务用车购置费0.00万元，费用支出较年初预算数无增减，较上年支出数无增减。</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2024年度本单位公务用车运行维护费1.35万元，主要用于采血车用油、保险费及过关费等支出。费用支出较年初预算数增加1.35万元，增长100.0%，主要原因是增加采血车一辆导致公务用车运行维护费增加。较上年支出数增加1.35万元，增长100.0%，主要原因是增加采血车一辆导致公务用车运行维护费增加。</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2024年度本单位公务接待费0.00万元，费用支出较年初预算数无增减，较上年支出数减少0.17万元，下降100.0%，主要原因是本年无公务接待。</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楷体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（三）“三公”经费实物量情况</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2024年度本单位因公出国（境）共计0个团组，0人；公务用车购置0辆，公务车保有量为1辆；国内公务接待0批次0人，其中：国内外事接待0批次，0人；国（境）外公务接待0批次，0人。2024年本单位人均接</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auto"/>
          <w:lang w:val="en-US" w:eastAsia="zh-CN" w:bidi="ar-SA"/>
        </w:rPr>
      </w:pPr>
      <w:r>
        <w:rPr>
          <w:rStyle w:val="10"/>
          <w:rFonts w:hint="default" w:ascii="Times New Roman" w:hAnsi="Times New Roman" w:eastAsia="方正黑体_GBK" w:cs="Times New Roman"/>
          <w:b w:val="0"/>
          <w:bCs/>
          <w:sz w:val="32"/>
          <w:szCs w:val="32"/>
          <w:shd w:val="clear" w:color="auto" w:fill="auto"/>
          <w:lang w:val="en-US" w:eastAsia="zh-CN" w:bidi="ar-SA"/>
        </w:rPr>
        <w:t>四、其他需要说明的事项</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Fonts w:hint="default" w:ascii="Times New Roman" w:hAnsi="Times New Roman" w:eastAsia="楷体" w:cs="Times New Roman"/>
          <w:b w:val="0"/>
          <w:bCs/>
          <w:sz w:val="32"/>
          <w:szCs w:val="32"/>
          <w:shd w:val="clear" w:color="auto" w:fill="auto"/>
        </w:rPr>
      </w:pPr>
      <w:r>
        <w:rPr>
          <w:rStyle w:val="10"/>
          <w:rFonts w:hint="default" w:ascii="Times New Roman" w:hAnsi="Times New Roman" w:eastAsia="方正楷体_GBK" w:cs="Times New Roman"/>
          <w:b w:val="0"/>
          <w:bCs/>
          <w:sz w:val="32"/>
          <w:szCs w:val="32"/>
          <w:shd w:val="clear" w:color="auto" w:fill="auto"/>
          <w:lang w:val="en-US" w:eastAsia="zh-CN" w:bidi="ar-SA"/>
        </w:rPr>
        <w:t>（一）财政拨款会议费、培训费和差旅费情况说明</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本年度会议费支出0.00万元，与2023年度相比，无增减</w:t>
      </w:r>
      <w:r>
        <w:rPr>
          <w:rFonts w:hint="eastAsia" w:ascii="Times New Roman" w:hAnsi="Times New Roman" w:eastAsia="方正仿宋_GBK" w:cs="Times New Roman"/>
          <w:sz w:val="32"/>
          <w:szCs w:val="32"/>
          <w:shd w:val="clear" w:color="auto" w:fill="auto"/>
          <w:lang w:val="en-US" w:eastAsia="zh-CN" w:bidi="ar-SA"/>
        </w:rPr>
        <w:t>。</w:t>
      </w:r>
      <w:r>
        <w:rPr>
          <w:rFonts w:hint="default" w:ascii="Times New Roman" w:hAnsi="Times New Roman" w:eastAsia="方正仿宋_GBK" w:cs="Times New Roman"/>
          <w:sz w:val="32"/>
          <w:szCs w:val="32"/>
          <w:shd w:val="clear" w:color="auto" w:fill="auto"/>
          <w:lang w:val="en-US" w:eastAsia="zh-CN" w:bidi="ar-SA"/>
        </w:rPr>
        <w:t>本年度培训费支出0.34万元，与2023年度相比，增加0.34万元，增长100.0%，主要原因是本单位为卫生健康委员会下属二级预算单位，上年度与委机关合并办公，费用均在委机关开支，本年独立核算，费用均在本单位开支。本年度差旅费支出6.54万元，与2023年度相比，增加6.12万元，增长1457.1%，主要原因是本单位为卫生健康委员会下属二级预算单位，上年度与委机关合并办公，费用均在委机关开支，本年独立核算，费用均在本单位开支。</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（二）机关运行经费情况说明</w:t>
      </w:r>
    </w:p>
    <w:p>
      <w:pPr>
        <w:pStyle w:val="8"/>
        <w:keepNext w:val="0"/>
        <w:keepLines w:val="0"/>
        <w:pageBreakBefore w:val="0"/>
        <w:widowControl/>
        <w:shd w:val="clear"/>
        <w:kinsoku/>
        <w:wordWrap/>
        <w:overflowPunct/>
        <w:topLinePunct w:val="0"/>
        <w:autoSpaceDE/>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按照部门决算列报口径，本单位不在机关运行经费统计范围之内。</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（三）国有资产占用情况说明</w:t>
      </w:r>
    </w:p>
    <w:p>
      <w:pPr>
        <w:pStyle w:val="8"/>
        <w:keepNext w:val="0"/>
        <w:keepLines w:val="0"/>
        <w:pageBreakBefore w:val="0"/>
        <w:widowControl/>
        <w:shd w:val="clear"/>
        <w:kinsoku/>
        <w:wordWrap/>
        <w:overflowPunct/>
        <w:topLinePunct w:val="0"/>
        <w:autoSpaceDE/>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截至2024年12月31日，本单位共有车辆1辆，其中，副部（省）级及以上领导用车0辆、主要负责人用车0辆、机要通信用车0辆、应急保障用车0辆、执法执勤用车0辆，特种专业技术用车1辆，离退休干部用车0辆。单价100万元（含）以上专用设备0台（套）。</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（四）政府采购支出情况说明</w:t>
      </w:r>
    </w:p>
    <w:p>
      <w:pPr>
        <w:pStyle w:val="8"/>
        <w:keepNext w:val="0"/>
        <w:keepLines w:val="0"/>
        <w:pageBreakBefore w:val="0"/>
        <w:widowControl/>
        <w:shd w:val="clear"/>
        <w:kinsoku/>
        <w:wordWrap/>
        <w:overflowPunct/>
        <w:topLinePunct w:val="0"/>
        <w:autoSpaceDE/>
        <w:autoSpaceDN/>
        <w:bidi w:val="0"/>
        <w:adjustRightInd/>
        <w:snapToGrid w:val="0"/>
        <w:spacing w:before="0" w:beforeAutospacing="0" w:after="0" w:afterAutospacing="0" w:line="560" w:lineRule="atLeast"/>
        <w:ind w:firstLine="640" w:firstLineChars="200"/>
        <w:jc w:val="both"/>
        <w:textAlignment w:val="auto"/>
        <w:outlineLvl w:val="9"/>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2024年度本单位政府采购支出总额1.13万元，其中：政府采购货物支出1.13万元、政府采购工程支出0.00万元、政府采购服务支出0.00万元。授予中小企业合同金额1.13万元，占政府采购支出总额的100.0%，其中：授予小微企业合同金额1.13万元，占政府采购支出总额的100.0 %。主要用于采购采供血医疗设备。</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auto"/>
          <w:lang w:val="en-US" w:eastAsia="zh-CN" w:bidi="ar-SA"/>
        </w:rPr>
      </w:pPr>
      <w:r>
        <w:rPr>
          <w:rStyle w:val="10"/>
          <w:rFonts w:hint="default" w:ascii="Times New Roman" w:hAnsi="Times New Roman" w:eastAsia="方正黑体_GBK" w:cs="Times New Roman"/>
          <w:b w:val="0"/>
          <w:bCs/>
          <w:sz w:val="32"/>
          <w:szCs w:val="32"/>
          <w:shd w:val="clear" w:color="auto" w:fill="auto"/>
          <w:lang w:val="en-US" w:eastAsia="zh-CN" w:bidi="ar-SA"/>
        </w:rPr>
        <w:t>五、预算绩效管理情况说明</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Style w:val="10"/>
          <w:rFonts w:hint="default" w:ascii="Times New Roman" w:hAnsi="Times New Roman" w:eastAsia="方正楷体_GBK" w:cs="Times New Roman"/>
          <w:b w:val="0"/>
          <w:bCs/>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（一）单位自评情况</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Fonts w:hint="default" w:ascii="Times New Roman" w:hAnsi="Times New Roman" w:eastAsia="方正仿宋_GBK" w:cs="Times New Roman"/>
          <w:sz w:val="32"/>
          <w:szCs w:val="32"/>
          <w:shd w:val="clear" w:color="auto" w:fill="auto"/>
          <w:lang w:val="en-US" w:eastAsia="zh-CN" w:bidi="ar-SA"/>
        </w:rPr>
        <w:t>根据预算绩效管理要求，本单位对2个项目开展了绩效自评，涉及项目支出资金79.58万元。</w:t>
      </w:r>
    </w:p>
    <w:tbl>
      <w:tblPr>
        <w:tblStyle w:val="11"/>
        <w:tblW w:w="8335" w:type="dxa"/>
        <w:tblInd w:w="0" w:type="dxa"/>
        <w:shd w:val="clear" w:color="auto" w:fill="auto"/>
        <w:tblLayout w:type="fixed"/>
        <w:tblCellMar>
          <w:top w:w="0" w:type="dxa"/>
          <w:left w:w="0" w:type="dxa"/>
          <w:bottom w:w="0" w:type="dxa"/>
          <w:right w:w="0" w:type="dxa"/>
        </w:tblCellMar>
      </w:tblPr>
      <w:tblGrid>
        <w:gridCol w:w="528"/>
        <w:gridCol w:w="601"/>
        <w:gridCol w:w="2026"/>
        <w:gridCol w:w="619"/>
        <w:gridCol w:w="786"/>
        <w:gridCol w:w="592"/>
        <w:gridCol w:w="632"/>
        <w:gridCol w:w="721"/>
        <w:gridCol w:w="644"/>
        <w:gridCol w:w="554"/>
        <w:gridCol w:w="632"/>
      </w:tblGrid>
      <w:tr>
        <w:tblPrEx>
          <w:shd w:val="clear" w:color="auto" w:fill="auto"/>
          <w:tblLayout w:type="fixed"/>
          <w:tblCellMar>
            <w:top w:w="0" w:type="dxa"/>
            <w:left w:w="0" w:type="dxa"/>
            <w:bottom w:w="0" w:type="dxa"/>
            <w:right w:w="0" w:type="dxa"/>
          </w:tblCellMar>
        </w:tblPrEx>
        <w:trPr>
          <w:trHeight w:val="825" w:hRule="atLeast"/>
        </w:trPr>
        <w:tc>
          <w:tcPr>
            <w:tcW w:w="5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序号</w:t>
            </w:r>
          </w:p>
        </w:tc>
        <w:tc>
          <w:tcPr>
            <w:tcW w:w="6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项目名称</w:t>
            </w:r>
          </w:p>
        </w:tc>
        <w:tc>
          <w:tcPr>
            <w:tcW w:w="20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指标名称</w:t>
            </w:r>
          </w:p>
        </w:tc>
        <w:tc>
          <w:tcPr>
            <w:tcW w:w="6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指标性质</w:t>
            </w:r>
          </w:p>
        </w:tc>
        <w:tc>
          <w:tcPr>
            <w:tcW w:w="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指标值</w:t>
            </w:r>
          </w:p>
        </w:tc>
        <w:tc>
          <w:tcPr>
            <w:tcW w:w="59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计量单位</w:t>
            </w:r>
          </w:p>
        </w:tc>
        <w:tc>
          <w:tcPr>
            <w:tcW w:w="6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指标权重</w:t>
            </w:r>
          </w:p>
        </w:tc>
        <w:tc>
          <w:tcPr>
            <w:tcW w:w="72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全年完成值</w:t>
            </w:r>
          </w:p>
        </w:tc>
        <w:tc>
          <w:tcPr>
            <w:tcW w:w="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指标得分</w:t>
            </w:r>
          </w:p>
        </w:tc>
        <w:tc>
          <w:tcPr>
            <w:tcW w:w="5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说明</w:t>
            </w:r>
          </w:p>
        </w:tc>
        <w:tc>
          <w:tcPr>
            <w:tcW w:w="6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自评得分</w:t>
            </w:r>
          </w:p>
        </w:tc>
      </w:tr>
      <w:tr>
        <w:tblPrEx>
          <w:tblLayout w:type="fixed"/>
          <w:tblCellMar>
            <w:top w:w="0" w:type="dxa"/>
            <w:left w:w="0" w:type="dxa"/>
            <w:bottom w:w="0" w:type="dxa"/>
            <w:right w:w="0" w:type="dxa"/>
          </w:tblCellMar>
        </w:tblPrEx>
        <w:trPr>
          <w:trHeight w:val="66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1</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lang w:val="en-US" w:eastAsia="zh-CN"/>
              </w:rPr>
            </w:pPr>
            <w:r>
              <w:rPr>
                <w:rFonts w:hint="eastAsia" w:ascii="方正仿宋_GBK" w:hAnsi="方正仿宋_GBK" w:eastAsia="方正仿宋_GBK" w:cs="方正仿宋_GBK"/>
                <w:i w:val="0"/>
                <w:color w:val="000000"/>
                <w:sz w:val="24"/>
                <w:szCs w:val="24"/>
                <w:u w:val="none"/>
                <w:lang w:val="en-US" w:eastAsia="zh-CN"/>
              </w:rPr>
              <w:t>采供血业务运行</w:t>
            </w: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720" w:firstLineChars="300"/>
              <w:jc w:val="both"/>
              <w:textAlignment w:val="center"/>
              <w:rPr>
                <w:rFonts w:hint="eastAsia" w:ascii="方正仿宋_GBK" w:hAnsi="方正仿宋_GBK" w:eastAsia="方正仿宋_GBK" w:cs="方正仿宋_GBK"/>
                <w:i w:val="0"/>
                <w:color w:val="000000"/>
                <w:sz w:val="24"/>
                <w:szCs w:val="24"/>
                <w:u w:val="none"/>
                <w:lang w:val="en-US" w:eastAsia="zh-CN"/>
              </w:rPr>
            </w:pPr>
            <w:r>
              <w:rPr>
                <w:rFonts w:hint="eastAsia" w:ascii="方正仿宋_GBK" w:hAnsi="方正仿宋_GBK" w:eastAsia="方正仿宋_GBK" w:cs="方正仿宋_GBK"/>
                <w:i w:val="0"/>
                <w:color w:val="000000"/>
                <w:sz w:val="24"/>
                <w:szCs w:val="24"/>
                <w:u w:val="none"/>
                <w:lang w:val="en-US" w:eastAsia="zh-CN"/>
              </w:rPr>
              <w:t>采血率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eastAsia="zh-CN"/>
              </w:rPr>
            </w:pPr>
            <w:r>
              <w:rPr>
                <w:rFonts w:hint="default" w:ascii="Times New Roman" w:hAnsi="Times New Roman" w:eastAsia="仿宋" w:cs="Times New Roman"/>
                <w:i w:val="0"/>
                <w:color w:val="000000"/>
                <w:sz w:val="24"/>
                <w:szCs w:val="24"/>
                <w:u w:val="none"/>
                <w:lang w:val="en-US" w:eastAsia="zh-CN"/>
              </w:rPr>
              <w:t>90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99</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32"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100</w:t>
            </w: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sz w:val="24"/>
                <w:szCs w:val="24"/>
                <w:u w:val="none"/>
                <w:lang w:val="en-US" w:eastAsia="zh-CN"/>
              </w:rPr>
              <w:t>千人口献血率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eastAsia="zh-CN"/>
              </w:rPr>
            </w:pPr>
            <w:r>
              <w:rPr>
                <w:rFonts w:hint="default" w:ascii="Times New Roman" w:hAnsi="Times New Roman" w:eastAsia="仿宋" w:cs="Times New Roman"/>
                <w:i w:val="0"/>
                <w:color w:val="000000"/>
                <w:sz w:val="24"/>
                <w:szCs w:val="24"/>
                <w:u w:val="none"/>
                <w:lang w:val="en-US" w:eastAsia="zh-CN"/>
              </w:rPr>
              <w:t>90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96</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lang w:val="en-US"/>
              </w:rPr>
            </w:pPr>
            <w:r>
              <w:rPr>
                <w:rFonts w:hint="eastAsia" w:ascii="方正仿宋_GBK" w:hAnsi="方正仿宋_GBK" w:eastAsia="方正仿宋_GBK" w:cs="方正仿宋_GBK"/>
                <w:i w:val="0"/>
                <w:color w:val="000000"/>
                <w:kern w:val="0"/>
                <w:sz w:val="24"/>
                <w:szCs w:val="24"/>
                <w:u w:val="none"/>
                <w:lang w:val="en-US" w:eastAsia="zh-CN" w:bidi="ar"/>
              </w:rPr>
              <w:t>供血率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90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99</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2</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lang w:val="en-US"/>
              </w:rPr>
            </w:pPr>
            <w:r>
              <w:rPr>
                <w:rFonts w:hint="eastAsia" w:ascii="方正仿宋_GBK" w:hAnsi="方正仿宋_GBK" w:eastAsia="方正仿宋_GBK" w:cs="方正仿宋_GBK"/>
                <w:i w:val="0"/>
                <w:color w:val="000000"/>
                <w:kern w:val="0"/>
                <w:sz w:val="24"/>
                <w:szCs w:val="24"/>
                <w:u w:val="none"/>
                <w:lang w:val="en-US" w:eastAsia="zh-CN" w:bidi="ar"/>
              </w:rPr>
              <w:t>重大传染病中央补助项目</w:t>
            </w: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血液标本艾滋病核酸检测覆盖率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100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人</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eastAsia" w:ascii="Times New Roman" w:hAnsi="Times New Roman" w:eastAsia="仿宋" w:cs="Times New Roman"/>
                <w:i w:val="0"/>
                <w:color w:val="000000"/>
                <w:kern w:val="0"/>
                <w:sz w:val="24"/>
                <w:szCs w:val="24"/>
                <w:u w:val="none"/>
                <w:lang w:val="en-US" w:eastAsia="zh-CN" w:bidi="ar"/>
              </w:rPr>
              <w:t>100</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eastAsia="zh-CN"/>
              </w:rPr>
            </w:pPr>
            <w:r>
              <w:rPr>
                <w:rFonts w:hint="eastAsia" w:ascii="Times New Roman" w:hAnsi="Times New Roman" w:eastAsia="仿宋" w:cs="Times New Roman"/>
                <w:i w:val="0"/>
                <w:color w:val="000000"/>
                <w:sz w:val="24"/>
                <w:szCs w:val="24"/>
                <w:u w:val="none"/>
                <w:lang w:val="en-US" w:eastAsia="zh-CN"/>
              </w:rPr>
              <w:t>100</w:t>
            </w: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血液标本艾滋病核酸检测结果出具期限</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72</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h</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eastAsia" w:ascii="Times New Roman" w:hAnsi="Times New Roman" w:eastAsia="仿宋" w:cs="Times New Roman"/>
                <w:i w:val="0"/>
                <w:color w:val="000000"/>
                <w:kern w:val="0"/>
                <w:sz w:val="24"/>
                <w:szCs w:val="24"/>
                <w:u w:val="none"/>
                <w:lang w:val="en-US" w:eastAsia="zh-CN" w:bidi="ar"/>
              </w:rPr>
              <w:t>72</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eastAsia" w:ascii="Times New Roman" w:hAnsi="Times New Roman" w:eastAsia="仿宋" w:cs="Times New Roman"/>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r>
      <w:tr>
        <w:tblPrEx>
          <w:tblLayout w:type="fixed"/>
          <w:tblCellMar>
            <w:top w:w="0" w:type="dxa"/>
            <w:left w:w="0" w:type="dxa"/>
            <w:bottom w:w="0" w:type="dxa"/>
            <w:right w:w="0" w:type="dxa"/>
          </w:tblCellMar>
        </w:tblPrEx>
        <w:trPr>
          <w:trHeight w:val="660" w:hRule="atLeast"/>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24"/>
                <w:szCs w:val="24"/>
                <w:u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4"/>
                <w:szCs w:val="24"/>
                <w:u w:val="none"/>
              </w:rPr>
            </w:pPr>
            <w:r>
              <w:rPr>
                <w:rFonts w:hint="eastAsia" w:ascii="方正仿宋_GBK" w:hAnsi="方正仿宋_GBK" w:eastAsia="方正仿宋_GBK" w:cs="方正仿宋_GBK"/>
                <w:i w:val="0"/>
                <w:color w:val="000000"/>
                <w:kern w:val="0"/>
                <w:sz w:val="24"/>
                <w:szCs w:val="24"/>
                <w:u w:val="none"/>
                <w:lang w:val="en-US" w:eastAsia="zh-CN" w:bidi="ar"/>
              </w:rPr>
              <w:t>对献血员艾滋病防治宣传率</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100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rPr>
            </w:pPr>
            <w:r>
              <w:rPr>
                <w:rFonts w:hint="default" w:ascii="Times New Roman" w:hAnsi="Times New Roman" w:eastAsia="仿宋" w:cs="Times New Roman"/>
                <w:i w:val="0"/>
                <w:color w:val="000000"/>
                <w:kern w:val="0"/>
                <w:sz w:val="24"/>
                <w:szCs w:val="24"/>
                <w:u w:val="none"/>
                <w:lang w:val="en-US" w:eastAsia="zh-CN" w:bidi="ar"/>
              </w:rPr>
              <w:t>%</w:t>
            </w:r>
          </w:p>
        </w:tc>
        <w:tc>
          <w:tcPr>
            <w:tcW w:w="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default" w:ascii="Times New Roman" w:hAnsi="Times New Roman" w:eastAsia="仿宋" w:cs="Times New Roman"/>
                <w:i w:val="0"/>
                <w:color w:val="000000"/>
                <w:kern w:val="0"/>
                <w:sz w:val="24"/>
                <w:szCs w:val="24"/>
                <w:u w:val="none"/>
                <w:lang w:val="en-US" w:eastAsia="zh-CN" w:bidi="ar"/>
              </w:rPr>
              <w:t>30</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eastAsia" w:ascii="Times New Roman" w:hAnsi="Times New Roman" w:eastAsia="仿宋" w:cs="Times New Roman"/>
                <w:i w:val="0"/>
                <w:color w:val="000000"/>
                <w:kern w:val="0"/>
                <w:sz w:val="24"/>
                <w:szCs w:val="24"/>
                <w:u w:val="none"/>
                <w:lang w:val="en-US" w:eastAsia="zh-CN" w:bidi="ar"/>
              </w:rPr>
              <w:t>100</w:t>
            </w:r>
          </w:p>
        </w:tc>
        <w:tc>
          <w:tcPr>
            <w:tcW w:w="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4"/>
                <w:szCs w:val="24"/>
                <w:u w:val="none"/>
                <w:lang w:val="en-US"/>
              </w:rPr>
            </w:pPr>
            <w:r>
              <w:rPr>
                <w:rFonts w:hint="eastAsia" w:ascii="Times New Roman" w:hAnsi="Times New Roman" w:eastAsia="仿宋" w:cs="Times New Roman"/>
                <w:i w:val="0"/>
                <w:color w:val="000000"/>
                <w:kern w:val="0"/>
                <w:sz w:val="24"/>
                <w:szCs w:val="24"/>
                <w:u w:val="none"/>
                <w:lang w:val="en-US" w:eastAsia="zh-CN" w:bidi="ar"/>
              </w:rPr>
              <w:t>30</w:t>
            </w:r>
          </w:p>
        </w:tc>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 w:cs="Times New Roman"/>
                <w:i w:val="0"/>
                <w:color w:val="000000"/>
                <w:sz w:val="24"/>
                <w:szCs w:val="24"/>
                <w:u w:val="none"/>
              </w:rPr>
            </w:pPr>
          </w:p>
        </w:tc>
      </w:tr>
    </w:tbl>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Style w:val="10"/>
          <w:rFonts w:hint="default" w:ascii="Times New Roman" w:hAnsi="Times New Roman" w:eastAsia="方正楷体_GBK" w:cs="Times New Roman"/>
          <w:b w:val="0"/>
          <w:bCs/>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（二）单位绩效评价情况</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hint="eastAsia" w:ascii="Times New Roman" w:hAnsi="Times New Roman" w:eastAsia="方正仿宋_GBK" w:cs="Times New Roman"/>
          <w:sz w:val="32"/>
          <w:szCs w:val="32"/>
          <w:shd w:val="clear" w:color="auto" w:fill="auto"/>
          <w:lang w:val="en-US" w:eastAsia="zh-CN" w:bidi="ar-SA"/>
        </w:rPr>
      </w:pPr>
      <w:r>
        <w:rPr>
          <w:rFonts w:hint="eastAsia" w:ascii="Times New Roman" w:hAnsi="Times New Roman" w:eastAsia="方正仿宋_GBK" w:cs="Times New Roman"/>
          <w:sz w:val="32"/>
          <w:szCs w:val="32"/>
          <w:shd w:val="clear" w:color="auto" w:fill="auto"/>
          <w:lang w:val="en-US" w:eastAsia="zh-CN" w:bidi="ar-SA"/>
        </w:rPr>
        <w:t>本单位未组织开展绩效评价。</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Style w:val="10"/>
          <w:rFonts w:hint="default" w:ascii="Times New Roman" w:hAnsi="Times New Roman" w:eastAsia="方正黑体_GBK" w:cs="Times New Roman"/>
          <w:b w:val="0"/>
          <w:bCs/>
          <w:sz w:val="32"/>
          <w:szCs w:val="32"/>
          <w:shd w:val="clear" w:color="auto" w:fill="auto"/>
          <w:lang w:val="en-US" w:eastAsia="zh-CN" w:bidi="ar-SA"/>
        </w:rPr>
      </w:pPr>
      <w:r>
        <w:rPr>
          <w:rStyle w:val="10"/>
          <w:rFonts w:hint="default" w:ascii="Times New Roman" w:hAnsi="Times New Roman" w:eastAsia="方正黑体_GBK" w:cs="Times New Roman"/>
          <w:b w:val="0"/>
          <w:bCs/>
          <w:sz w:val="32"/>
          <w:szCs w:val="32"/>
          <w:shd w:val="clear" w:color="auto" w:fill="auto"/>
          <w:lang w:val="en-US" w:eastAsia="zh-CN" w:bidi="ar-SA"/>
        </w:rPr>
        <w:t>六、专业名词解释</w:t>
      </w:r>
    </w:p>
    <w:p>
      <w:pPr>
        <w:pStyle w:val="8"/>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（一）财政拨款收入</w:t>
      </w:r>
      <w:r>
        <w:rPr>
          <w:rFonts w:hint="default" w:ascii="Times New Roman" w:hAnsi="Times New Roman" w:eastAsia="楷体"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指本年度从本级财政部门取得的财政拨款。</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（二）事业收入</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指事业单位开展专业业务活动及其辅助活动取得的收入。</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（三）经营收入</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指事业单位在专业业务活动及其辅助活动之外开展非独立核算经营活动取得的收入。</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（四）其他收入</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shd w:val="clear"/>
        <w:kinsoku/>
        <w:wordWrap/>
        <w:overflowPunct/>
        <w:topLinePunct w:val="0"/>
        <w:autoSpaceDE/>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（五）使用非财政拨款结余（含专用结余）</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rPr>
        <w:t>指</w:t>
      </w:r>
      <w:r>
        <w:rPr>
          <w:rFonts w:hint="default" w:ascii="Times New Roman" w:hAnsi="Times New Roman" w:eastAsia="方正仿宋_GBK" w:cs="Times New Roman"/>
          <w:sz w:val="32"/>
          <w:szCs w:val="32"/>
          <w:shd w:val="clear" w:color="auto" w:fill="auto"/>
          <w:lang w:val="en-US" w:eastAsia="zh-CN" w:bidi="ar-SA"/>
        </w:rPr>
        <w:t>事业单位按照预算管理要求使用非财政拨款结余弥补收支差额的金额，以及使用专用结余安排支出的金额。</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（六）年初结转和结余</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指单位上年结转本年使用的基本支出结转、项目支出结转和结余、经营结余。</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（七）结余分配</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指单位按照国家有关规定，缴纳所得税、提取专用基金、转入非财政拨款结余等当年结余的分配情况。</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rPr>
      </w:pPr>
      <w:r>
        <w:rPr>
          <w:rStyle w:val="10"/>
          <w:rFonts w:hint="default" w:ascii="Times New Roman" w:hAnsi="Times New Roman" w:eastAsia="方正楷体_GBK" w:cs="Times New Roman"/>
          <w:b w:val="0"/>
          <w:bCs/>
          <w:sz w:val="32"/>
          <w:szCs w:val="32"/>
          <w:shd w:val="clear" w:color="auto" w:fill="auto"/>
          <w:lang w:val="en-US" w:eastAsia="zh-CN" w:bidi="ar-SA"/>
        </w:rPr>
        <w:t>（八）年末结转和结余</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指单位结转下年的基本支出结转、项目支出结转和结余、经营结余。</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（九）基本支出</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（十）项目支出</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指在基本支出之外为完成特定行政任务和事业发展目标所发生的支出。</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（十一）经营支出</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rPr>
        <w:t>指</w:t>
      </w:r>
      <w:r>
        <w:rPr>
          <w:rFonts w:hint="default" w:ascii="Times New Roman" w:hAnsi="Times New Roman" w:eastAsia="方正仿宋_GBK" w:cs="Times New Roman"/>
          <w:sz w:val="32"/>
          <w:szCs w:val="32"/>
          <w:shd w:val="clear" w:color="auto" w:fill="auto"/>
          <w:lang w:val="en-US" w:eastAsia="zh-CN" w:bidi="ar-SA"/>
        </w:rPr>
        <w:t>事业单位在专业业务活动及其辅助活动之外开展非独立核算经营活动发生的支出。</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（十二）“三公”经费</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（十三）机关运行经费</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（十四）工资福利支出（支出经济分类科目类级）</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rPr>
        <w:t>反</w:t>
      </w:r>
      <w:r>
        <w:rPr>
          <w:rFonts w:hint="default" w:ascii="Times New Roman" w:hAnsi="Times New Roman" w:eastAsia="方正仿宋_GBK" w:cs="Times New Roman"/>
          <w:sz w:val="32"/>
          <w:szCs w:val="32"/>
          <w:shd w:val="clear" w:color="auto" w:fill="auto"/>
          <w:lang w:val="en-US" w:eastAsia="zh-CN" w:bidi="ar-SA"/>
        </w:rPr>
        <w:t>映单位开支的在职职工和编制外长期聘用人员的各类劳动报酬，以及为上述人员缴纳的各项社会保险费等。</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lang w:val="en-US" w:eastAsia="zh-CN" w:bidi="ar-SA"/>
        </w:rPr>
      </w:pPr>
      <w:r>
        <w:rPr>
          <w:rStyle w:val="10"/>
          <w:rFonts w:hint="default" w:ascii="Times New Roman" w:hAnsi="Times New Roman" w:eastAsia="方正楷体_GBK" w:cs="Times New Roman"/>
          <w:b w:val="0"/>
          <w:bCs/>
          <w:sz w:val="32"/>
          <w:szCs w:val="32"/>
          <w:shd w:val="clear" w:color="auto" w:fill="auto"/>
          <w:lang w:val="en-US" w:eastAsia="zh-CN" w:bidi="ar-SA"/>
        </w:rPr>
        <w:t>（十五）商品和服务支出（支出经济分类科目类级）</w:t>
      </w:r>
      <w:r>
        <w:rPr>
          <w:rFonts w:hint="default" w:ascii="Times New Roman" w:hAnsi="Times New Roman" w:eastAsia="方正楷体_GBK" w:cs="Times New Roman"/>
          <w:b w:val="0"/>
          <w:bCs/>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反映单位购买商品和服务的支出（不包括用于购置固定资产的支出、战略性和应急储备支出）。</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rPr>
      </w:pPr>
      <w:r>
        <w:rPr>
          <w:rStyle w:val="10"/>
          <w:rFonts w:hint="default" w:ascii="Times New Roman" w:hAnsi="Times New Roman" w:eastAsia="方正楷体_GBK" w:cs="Times New Roman"/>
          <w:b w:val="0"/>
          <w:bCs/>
          <w:sz w:val="32"/>
          <w:szCs w:val="32"/>
          <w:shd w:val="clear" w:color="auto" w:fill="auto"/>
          <w:lang w:val="en-US" w:eastAsia="zh-CN" w:bidi="ar-SA"/>
        </w:rPr>
        <w:t>（十六）对个人和家庭的补助（支出经济分类科目类级）</w:t>
      </w:r>
      <w:r>
        <w:rPr>
          <w:rFonts w:hint="default" w:ascii="Times New Roman" w:hAnsi="Times New Roman" w:eastAsia="楷体" w:cs="Times New Roman"/>
          <w:sz w:val="32"/>
          <w:szCs w:val="32"/>
          <w:shd w:val="clear" w:color="auto" w:fill="auto"/>
        </w:rPr>
        <w:t>：</w:t>
      </w:r>
      <w:r>
        <w:rPr>
          <w:rFonts w:hint="default" w:ascii="Times New Roman" w:hAnsi="Times New Roman" w:eastAsia="方正仿宋_GBK" w:cs="Times New Roman"/>
          <w:sz w:val="32"/>
          <w:szCs w:val="32"/>
          <w:shd w:val="clear" w:color="auto" w:fill="auto"/>
          <w:lang w:val="en-US" w:eastAsia="zh-CN" w:bidi="ar-SA"/>
        </w:rPr>
        <w:t>反映用于对个人和家庭的补助支出</w:t>
      </w:r>
      <w:r>
        <w:rPr>
          <w:rFonts w:hint="default" w:ascii="Times New Roman" w:hAnsi="Times New Roman" w:eastAsia="方正仿宋_GBK" w:cs="Times New Roman"/>
          <w:sz w:val="32"/>
          <w:szCs w:val="32"/>
          <w:shd w:val="clear" w:color="auto" w:fill="auto"/>
        </w:rPr>
        <w:t>。</w:t>
      </w:r>
    </w:p>
    <w:p>
      <w:pPr>
        <w:pStyle w:val="8"/>
        <w:keepNext w:val="0"/>
        <w:keepLines w:val="0"/>
        <w:pageBreakBefore w:val="0"/>
        <w:widowControl/>
        <w:shd w:val="clear"/>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shd w:val="clear" w:color="auto" w:fill="auto"/>
        </w:rPr>
      </w:pPr>
      <w:r>
        <w:rPr>
          <w:rStyle w:val="10"/>
          <w:rFonts w:hint="default" w:ascii="Times New Roman" w:hAnsi="Times New Roman" w:eastAsia="方正楷体_GBK" w:cs="Times New Roman"/>
          <w:b w:val="0"/>
          <w:bCs/>
          <w:sz w:val="32"/>
          <w:szCs w:val="32"/>
          <w:shd w:val="clear" w:color="auto" w:fill="auto"/>
          <w:lang w:val="en-US" w:eastAsia="zh-CN" w:bidi="ar-SA"/>
        </w:rPr>
        <w:t>（十七）其他资本性支出（支出经济分类科目类级）：</w:t>
      </w:r>
      <w:r>
        <w:rPr>
          <w:rFonts w:hint="default" w:ascii="Times New Roman" w:hAnsi="Times New Roman" w:eastAsia="方正仿宋_GBK" w:cs="Times New Roman"/>
          <w:sz w:val="32"/>
          <w:szCs w:val="32"/>
          <w:shd w:val="clear" w:color="auto" w:fill="auto"/>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auto"/>
        <w:rPr>
          <w:rStyle w:val="10"/>
          <w:rFonts w:hint="default" w:ascii="Times New Roman" w:hAnsi="Times New Roman" w:eastAsia="方正黑体_GBK" w:cs="Times New Roman"/>
          <w:b w:val="0"/>
          <w:bCs/>
          <w:sz w:val="32"/>
          <w:szCs w:val="32"/>
          <w:shd w:val="clear" w:color="auto" w:fill="auto"/>
          <w:lang w:val="en-US" w:eastAsia="zh-CN" w:bidi="ar-SA"/>
        </w:rPr>
      </w:pPr>
      <w:r>
        <w:rPr>
          <w:rStyle w:val="10"/>
          <w:rFonts w:hint="default" w:ascii="Times New Roman" w:hAnsi="Times New Roman" w:eastAsia="方正黑体_GBK" w:cs="Times New Roman"/>
          <w:b w:val="0"/>
          <w:bCs/>
          <w:sz w:val="32"/>
          <w:szCs w:val="32"/>
          <w:shd w:val="clear" w:color="auto" w:fill="auto"/>
          <w:lang w:val="en-US" w:eastAsia="zh-CN" w:bidi="ar-SA"/>
        </w:rPr>
        <w:t>七、决算公开联系方式及信息反馈渠道</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本单位决算公开信息反馈和联系方式：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auto"/>
        <w:outlineLvl w:val="9"/>
        <w:rPr>
          <w:rStyle w:val="10"/>
          <w:rFonts w:hint="default" w:ascii="Times New Roman" w:hAnsi="Times New Roman" w:eastAsia="方正仿宋_GBK" w:cs="方正仿宋_GBK"/>
          <w:b w:val="0"/>
          <w:sz w:val="32"/>
          <w:szCs w:val="32"/>
          <w:shd w:val="clear" w:color="auto" w:fill="FFFFFF"/>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方正仿宋_GBK"/>
          <w:sz w:val="32"/>
          <w:szCs w:val="32"/>
          <w:shd w:val="clear" w:color="auto" w:fill="FFFFFF"/>
          <w:lang w:val="en-US" w:eastAsia="zh-CN"/>
        </w:rPr>
        <w:t>钟育琼</w:t>
      </w:r>
      <w:r>
        <w:rPr>
          <w:rFonts w:ascii="Times New Roman" w:hAnsi="Times New Roman" w:eastAsia="方正仿宋_GBK" w:cs="方正仿宋_GBK"/>
          <w:sz w:val="32"/>
          <w:szCs w:val="32"/>
          <w:shd w:val="clear" w:color="auto" w:fill="FFFFFF"/>
        </w:rPr>
        <w:t xml:space="preserve">  023-</w:t>
      </w:r>
      <w:r>
        <w:rPr>
          <w:rFonts w:hint="eastAsia" w:ascii="Times New Roman" w:hAnsi="Times New Roman" w:eastAsia="方正仿宋_GBK" w:cs="方正仿宋_GBK"/>
          <w:sz w:val="32"/>
          <w:szCs w:val="32"/>
          <w:shd w:val="clear" w:color="auto" w:fill="FFFFFF"/>
          <w:lang w:val="en-US" w:eastAsia="zh-CN"/>
        </w:rPr>
        <w:t>87670253</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center"/>
              <w:textAlignment w:val="bottom"/>
              <w:rPr>
                <w:rFonts w:hint="default" w:ascii="Times New Roman" w:hAnsi="Times New Roman" w:cs="Times New Roman"/>
                <w:b w:val="0"/>
                <w:bCs/>
                <w:color w:val="000000"/>
                <w:sz w:val="32"/>
                <w:szCs w:val="32"/>
              </w:rPr>
            </w:pPr>
            <w:r>
              <w:rPr>
                <w:rFonts w:hint="default" w:ascii="Times New Roman" w:hAnsi="Times New Roman" w:cs="Times New Roman"/>
                <w:b/>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val="0"/>
                <w:bCs/>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val="0"/>
                <w:bCs/>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val="0"/>
                <w:bCs/>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val="0"/>
                <w:bCs/>
                <w:color w:val="000000"/>
                <w:sz w:val="22"/>
                <w:szCs w:val="22"/>
              </w:rPr>
            </w:pPr>
            <w:r>
              <w:rPr>
                <w:rFonts w:hint="default" w:ascii="Times New Roman" w:hAnsi="Times New Roman" w:cs="Times New Roman"/>
                <w:b w:val="0"/>
                <w:bCs/>
                <w:sz w:val="20"/>
                <w:szCs w:val="20"/>
              </w:rPr>
              <w:t>单位：</w:t>
            </w:r>
            <w:r>
              <w:rPr>
                <w:rFonts w:hint="default" w:ascii="Times New Roman" w:hAnsi="Times New Roman" w:cs="Times New Roman"/>
                <w:b w:val="0"/>
                <w:bCs/>
                <w:sz w:val="20"/>
                <w:u w:color="auto"/>
              </w:rPr>
              <w:t>秀山土家族苗族自治县中心血库</w:t>
            </w:r>
          </w:p>
        </w:tc>
        <w:tc>
          <w:tcPr>
            <w:tcW w:w="404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val="0"/>
                <w:bCs/>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单位：</w:t>
            </w:r>
            <w:r>
              <w:rPr>
                <w:rFonts w:hint="default" w:ascii="Times New Roman" w:hAnsi="Times New Roman" w:cs="Times New Roman"/>
                <w:b w:val="0"/>
                <w:bCs/>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220.01</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r>
    </w:tbl>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1"/>
          <w:szCs w:val="21"/>
        </w:rPr>
      </w:pPr>
    </w:p>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0"/>
          <w:szCs w:val="20"/>
        </w:rPr>
      </w:pPr>
      <w:r>
        <w:rPr>
          <w:rFonts w:hint="default" w:ascii="Times New Roman" w:hAnsi="Times New Roman" w:cs="Times New Roman"/>
          <w:b/>
          <w:bCs w:val="0"/>
          <w:sz w:val="20"/>
          <w:szCs w:val="20"/>
        </w:rPr>
        <w:t>备注：1.本表反映单位本年度的总收支和年末结转结余情况。</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t xml:space="preserve">      2.本套报表金额单位转换时可能存在尾数误差。</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bCs w:val="0"/>
                <w:color w:val="000000"/>
                <w:sz w:val="32"/>
                <w:szCs w:val="32"/>
              </w:rPr>
            </w:pPr>
            <w:r>
              <w:rPr>
                <w:rFonts w:hint="default" w:ascii="宋体" w:hAnsi="宋体" w:eastAsia="宋体" w:cs="宋体"/>
                <w:b/>
                <w:color w:val="000000"/>
                <w:sz w:val="32"/>
                <w:szCs w:val="32"/>
              </w:rPr>
              <w:t>收入</w:t>
            </w:r>
            <w:r>
              <w:rPr>
                <w:rFonts w:hint="default" w:ascii="Times New Roman" w:hAnsi="Times New Roman" w:cs="Times New Roman"/>
                <w:b/>
                <w:bCs w:val="0"/>
                <w:color w:val="000000"/>
                <w:sz w:val="32"/>
                <w:szCs w:val="32"/>
              </w:rPr>
              <w:t>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r>
              <w:rPr>
                <w:rFonts w:hint="default" w:ascii="Times New Roman" w:hAnsi="Times New Roman" w:cs="Times New Roman"/>
                <w:b/>
                <w:bCs w:val="0"/>
                <w:sz w:val="20"/>
                <w:szCs w:val="20"/>
              </w:rPr>
              <w:t>单位：</w:t>
            </w:r>
            <w:r>
              <w:rPr>
                <w:rFonts w:hint="default" w:ascii="Times New Roman" w:hAnsi="Times New Roman" w:cs="Times New Roman"/>
                <w:b/>
                <w:bCs w:val="0"/>
                <w:sz w:val="20"/>
                <w:u w:color="auto"/>
              </w:rPr>
              <w:t>秀山土家族苗族自治县中心血库</w:t>
            </w:r>
          </w:p>
        </w:tc>
        <w:tc>
          <w:tcPr>
            <w:tcW w:w="136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单位：</w:t>
            </w:r>
            <w:r>
              <w:rPr>
                <w:rFonts w:hint="default" w:ascii="Times New Roman" w:hAnsi="Times New Roman" w:cs="Times New Roman"/>
                <w:b/>
                <w:bCs w:val="0"/>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13.76</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13.76</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6.96</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6.96</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220.01</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220.01</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卫生健康管理事务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其他卫生健康管理事务支出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90.68</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90.68</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采供血机构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86.68</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86.68</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2100409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重大公共卫生服务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4.00</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4.00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8.20</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8.20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6.28</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6.28</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1.92</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1.92</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bl>
    <w:p>
      <w:pPr>
        <w:keepNext w:val="0"/>
        <w:keepLines w:val="0"/>
        <w:pageBreakBefore w:val="0"/>
        <w:widowControl/>
        <w:kinsoku/>
        <w:overflowPunct/>
        <w:topLinePunct w:val="0"/>
        <w:autoSpaceDN/>
        <w:bidi w:val="0"/>
        <w:adjustRightInd/>
        <w:spacing w:line="560" w:lineRule="atLeast"/>
        <w:ind w:left="600" w:hanging="602" w:hangingChars="300"/>
        <w:jc w:val="both"/>
        <w:rPr>
          <w:rFonts w:hint="default" w:ascii="Times New Roman" w:hAnsi="Times New Roman" w:cs="Times New Roman"/>
          <w:b/>
          <w:bCs w:val="0"/>
          <w:sz w:val="20"/>
          <w:szCs w:val="20"/>
        </w:rPr>
      </w:pPr>
      <w:r>
        <w:rPr>
          <w:rFonts w:hint="default" w:ascii="Times New Roman" w:hAnsi="Times New Roman" w:cs="Times New Roman"/>
          <w:b/>
          <w:bCs w:val="0"/>
          <w:sz w:val="20"/>
          <w:szCs w:val="20"/>
        </w:rPr>
        <w:t>备注：1.本表反映单位本年度取得的各项收入情况。</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t>2.本套报表金额单位转换时可能存在尾数误差。</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br w:type="textWrapping"/>
      </w:r>
    </w:p>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0"/>
          <w:szCs w:val="20"/>
        </w:rPr>
      </w:pPr>
      <w:r>
        <w:rPr>
          <w:rFonts w:hint="default" w:ascii="Times New Roman" w:hAnsi="Times New Roman" w:cs="Times New Roman"/>
          <w:b/>
          <w:bCs w:val="0"/>
          <w:sz w:val="20"/>
          <w:szCs w:val="20"/>
        </w:rPr>
        <w:br w:type="page"/>
      </w:r>
    </w:p>
    <w:tbl>
      <w:tblPr>
        <w:tblStyle w:val="11"/>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center"/>
              <w:textAlignment w:val="bottom"/>
              <w:rPr>
                <w:rFonts w:hint="default" w:ascii="Times New Roman" w:hAnsi="Times New Roman" w:cs="Times New Roman"/>
                <w:b/>
                <w:bCs w:val="0"/>
                <w:color w:val="000000"/>
                <w:sz w:val="32"/>
                <w:szCs w:val="32"/>
              </w:rPr>
            </w:pPr>
            <w:r>
              <w:rPr>
                <w:rFonts w:hint="default" w:ascii="Times New Roman" w:hAnsi="Times New Roman" w:cs="Times New Roman"/>
                <w:b/>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r>
              <w:rPr>
                <w:rFonts w:hint="default" w:ascii="Times New Roman" w:hAnsi="Times New Roman" w:cs="Times New Roman"/>
                <w:b/>
                <w:bCs w:val="0"/>
                <w:sz w:val="20"/>
                <w:szCs w:val="20"/>
              </w:rPr>
              <w:t>单位</w:t>
            </w:r>
            <w:r>
              <w:rPr>
                <w:rFonts w:hint="default" w:ascii="Times New Roman" w:hAnsi="Times New Roman" w:cs="Times New Roman"/>
                <w:b/>
                <w:bCs w:val="0"/>
                <w:color w:val="000000"/>
                <w:sz w:val="20"/>
                <w:szCs w:val="20"/>
              </w:rPr>
              <w:t>：</w:t>
            </w:r>
            <w:r>
              <w:rPr>
                <w:rFonts w:hint="default" w:ascii="Times New Roman" w:hAnsi="Times New Roman" w:cs="Times New Roman"/>
                <w:b/>
                <w:bCs w:val="0"/>
                <w:color w:val="000000"/>
                <w:sz w:val="20"/>
                <w:u w:color="auto"/>
              </w:rPr>
              <w:t xml:space="preserve">秀山土家族苗族自治县中心血库 </w:t>
            </w: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单位：</w:t>
            </w:r>
            <w:r>
              <w:rPr>
                <w:rFonts w:hint="default" w:ascii="Times New Roman" w:hAnsi="Times New Roman" w:cs="Times New Roman"/>
                <w:b/>
                <w:bCs w:val="0"/>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168.70</w:t>
            </w:r>
            <w:r>
              <w:rPr>
                <w:rFonts w:hint="default" w:ascii="Times New Roman" w:hAnsi="Times New Roman" w:cs="Times New Roman"/>
                <w:b/>
                <w:bCs w:val="0"/>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79.58</w:t>
            </w:r>
            <w:r>
              <w:rPr>
                <w:rFonts w:hint="default" w:ascii="Times New Roman" w:hAnsi="Times New Roman" w:cs="Times New Roman"/>
                <w:b/>
                <w:bCs w:val="0"/>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13.76</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13.76</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6.96</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6.96</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220.01</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140.44</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79.58</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卫生健康管理事务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其他卫生健康管理事务支出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90.68</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11.10</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79.58</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采供血机构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86.68</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11.10</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75.58</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2100409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重大公共卫生服务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4.00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4.00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8.20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8.20</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6.28</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6.28</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1.92</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1.92</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bl>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0"/>
          <w:szCs w:val="20"/>
        </w:rPr>
      </w:pPr>
      <w:r>
        <w:rPr>
          <w:rFonts w:hint="default" w:ascii="Times New Roman" w:hAnsi="Times New Roman" w:cs="Times New Roman"/>
          <w:b/>
          <w:bCs w:val="0"/>
          <w:sz w:val="20"/>
          <w:szCs w:val="20"/>
        </w:rPr>
        <w:t>备注：1.本表反映单位本年度各项支出情况。</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t xml:space="preserve">      2.本套报表金额单位转换时可能存在尾数误差。</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br w:type="textWrapping"/>
      </w:r>
    </w:p>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1"/>
          <w:szCs w:val="21"/>
        </w:rPr>
      </w:pPr>
      <w:r>
        <w:rPr>
          <w:rFonts w:hint="default" w:ascii="Times New Roman" w:hAnsi="Times New Roman" w:cs="Times New Roman"/>
          <w:b/>
          <w:bCs w:val="0"/>
          <w:sz w:val="21"/>
          <w:szCs w:val="21"/>
        </w:rPr>
        <w:br w:type="page"/>
      </w:r>
    </w:p>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center"/>
              <w:textAlignment w:val="bottom"/>
              <w:rPr>
                <w:rFonts w:hint="default" w:ascii="Times New Roman" w:hAnsi="Times New Roman" w:cs="Times New Roman"/>
                <w:b/>
                <w:bCs w:val="0"/>
                <w:color w:val="000000"/>
                <w:sz w:val="32"/>
                <w:szCs w:val="32"/>
              </w:rPr>
            </w:pPr>
            <w:r>
              <w:rPr>
                <w:rFonts w:hint="default" w:ascii="Times New Roman" w:hAnsi="Times New Roman" w:cs="Times New Roman"/>
                <w:b/>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r>
              <w:rPr>
                <w:rFonts w:hint="default" w:ascii="Times New Roman" w:hAnsi="Times New Roman" w:cs="Times New Roman"/>
                <w:b/>
                <w:bCs w:val="0"/>
                <w:sz w:val="20"/>
                <w:szCs w:val="20"/>
              </w:rPr>
              <w:t>单位</w:t>
            </w:r>
            <w:r>
              <w:rPr>
                <w:rFonts w:hint="default" w:ascii="Times New Roman" w:hAnsi="Times New Roman" w:cs="Times New Roman"/>
                <w:b/>
                <w:bCs w:val="0"/>
                <w:color w:val="000000"/>
                <w:sz w:val="20"/>
                <w:szCs w:val="20"/>
              </w:rPr>
              <w:t>：</w:t>
            </w:r>
            <w:r>
              <w:rPr>
                <w:rFonts w:hint="default" w:ascii="Times New Roman" w:hAnsi="Times New Roman" w:cs="Times New Roman"/>
                <w:b/>
                <w:bCs w:val="0"/>
                <w:color w:val="000000"/>
                <w:sz w:val="20"/>
                <w:u w:color="auto"/>
              </w:rPr>
              <w:t>秀山土家族苗族自治县中心血库</w:t>
            </w: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单位：</w:t>
            </w:r>
            <w:r>
              <w:rPr>
                <w:rFonts w:hint="default" w:ascii="Times New Roman" w:hAnsi="Times New Roman" w:cs="Times New Roman"/>
                <w:b/>
                <w:bCs w:val="0"/>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248.28</w:t>
            </w: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20.72</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20.72</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220.01</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220.01</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7.54</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7.54</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248.28</w:t>
            </w: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248.28</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248.28</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248.28</w:t>
            </w:r>
            <w:r>
              <w:rPr>
                <w:rFonts w:hint="default" w:ascii="Times New Roman" w:hAnsi="Times New Roman" w:cs="Times New Roman"/>
                <w:b/>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248.28</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248.28</w:t>
            </w:r>
            <w:r>
              <w:rPr>
                <w:rFonts w:hint="default" w:ascii="Times New Roman" w:hAnsi="Times New Roman" w:cs="Times New Roman"/>
                <w:b/>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bl>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0"/>
          <w:szCs w:val="20"/>
        </w:rPr>
      </w:pPr>
      <w:r>
        <w:rPr>
          <w:rFonts w:hint="default" w:ascii="Times New Roman" w:hAnsi="Times New Roman" w:cs="Times New Roman"/>
          <w:b/>
          <w:bCs w:val="0"/>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t xml:space="preserve">      2.本套报表金额单位转换时可能存在尾数误差。</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br w:type="textWrapping"/>
      </w:r>
      <w:r>
        <w:rPr>
          <w:rFonts w:hint="default" w:ascii="Times New Roman" w:hAnsi="Times New Roman" w:cs="Times New Roman"/>
          <w:b/>
          <w:bCs w:val="0"/>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center"/>
              <w:textAlignment w:val="bottom"/>
              <w:rPr>
                <w:rFonts w:hint="default" w:ascii="Times New Roman" w:hAnsi="Times New Roman" w:cs="Times New Roman"/>
                <w:b/>
                <w:bCs w:val="0"/>
                <w:color w:val="000000"/>
                <w:sz w:val="32"/>
                <w:szCs w:val="32"/>
              </w:rPr>
            </w:pPr>
            <w:r>
              <w:rPr>
                <w:rFonts w:hint="default" w:ascii="Times New Roman" w:hAnsi="Times New Roman" w:cs="Times New Roman"/>
                <w:b/>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r>
              <w:rPr>
                <w:rFonts w:hint="default" w:ascii="Times New Roman" w:hAnsi="Times New Roman" w:cs="Times New Roman"/>
                <w:b/>
                <w:bCs w:val="0"/>
                <w:sz w:val="20"/>
                <w:szCs w:val="20"/>
              </w:rPr>
              <w:t>单位</w:t>
            </w:r>
            <w:r>
              <w:rPr>
                <w:rFonts w:hint="default" w:ascii="Times New Roman" w:hAnsi="Times New Roman" w:cs="Times New Roman"/>
                <w:b/>
                <w:bCs w:val="0"/>
                <w:color w:val="000000"/>
                <w:sz w:val="20"/>
                <w:szCs w:val="20"/>
              </w:rPr>
              <w:t>：</w:t>
            </w:r>
            <w:r>
              <w:rPr>
                <w:rFonts w:hint="default" w:ascii="Times New Roman" w:hAnsi="Times New Roman" w:cs="Times New Roman"/>
                <w:b/>
                <w:bCs w:val="0"/>
                <w:color w:val="000000"/>
                <w:sz w:val="20"/>
                <w:u w:color="auto"/>
              </w:rPr>
              <w:t>秀山土家族苗族自治县中心血库</w:t>
            </w:r>
          </w:p>
        </w:tc>
        <w:tc>
          <w:tcPr>
            <w:tcW w:w="33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单位：</w:t>
            </w:r>
            <w:r>
              <w:rPr>
                <w:rFonts w:hint="default" w:ascii="Times New Roman" w:hAnsi="Times New Roman" w:cs="Times New Roman"/>
                <w:b/>
                <w:bCs w:val="0"/>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248.28</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168.70</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79.58</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20.72</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13.76</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13.76</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6.96</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6.96</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220.01</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140.44</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79.58</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121.14</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90.68</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11.10</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79.58</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采供血机构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86.68</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11.10</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75.58</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2100409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重大公共卫生服务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4.00</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4.00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8.20</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8.20</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6.28</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6.28</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1.92</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1.92</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7.54</w:t>
            </w:r>
            <w:r>
              <w:rPr>
                <w:rFonts w:hint="default" w:ascii="Times New Roman" w:hAnsi="Times New Roman" w:cs="Times New Roman"/>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bl>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1"/>
          <w:szCs w:val="21"/>
        </w:rPr>
      </w:pPr>
      <w:r>
        <w:rPr>
          <w:rFonts w:hint="default" w:ascii="Times New Roman" w:hAnsi="Times New Roman" w:cs="Times New Roman"/>
          <w:b/>
          <w:bCs w:val="0"/>
          <w:sz w:val="20"/>
          <w:szCs w:val="20"/>
        </w:rPr>
        <w:t>备注：1.本表反映单位本年度一般公共预算财政拨款支出情况。</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t xml:space="preserve">      2.本套报表金额单位转换时可能存在尾数误差。</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br w:type="textWrapping"/>
      </w:r>
    </w:p>
    <w:p>
      <w:pPr>
        <w:keepNext w:val="0"/>
        <w:keepLines w:val="0"/>
        <w:pageBreakBefore w:val="0"/>
        <w:widowControl/>
        <w:kinsoku/>
        <w:overflowPunct/>
        <w:topLinePunct w:val="0"/>
        <w:autoSpaceDN/>
        <w:bidi w:val="0"/>
        <w:adjustRightInd/>
        <w:spacing w:line="560" w:lineRule="atLeast"/>
        <w:ind w:firstLine="632" w:firstLineChars="300"/>
        <w:jc w:val="both"/>
        <w:rPr>
          <w:rFonts w:hint="default" w:ascii="Times New Roman" w:hAnsi="Times New Roman" w:cs="Times New Roman"/>
          <w:b/>
          <w:bCs w:val="0"/>
          <w:sz w:val="21"/>
          <w:szCs w:val="21"/>
        </w:rPr>
      </w:pPr>
      <w:r>
        <w:rPr>
          <w:rFonts w:hint="default" w:ascii="Times New Roman" w:hAnsi="Times New Roman" w:cs="Times New Roman"/>
          <w:b/>
          <w:bCs w:val="0"/>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center"/>
              <w:textAlignment w:val="bottom"/>
              <w:rPr>
                <w:rFonts w:hint="default" w:ascii="Times New Roman" w:hAnsi="Times New Roman" w:cs="Times New Roman"/>
                <w:b/>
                <w:bCs w:val="0"/>
                <w:color w:val="000000"/>
                <w:sz w:val="32"/>
                <w:szCs w:val="32"/>
              </w:rPr>
            </w:pPr>
            <w:r>
              <w:rPr>
                <w:rFonts w:hint="default" w:ascii="Times New Roman" w:hAnsi="Times New Roman" w:cs="Times New Roman"/>
                <w:b/>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r>
              <w:rPr>
                <w:rFonts w:hint="default" w:ascii="Times New Roman" w:hAnsi="Times New Roman" w:cs="Times New Roman"/>
                <w:b/>
                <w:bCs w:val="0"/>
                <w:sz w:val="20"/>
                <w:szCs w:val="20"/>
              </w:rPr>
              <w:t>单位</w:t>
            </w:r>
            <w:r>
              <w:rPr>
                <w:rFonts w:hint="default" w:ascii="Times New Roman" w:hAnsi="Times New Roman" w:cs="Times New Roman"/>
                <w:b/>
                <w:bCs w:val="0"/>
                <w:color w:val="000000"/>
                <w:sz w:val="20"/>
                <w:szCs w:val="20"/>
              </w:rPr>
              <w:t>：</w:t>
            </w:r>
            <w:r>
              <w:rPr>
                <w:rFonts w:hint="default" w:ascii="Times New Roman" w:hAnsi="Times New Roman" w:cs="Times New Roman"/>
                <w:b/>
                <w:bCs w:val="0"/>
                <w:color w:val="000000"/>
                <w:sz w:val="20"/>
                <w:u w:color="auto"/>
              </w:rPr>
              <w:t>秀山土家族苗族自治县中心血库</w:t>
            </w:r>
          </w:p>
        </w:tc>
        <w:tc>
          <w:tcPr>
            <w:tcW w:w="165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单位：</w:t>
            </w:r>
            <w:r>
              <w:rPr>
                <w:rFonts w:hint="default" w:ascii="Times New Roman" w:hAnsi="Times New Roman" w:cs="Times New Roman"/>
                <w:b/>
                <w:bCs w:val="0"/>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148.79</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19.91</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36.23</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12.48</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5.72</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1.21</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68.98</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0.04</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13.76</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0.10</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6.96</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1.22</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6.28</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0.19</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2.52</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7.54</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1.92</w:t>
            </w: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0.14</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0.34</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1.06</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1.20</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0.42</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ind w:firstLine="181" w:firstLineChars="100"/>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0.30</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0.01</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0.07</w:t>
            </w: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val="0"/>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148.79</w:t>
            </w:r>
            <w:r>
              <w:rPr>
                <w:rFonts w:hint="default" w:ascii="Times New Roman" w:hAnsi="Times New Roman" w:cs="Times New Roman"/>
                <w:b/>
                <w:bCs w:val="0"/>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19.91</w:t>
            </w:r>
            <w:r>
              <w:rPr>
                <w:rFonts w:hint="default" w:ascii="Times New Roman" w:hAnsi="Times New Roman" w:cs="Times New Roman"/>
                <w:b/>
                <w:bCs w:val="0"/>
                <w:color w:val="000000"/>
                <w:sz w:val="18"/>
                <w:u w:color="auto"/>
              </w:rPr>
              <w:t xml:space="preserve"> </w:t>
            </w:r>
          </w:p>
        </w:tc>
      </w:tr>
    </w:tbl>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0"/>
          <w:szCs w:val="20"/>
        </w:rPr>
      </w:pPr>
      <w:r>
        <w:rPr>
          <w:rFonts w:hint="default" w:ascii="Times New Roman" w:hAnsi="Times New Roman" w:cs="Times New Roman"/>
          <w:b/>
          <w:bCs w:val="0"/>
          <w:sz w:val="20"/>
          <w:szCs w:val="20"/>
        </w:rPr>
        <w:t>备注：1.本表反映单位本年度一般公共预算财政拨款基本支出明细情况。</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t xml:space="preserve">      2.本套报表金额单位转换时可能存在尾数误差。</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br w:type="textWrapping"/>
      </w:r>
      <w:r>
        <w:rPr>
          <w:rFonts w:hint="default" w:ascii="Times New Roman" w:hAnsi="Times New Roman" w:cs="Times New Roman"/>
          <w:b/>
          <w:bCs w:val="0"/>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center"/>
              <w:textAlignment w:val="bottom"/>
              <w:rPr>
                <w:rFonts w:hint="default" w:ascii="Times New Roman" w:hAnsi="Times New Roman" w:cs="Times New Roman"/>
                <w:b/>
                <w:bCs w:val="0"/>
                <w:color w:val="000000"/>
                <w:sz w:val="32"/>
                <w:szCs w:val="32"/>
              </w:rPr>
            </w:pPr>
            <w:r>
              <w:rPr>
                <w:rFonts w:hint="default" w:ascii="Times New Roman" w:hAnsi="Times New Roman" w:cs="Times New Roman"/>
                <w:b/>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r>
              <w:rPr>
                <w:rFonts w:hint="default" w:ascii="Times New Roman" w:hAnsi="Times New Roman" w:cs="Times New Roman"/>
                <w:b/>
                <w:bCs w:val="0"/>
                <w:sz w:val="20"/>
                <w:szCs w:val="20"/>
              </w:rPr>
              <w:t>单位</w:t>
            </w:r>
            <w:r>
              <w:rPr>
                <w:rFonts w:hint="default" w:ascii="Times New Roman" w:hAnsi="Times New Roman" w:cs="Times New Roman"/>
                <w:b/>
                <w:bCs w:val="0"/>
                <w:color w:val="000000"/>
                <w:sz w:val="20"/>
                <w:szCs w:val="20"/>
              </w:rPr>
              <w:t>：</w:t>
            </w:r>
            <w:r>
              <w:rPr>
                <w:rFonts w:hint="default" w:ascii="Times New Roman" w:hAnsi="Times New Roman" w:cs="Times New Roman"/>
                <w:b/>
                <w:bCs w:val="0"/>
                <w:color w:val="000000"/>
                <w:sz w:val="20"/>
                <w:u w:color="auto"/>
              </w:rPr>
              <w:t>秀山土家族苗族自治县中心血库</w:t>
            </w: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单位：</w:t>
            </w:r>
            <w:r>
              <w:rPr>
                <w:rFonts w:hint="default" w:ascii="Times New Roman" w:hAnsi="Times New Roman" w:cs="Times New Roman"/>
                <w:b/>
                <w:bCs w:val="0"/>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bl>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1"/>
          <w:szCs w:val="21"/>
        </w:rPr>
      </w:pPr>
      <w:r>
        <w:rPr>
          <w:rFonts w:hint="default" w:ascii="Times New Roman" w:hAnsi="Times New Roman" w:cs="Times New Roman"/>
          <w:b/>
          <w:bCs w:val="0"/>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br w:type="textWrapping"/>
      </w:r>
    </w:p>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1"/>
          <w:szCs w:val="21"/>
        </w:rPr>
      </w:pPr>
      <w:r>
        <w:rPr>
          <w:rFonts w:hint="default" w:ascii="Times New Roman" w:hAnsi="Times New Roman" w:cs="Times New Roman"/>
          <w:b/>
          <w:bCs w:val="0"/>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32"/>
                <w:szCs w:val="32"/>
              </w:rPr>
            </w:pPr>
            <w:r>
              <w:rPr>
                <w:rFonts w:hint="default" w:ascii="Times New Roman" w:hAnsi="Times New Roman" w:cs="Times New Roman"/>
                <w:b/>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r>
              <w:rPr>
                <w:rFonts w:hint="default" w:ascii="Times New Roman" w:hAnsi="Times New Roman" w:cs="Times New Roman"/>
                <w:b/>
                <w:bCs w:val="0"/>
                <w:sz w:val="20"/>
                <w:szCs w:val="20"/>
              </w:rPr>
              <w:t>单位</w:t>
            </w:r>
            <w:r>
              <w:rPr>
                <w:rFonts w:hint="default" w:ascii="Times New Roman" w:hAnsi="Times New Roman" w:cs="Times New Roman"/>
                <w:b/>
                <w:bCs w:val="0"/>
                <w:color w:val="000000"/>
                <w:sz w:val="20"/>
                <w:szCs w:val="20"/>
              </w:rPr>
              <w:t>：</w:t>
            </w:r>
            <w:r>
              <w:rPr>
                <w:rFonts w:hint="default" w:ascii="Times New Roman" w:hAnsi="Times New Roman" w:cs="Times New Roman"/>
                <w:b/>
                <w:bCs w:val="0"/>
                <w:color w:val="000000"/>
                <w:sz w:val="20"/>
                <w:u w:color="auto"/>
              </w:rPr>
              <w:t>秀山土家族苗族自治县中心血库</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单位：</w:t>
            </w:r>
            <w:r>
              <w:rPr>
                <w:rFonts w:hint="default" w:ascii="Times New Roman" w:hAnsi="Times New Roman" w:cs="Times New Roman"/>
                <w:b/>
                <w:bCs w:val="0"/>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spacing w:line="560" w:lineRule="atLeast"/>
              <w:jc w:val="both"/>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 xml:space="preserve">0.00 </w:t>
            </w:r>
          </w:p>
        </w:tc>
      </w:tr>
    </w:tbl>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1"/>
          <w:szCs w:val="21"/>
        </w:rPr>
      </w:pPr>
      <w:r>
        <w:rPr>
          <w:rFonts w:hint="default" w:ascii="Times New Roman" w:hAnsi="Times New Roman" w:cs="Times New Roman"/>
          <w:b/>
          <w:bCs w:val="0"/>
          <w:sz w:val="20"/>
          <w:szCs w:val="20"/>
        </w:rPr>
        <w:t>备注：本表反映单位本年度国有资本经营预算财政拨款支出情况。本单位无国有资本经营收支，故本表无数据。</w:t>
      </w:r>
      <w:r>
        <w:rPr>
          <w:rFonts w:hint="default" w:ascii="Times New Roman" w:hAnsi="Times New Roman" w:cs="Times New Roman"/>
          <w:b/>
          <w:bCs w:val="0"/>
          <w:sz w:val="20"/>
          <w:szCs w:val="20"/>
        </w:rPr>
        <w:br w:type="textWrapping"/>
      </w:r>
      <w:r>
        <w:rPr>
          <w:rFonts w:hint="default" w:ascii="Times New Roman" w:hAnsi="Times New Roman" w:cs="Times New Roman"/>
          <w:b/>
          <w:bCs w:val="0"/>
          <w:sz w:val="20"/>
          <w:szCs w:val="20"/>
        </w:rPr>
        <w:br w:type="textWrapping"/>
      </w:r>
    </w:p>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sz w:val="21"/>
          <w:szCs w:val="21"/>
        </w:rPr>
      </w:pPr>
      <w:r>
        <w:rPr>
          <w:rFonts w:hint="default" w:ascii="Times New Roman" w:hAnsi="Times New Roman" w:cs="Times New Roman"/>
          <w:b/>
          <w:bCs w:val="0"/>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kern w:val="2"/>
                <w:sz w:val="32"/>
                <w:szCs w:val="32"/>
              </w:rPr>
            </w:pPr>
            <w:r>
              <w:rPr>
                <w:rFonts w:hint="default" w:ascii="Times New Roman" w:hAnsi="Times New Roman" w:cs="Times New Roman"/>
                <w:b/>
                <w:bCs w:val="0"/>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kern w:val="2"/>
                <w:sz w:val="20"/>
                <w:szCs w:val="20"/>
              </w:rPr>
            </w:pPr>
          </w:p>
        </w:tc>
        <w:tc>
          <w:tcPr>
            <w:tcW w:w="2416" w:type="dxa"/>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kern w:val="2"/>
                <w:sz w:val="20"/>
                <w:szCs w:val="20"/>
              </w:rPr>
            </w:pPr>
          </w:p>
        </w:tc>
        <w:tc>
          <w:tcPr>
            <w:tcW w:w="2375" w:type="dxa"/>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kern w:val="2"/>
                <w:sz w:val="20"/>
                <w:szCs w:val="20"/>
              </w:rPr>
            </w:pPr>
          </w:p>
        </w:tc>
        <w:tc>
          <w:tcPr>
            <w:tcW w:w="3674" w:type="dxa"/>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kern w:val="2"/>
                <w:sz w:val="20"/>
                <w:szCs w:val="20"/>
              </w:rPr>
            </w:pPr>
          </w:p>
        </w:tc>
        <w:tc>
          <w:tcPr>
            <w:tcW w:w="2487" w:type="dxa"/>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kern w:val="2"/>
                <w:sz w:val="20"/>
                <w:szCs w:val="20"/>
              </w:rPr>
            </w:pPr>
            <w:r>
              <w:rPr>
                <w:rFonts w:hint="default" w:ascii="Times New Roman" w:hAnsi="Times New Roman" w:cs="Times New Roman"/>
                <w:b/>
                <w:bCs w:val="0"/>
                <w:color w:val="000000"/>
                <w:kern w:val="2"/>
                <w:sz w:val="20"/>
                <w:szCs w:val="20"/>
              </w:rPr>
              <w:t>公开09表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kern w:val="2"/>
                <w:sz w:val="20"/>
                <w:szCs w:val="20"/>
              </w:rPr>
            </w:pPr>
            <w:r>
              <w:rPr>
                <w:rFonts w:hint="default" w:ascii="Times New Roman" w:hAnsi="Times New Roman" w:cs="Times New Roman"/>
                <w:b/>
                <w:bCs w:val="0"/>
                <w:kern w:val="2"/>
                <w:sz w:val="20"/>
                <w:szCs w:val="20"/>
                <w:lang w:eastAsia="zh-CN"/>
              </w:rPr>
              <w:t>单位</w:t>
            </w:r>
            <w:r>
              <w:rPr>
                <w:rFonts w:hint="default" w:ascii="Times New Roman" w:hAnsi="Times New Roman" w:cs="Times New Roman"/>
                <w:b/>
                <w:bCs w:val="0"/>
                <w:color w:val="000000"/>
                <w:kern w:val="2"/>
                <w:sz w:val="20"/>
                <w:szCs w:val="20"/>
              </w:rPr>
              <w:t>：</w:t>
            </w:r>
            <w:r>
              <w:rPr>
                <w:rFonts w:hint="default" w:ascii="Times New Roman" w:hAnsi="Times New Roman" w:cs="Times New Roman"/>
                <w:b/>
                <w:bCs w:val="0"/>
                <w:color w:val="000000"/>
                <w:sz w:val="20"/>
                <w:u w:color="auto"/>
              </w:rPr>
              <w:t>秀山土家族苗族自治县中心血库</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rPr>
                <w:rFonts w:hint="default" w:ascii="Times New Roman" w:hAnsi="Times New Roman" w:cs="Times New Roman"/>
                <w:b/>
                <w:bCs w:val="0"/>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spacing w:line="560" w:lineRule="atLeast"/>
              <w:jc w:val="both"/>
              <w:textAlignment w:val="bottom"/>
              <w:rPr>
                <w:rFonts w:hint="default" w:ascii="Times New Roman" w:hAnsi="Times New Roman" w:cs="Times New Roman"/>
                <w:b/>
                <w:bCs w:val="0"/>
                <w:color w:val="000000"/>
                <w:kern w:val="2"/>
                <w:sz w:val="20"/>
                <w:szCs w:val="20"/>
              </w:rPr>
            </w:pPr>
            <w:r>
              <w:rPr>
                <w:rFonts w:hint="default" w:ascii="Times New Roman" w:hAnsi="Times New Roman" w:cs="Times New Roman"/>
                <w:b/>
                <w:bCs w:val="0"/>
                <w:color w:val="000000"/>
                <w:kern w:val="2"/>
                <w:sz w:val="20"/>
                <w:szCs w:val="20"/>
              </w:rPr>
              <w:t>单位：</w:t>
            </w:r>
            <w:r>
              <w:rPr>
                <w:rFonts w:hint="default" w:ascii="Times New Roman" w:hAnsi="Times New Roman" w:cs="Times New Roman"/>
                <w:b/>
                <w:bCs w:val="0"/>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1.35</w:t>
            </w:r>
            <w:r>
              <w:rPr>
                <w:rFonts w:hint="default" w:ascii="Times New Roman" w:hAnsi="Times New Roman" w:cs="Times New Roman"/>
                <w:b/>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1.35</w:t>
            </w: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1.35</w:t>
            </w:r>
            <w:r>
              <w:rPr>
                <w:rFonts w:hint="default" w:ascii="Times New Roman" w:hAnsi="Times New Roman" w:cs="Times New Roman"/>
                <w:b/>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1.35</w:t>
            </w: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w:t>
            </w: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1.35</w:t>
            </w:r>
            <w:r>
              <w:rPr>
                <w:rFonts w:hint="default" w:ascii="Times New Roman" w:hAnsi="Times New Roman" w:cs="Times New Roman"/>
                <w:b/>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1.35</w:t>
            </w: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w:t>
            </w: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1</w:t>
            </w: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1.13</w:t>
            </w: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1.13</w:t>
            </w: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1.13</w:t>
            </w: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1.13</w:t>
            </w:r>
            <w:r>
              <w:rPr>
                <w:rFonts w:hint="default" w:ascii="Times New Roman" w:hAnsi="Times New Roman" w:cs="Times New Roman"/>
                <w:b/>
                <w:bCs w:val="0"/>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rPr>
                <w:rFonts w:hint="default" w:ascii="Times New Roman" w:hAnsi="Times New Roman" w:cs="Times New Roman"/>
                <w:b/>
                <w:bCs w:val="0"/>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jc w:val="both"/>
              <w:rPr>
                <w:rFonts w:hint="default" w:ascii="Times New Roman" w:hAnsi="Times New Roman" w:cs="Times New Roman"/>
                <w:b/>
                <w:bCs w:val="0"/>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6"/>
                <w:szCs w:val="16"/>
              </w:rPr>
            </w:pPr>
            <w:r>
              <w:rPr>
                <w:rFonts w:hint="default" w:ascii="Times New Roman" w:hAnsi="Times New Roman" w:cs="Times New Roman"/>
                <w:b/>
                <w:bCs w:val="0"/>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kern w:val="2"/>
                <w:sz w:val="18"/>
                <w:szCs w:val="18"/>
              </w:rPr>
            </w:pPr>
            <w:r>
              <w:rPr>
                <w:rFonts w:hint="default" w:ascii="Times New Roman" w:hAnsi="Times New Roman" w:cs="Times New Roman"/>
                <w:b/>
                <w:bCs w:val="0"/>
                <w:color w:val="000000"/>
                <w:kern w:val="2"/>
                <w:sz w:val="18"/>
                <w:szCs w:val="18"/>
              </w:rPr>
              <w:t>0.34</w:t>
            </w: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rPr>
                <w:rFonts w:hint="default" w:ascii="Times New Roman" w:hAnsi="Times New Roman" w:cs="Times New Roman"/>
                <w:b/>
                <w:bCs w:val="0"/>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jc w:val="both"/>
              <w:rPr>
                <w:rFonts w:hint="default" w:ascii="Times New Roman" w:hAnsi="Times New Roman" w:cs="Times New Roman"/>
                <w:b/>
                <w:bCs w:val="0"/>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sz w:val="16"/>
                <w:szCs w:val="16"/>
              </w:rPr>
            </w:pPr>
            <w:r>
              <w:rPr>
                <w:rFonts w:hint="default" w:ascii="Times New Roman" w:hAnsi="Times New Roman" w:cs="Times New Roman"/>
                <w:b/>
                <w:bCs w:val="0"/>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textAlignment w:val="center"/>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ind w:right="120" w:rightChars="50"/>
              <w:jc w:val="both"/>
              <w:textAlignment w:val="bottom"/>
              <w:rPr>
                <w:rFonts w:hint="default" w:ascii="Times New Roman" w:hAnsi="Times New Roman" w:cs="Times New Roman"/>
                <w:b/>
                <w:bCs w:val="0"/>
                <w:color w:val="000000"/>
                <w:sz w:val="18"/>
                <w:szCs w:val="18"/>
              </w:rPr>
            </w:pPr>
            <w:r>
              <w:rPr>
                <w:rFonts w:hint="default" w:ascii="Times New Roman" w:hAnsi="Times New Roman" w:cs="Times New Roman"/>
                <w:b/>
                <w:bCs w:val="0"/>
                <w:color w:val="000000"/>
                <w:sz w:val="18"/>
                <w:szCs w:val="18"/>
              </w:rPr>
              <w:t>6.54</w:t>
            </w:r>
            <w:r>
              <w:rPr>
                <w:rFonts w:hint="default" w:ascii="Times New Roman" w:hAnsi="Times New Roman" w:cs="Times New Roman"/>
                <w:b/>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atLeast"/>
              <w:jc w:val="both"/>
              <w:rPr>
                <w:rFonts w:hint="default" w:ascii="Times New Roman" w:hAnsi="Times New Roman" w:cs="Times New Roman"/>
                <w:b/>
                <w:bCs w:val="0"/>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560" w:lineRule="atLeast"/>
              <w:jc w:val="both"/>
              <w:rPr>
                <w:rFonts w:hint="default" w:ascii="Times New Roman" w:hAnsi="Times New Roman" w:cs="Times New Roman"/>
                <w:b/>
                <w:bCs w:val="0"/>
                <w:color w:val="000000"/>
                <w:sz w:val="16"/>
                <w:szCs w:val="16"/>
              </w:rPr>
            </w:pPr>
          </w:p>
        </w:tc>
      </w:tr>
    </w:tbl>
    <w:p>
      <w:pPr>
        <w:keepNext w:val="0"/>
        <w:keepLines w:val="0"/>
        <w:pageBreakBefore w:val="0"/>
        <w:widowControl/>
        <w:kinsoku/>
        <w:overflowPunct/>
        <w:topLinePunct w:val="0"/>
        <w:autoSpaceDN/>
        <w:bidi w:val="0"/>
        <w:adjustRightInd/>
        <w:spacing w:line="560" w:lineRule="atLeast"/>
        <w:jc w:val="both"/>
        <w:rPr>
          <w:rFonts w:hint="default"/>
          <w:b/>
          <w:bCs w:val="0"/>
          <w:sz w:val="18"/>
          <w:szCs w:val="18"/>
        </w:rPr>
      </w:pPr>
      <w:r>
        <w:rPr>
          <w:rFonts w:hint="default" w:ascii="Times New Roman" w:hAnsi="Times New Roman" w:cs="Times New Roman"/>
          <w:b/>
          <w:bCs w:val="0"/>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b/>
          <w:bCs w:val="0"/>
          <w:sz w:val="18"/>
          <w:szCs w:val="18"/>
        </w:rPr>
        <w:br w:type="textWrapping"/>
      </w:r>
      <w:r>
        <w:rPr>
          <w:rFonts w:hint="default" w:ascii="Times New Roman" w:hAnsi="Times New Roman" w:cs="Times New Roman"/>
          <w:b/>
          <w:bCs w:val="0"/>
          <w:sz w:val="18"/>
          <w:szCs w:val="18"/>
        </w:rPr>
        <w:t xml:space="preserve">      2.本套报表金额单位转换时可能存在尾数误差。</w:t>
      </w:r>
      <w:r>
        <w:rPr>
          <w:rFonts w:hint="default" w:ascii="Times New Roman" w:hAnsi="Times New Roman" w:cs="Times New Roman"/>
          <w:b/>
          <w:bCs w:val="0"/>
          <w:sz w:val="18"/>
          <w:szCs w:val="18"/>
        </w:rPr>
        <w:br w:type="textWrapping"/>
      </w:r>
      <w:r>
        <w:rPr>
          <w:rFonts w:cs="宋体"/>
          <w:b/>
          <w:bCs w:val="0"/>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rPr>
                              <w:rFonts w:hint="default"/>
                            </w:rPr>
                          </w:pPr>
                          <w:r>
                            <w:rPr>
                              <w:rFonts w:hint="default"/>
                            </w:rPr>
                            <w:fldChar w:fldCharType="begin"/>
                          </w:r>
                          <w:r>
                            <w:instrText xml:space="preserve"> PAGE  \* MERGEFORMAT </w:instrText>
                          </w:r>
                          <w:r>
                            <w:rPr>
                              <w:rFonts w:hint="default"/>
                            </w:rPr>
                            <w:fldChar w:fldCharType="separate"/>
                          </w:r>
                          <w:r>
                            <w:rPr>
                              <w:rFonts w:hint="default"/>
                            </w:rPr>
                            <w:t>- 11 -</w:t>
                          </w:r>
                          <w:r>
                            <w:rPr>
                              <w:rFonts w:hint="default"/>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SVju&#10;0AAAAAUBAAAPAAAAAAAAAAEAIAAAACIAAABkcnMvZG93bnJldi54bWxQSwECFAAUAAAACACHTuJA&#10;b+vBR7cBAABUAwAADgAAAAAAAAABACAAAAAfAQAAZHJzL2Uyb0RvYy54bWxQSwUGAAAAAAYABgBZ&#10;AQAASAUAAAAA&#10;">
              <v:fill on="f" focussize="0,0"/>
              <v:stroke on="f" weight="0.5pt"/>
              <v:imagedata o:title=""/>
              <o:lock v:ext="edit" aspectratio="f"/>
              <v:textbox inset="0mm,0mm,0mm,0mm" style="mso-fit-shape-to-text:t;">
                <w:txbxContent>
                  <w:p>
                    <w:pPr>
                      <w:pStyle w:val="5"/>
                      <w:rPr>
                        <w:rFonts w:hint="default"/>
                      </w:rPr>
                    </w:pPr>
                    <w:r>
                      <w:rPr>
                        <w:rFonts w:hint="default"/>
                      </w:rPr>
                      <w:fldChar w:fldCharType="begin"/>
                    </w:r>
                    <w:r>
                      <w:instrText xml:space="preserve"> PAGE  \* MERGEFORMAT </w:instrText>
                    </w:r>
                    <w:r>
                      <w:rPr>
                        <w:rFonts w:hint="default"/>
                      </w:rPr>
                      <w:fldChar w:fldCharType="separate"/>
                    </w:r>
                    <w:r>
                      <w:rPr>
                        <w:rFonts w:hint="default"/>
                      </w:rPr>
                      <w:t>- 11 -</w:t>
                    </w:r>
                    <w:r>
                      <w:rPr>
                        <w:rFonts w:hint="default"/>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323AE"/>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1"/>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8C57659"/>
    <w:rsid w:val="191C433B"/>
    <w:rsid w:val="194A1770"/>
    <w:rsid w:val="19B906A4"/>
    <w:rsid w:val="1B6F15B6"/>
    <w:rsid w:val="1BAA2EDC"/>
    <w:rsid w:val="1C401F61"/>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B821C91"/>
    <w:rsid w:val="2BF81A22"/>
    <w:rsid w:val="2C4A7901"/>
    <w:rsid w:val="2C636760"/>
    <w:rsid w:val="2C6762A3"/>
    <w:rsid w:val="2DF41D09"/>
    <w:rsid w:val="2DF95989"/>
    <w:rsid w:val="2EB60863"/>
    <w:rsid w:val="2FCA4B37"/>
    <w:rsid w:val="2FE029D7"/>
    <w:rsid w:val="2FF06E00"/>
    <w:rsid w:val="30586FEC"/>
    <w:rsid w:val="315F0B22"/>
    <w:rsid w:val="31D84415"/>
    <w:rsid w:val="320925E8"/>
    <w:rsid w:val="32285F6F"/>
    <w:rsid w:val="32502E54"/>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7A7702C"/>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8A49BE"/>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15139A"/>
    <w:rsid w:val="696C0310"/>
    <w:rsid w:val="6A6C7940"/>
    <w:rsid w:val="6A9F1565"/>
    <w:rsid w:val="6AAD2300"/>
    <w:rsid w:val="6B474EF5"/>
    <w:rsid w:val="6B784AFE"/>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 w:val="7F797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alloon Text"/>
    <w:basedOn w:val="1"/>
    <w:link w:val="19"/>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正文-公1"/>
    <w:basedOn w:val="14"/>
    <w:next w:val="1"/>
    <w:qFormat/>
    <w:uiPriority w:val="0"/>
    <w:pPr>
      <w:ind w:firstLine="200" w:firstLineChars="200"/>
    </w:pPr>
  </w:style>
  <w:style w:type="paragraph" w:customStyle="1" w:styleId="14">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3"/>
    <w:qFormat/>
    <w:uiPriority w:val="0"/>
    <w:pPr>
      <w:widowControl w:val="0"/>
      <w:jc w:val="both"/>
    </w:pPr>
    <w:rPr>
      <w:rFonts w:ascii="Times New Roman" w:hAnsi="Times New Roman" w:eastAsia="宋体" w:cs="Times New Roman"/>
      <w:kern w:val="2"/>
      <w:sz w:val="21"/>
      <w:lang w:val="en-US" w:eastAsia="zh-CN"/>
    </w:rPr>
  </w:style>
  <w:style w:type="paragraph" w:customStyle="1" w:styleId="15">
    <w:name w:val="列出段落1"/>
    <w:basedOn w:val="1"/>
    <w:qFormat/>
    <w:uiPriority w:val="99"/>
    <w:pPr>
      <w:ind w:firstLine="420" w:firstLineChars="200"/>
    </w:pPr>
    <w:rPr>
      <w:rFonts w:hint="default"/>
    </w:rPr>
  </w:style>
  <w:style w:type="paragraph" w:customStyle="1" w:styleId="16">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7">
    <w:name w:val="21"/>
    <w:qFormat/>
    <w:uiPriority w:val="0"/>
    <w:rPr>
      <w:rFonts w:hint="default" w:ascii="Wingdings" w:hAnsi="Wingdings" w:cs="Wingdings"/>
      <w:b/>
      <w:bCs/>
    </w:rPr>
  </w:style>
  <w:style w:type="paragraph" w:customStyle="1" w:styleId="18">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9">
    <w:name w:val="批注框文本 Char"/>
    <w:basedOn w:val="9"/>
    <w:link w:val="4"/>
    <w:qFormat/>
    <w:uiPriority w:val="0"/>
    <w:rPr>
      <w:rFonts w:ascii="宋体" w:hAnsi="宋体"/>
      <w:sz w:val="18"/>
      <w:szCs w:val="18"/>
    </w:rPr>
  </w:style>
  <w:style w:type="paragraph" w:customStyle="1" w:styleId="20">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5</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2025-10-15T02:09:44Z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