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widowControl/>
        <w:kinsoku/>
        <w:wordWrap/>
        <w:overflowPunct/>
        <w:topLinePunct w:val="0"/>
        <w:autoSpaceDN/>
        <w:bidi w:val="0"/>
        <w:adjustRightInd/>
        <w:spacing w:before="0" w:beforeAutospacing="0" w:after="0" w:afterAutospacing="0" w:line="596" w:lineRule="exact"/>
        <w:jc w:val="both"/>
        <w:textAlignment w:val="auto"/>
        <w:rPr>
          <w:rFonts w:ascii="方正小标宋_GBK" w:hAnsi="方正小标宋_GBK" w:eastAsia="方正小标宋_GBK" w:cs="方正小标宋_GBK"/>
          <w:sz w:val="36"/>
          <w:szCs w:val="36"/>
        </w:rPr>
      </w:pP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秀山土家族苗族自治县溶溪镇中心卫生院</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rPr>
          <w:rFonts w:hint="eastAsia" w:ascii="方正小标宋_GBK" w:hAnsi="方正小标宋_GBK" w:eastAsia="方正小标宋_GBK" w:cs="方正小标宋_GBK"/>
          <w:sz w:val="44"/>
          <w:szCs w:val="44"/>
          <w:shd w:val="clear" w:color="auto" w:fill="FFFFFF"/>
        </w:rPr>
      </w:pPr>
      <w:r>
        <w:rPr>
          <w:rFonts w:hint="eastAsia" w:ascii="Times New Roman" w:hAnsi="Times New Roman" w:eastAsia="方正仿宋_GBK" w:cs="Times New Roman"/>
          <w:b w:val="0"/>
          <w:bCs/>
          <w:sz w:val="44"/>
          <w:szCs w:val="44"/>
          <w:shd w:val="clear" w:color="auto" w:fill="FFFFFF"/>
        </w:rPr>
        <w:t>202</w:t>
      </w:r>
      <w:r>
        <w:rPr>
          <w:rFonts w:hint="eastAsia" w:ascii="Times New Roman" w:hAnsi="Times New Roman" w:eastAsia="方正仿宋_GBK" w:cs="Times New Roman"/>
          <w:b w:val="0"/>
          <w:bCs/>
          <w:sz w:val="44"/>
          <w:szCs w:val="44"/>
          <w:shd w:val="clear" w:color="auto" w:fill="FFFFFF"/>
          <w:lang w:val="en-US" w:eastAsia="zh-CN"/>
        </w:rPr>
        <w:t>4</w:t>
      </w:r>
      <w:r>
        <w:rPr>
          <w:rFonts w:hint="eastAsia" w:ascii="方正小标宋_GBK" w:hAnsi="方正小标宋_GBK" w:eastAsia="方正小标宋_GBK" w:cs="方正小标宋_GBK"/>
          <w:sz w:val="44"/>
          <w:szCs w:val="44"/>
          <w:shd w:val="clear" w:color="auto" w:fill="FFFFFF"/>
        </w:rPr>
        <w:t>年度决算说明</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Style w:val="11"/>
          <w:rFonts w:ascii="黑体" w:hAnsi="黑体" w:eastAsia="黑体" w:cs="黑体"/>
          <w:sz w:val="32"/>
          <w:szCs w:val="32"/>
          <w:shd w:val="clear" w:color="auto" w:fill="FFFFFF"/>
        </w:rPr>
      </w:pP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1"/>
          <w:rFonts w:hint="eastAsia" w:ascii="方正黑体_GBK" w:hAnsi="方正黑体_GBK" w:eastAsia="方正黑体_GBK" w:cs="方正黑体_GBK"/>
          <w:b w:val="0"/>
          <w:bCs/>
          <w:sz w:val="32"/>
          <w:szCs w:val="32"/>
          <w:shd w:val="clear" w:color="auto" w:fill="FFFFFF"/>
        </w:rPr>
      </w:pPr>
      <w:r>
        <w:rPr>
          <w:rStyle w:val="11"/>
          <w:rFonts w:hint="eastAsia" w:ascii="方正黑体_GBK" w:hAnsi="方正黑体_GBK" w:eastAsia="方正黑体_GBK" w:cs="方正黑体_GBK"/>
          <w:b w:val="0"/>
          <w:bCs/>
          <w:sz w:val="32"/>
          <w:szCs w:val="32"/>
          <w:shd w:val="clear" w:color="auto" w:fill="FFFFFF"/>
        </w:rPr>
        <w:t>一、</w:t>
      </w:r>
      <w:r>
        <w:rPr>
          <w:rStyle w:val="11"/>
          <w:rFonts w:hint="eastAsia" w:ascii="方正黑体_GBK" w:hAnsi="方正黑体_GBK" w:eastAsia="方正黑体_GBK" w:cs="方正黑体_GBK"/>
          <w:b w:val="0"/>
          <w:bCs/>
          <w:sz w:val="32"/>
          <w:szCs w:val="32"/>
          <w:shd w:val="clear" w:color="auto" w:fill="FFFFFF"/>
          <w:lang w:eastAsia="zh-CN"/>
        </w:rPr>
        <w:t>单位</w:t>
      </w:r>
      <w:r>
        <w:rPr>
          <w:rStyle w:val="11"/>
          <w:rFonts w:hint="eastAsia" w:ascii="方正黑体_GBK" w:hAnsi="方正黑体_GBK" w:eastAsia="方正黑体_GBK" w:cs="方正黑体_GBK"/>
          <w:b w:val="0"/>
          <w:bCs/>
          <w:sz w:val="32"/>
          <w:szCs w:val="32"/>
          <w:shd w:val="clear" w:color="auto" w:fill="FFFFFF"/>
        </w:rPr>
        <w:t>基本情况</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方正楷体_GBK" w:hAnsi="方正楷体_GBK" w:eastAsia="方正楷体_GBK" w:cs="方正楷体_GBK"/>
          <w:b w:val="0"/>
          <w:bCs/>
          <w:sz w:val="32"/>
          <w:szCs w:val="32"/>
        </w:rPr>
      </w:pPr>
      <w:r>
        <w:rPr>
          <w:rStyle w:val="11"/>
          <w:rFonts w:hint="eastAsia" w:ascii="方正楷体_GBK" w:hAnsi="方正楷体_GBK" w:eastAsia="方正楷体_GBK" w:cs="方正楷体_GBK"/>
          <w:b w:val="0"/>
          <w:bCs/>
          <w:sz w:val="32"/>
          <w:szCs w:val="32"/>
          <w:shd w:val="clear" w:color="auto" w:fill="FFFFFF"/>
        </w:rPr>
        <w:t>（一）职能职责</w:t>
      </w:r>
    </w:p>
    <w:p>
      <w:pPr>
        <w:pStyle w:val="2"/>
        <w:keepNext w:val="0"/>
        <w:keepLines w:val="0"/>
        <w:pageBreakBefore w:val="0"/>
        <w:kinsoku/>
        <w:wordWrap/>
        <w:overflowPunct/>
        <w:topLinePunct w:val="0"/>
        <w:autoSpaceDE/>
        <w:autoSpaceDN/>
        <w:bidi w:val="0"/>
        <w:adjustRightInd/>
        <w:spacing w:beforeAutospacing="0" w:afterAutospacing="0" w:line="560" w:lineRule="exact"/>
        <w:ind w:left="0" w:leftChars="0" w:firstLine="640" w:firstLineChars="200"/>
        <w:jc w:val="both"/>
        <w:textAlignment w:val="auto"/>
        <w:rPr>
          <w:rFonts w:hint="default" w:ascii="Times New Roman" w:hAnsi="Times New Roman" w:eastAsia="方正仿宋_GBK" w:cs="Times New Roman"/>
          <w:b w:val="0"/>
          <w:bCs/>
          <w:sz w:val="32"/>
          <w:szCs w:val="32"/>
          <w:lang w:eastAsia="zh-CN"/>
        </w:rPr>
      </w:pPr>
      <w:r>
        <w:rPr>
          <w:rFonts w:hint="eastAsia" w:ascii="Times New Roman" w:hAnsi="Times New Roman" w:eastAsia="方正仿宋_GBK" w:cs="Times New Roman"/>
          <w:b w:val="0"/>
          <w:bCs/>
          <w:sz w:val="32"/>
          <w:szCs w:val="32"/>
          <w:lang w:eastAsia="zh-CN"/>
        </w:rPr>
        <w:t>本</w:t>
      </w:r>
      <w:r>
        <w:rPr>
          <w:rFonts w:hint="default" w:ascii="Times New Roman" w:hAnsi="Times New Roman" w:eastAsia="方正仿宋_GBK" w:cs="Times New Roman"/>
          <w:b w:val="0"/>
          <w:bCs/>
          <w:sz w:val="32"/>
          <w:szCs w:val="32"/>
          <w:lang w:eastAsia="zh-CN"/>
        </w:rPr>
        <w:t>单位属基层医疗卫生机构，为非营利性医疗机构，应当以居民健康为中心，提供预防保健、大体医疗、健康教育、康复等综合性服务；承担辖区内公共卫生治理；负责对村级卫生机构技术指导和对乡村医生培训。基层医疗卫生机构应当使用与其能力相适应的技术、设备和药物，按照规范诊疗程序开展常见病、多发病的诊疗和部分疾病的康复、护理，提供中医药诊疗、双向转诊、现场急诊急救等医疗服务。</w:t>
      </w:r>
      <w:r>
        <w:rPr>
          <w:rFonts w:hint="eastAsia" w:ascii="Times New Roman" w:hAnsi="Times New Roman" w:eastAsia="方正仿宋_GBK" w:cs="Times New Roman"/>
          <w:b w:val="0"/>
          <w:bCs/>
          <w:sz w:val="32"/>
          <w:szCs w:val="32"/>
          <w:lang w:eastAsia="zh-CN"/>
        </w:rPr>
        <w:t>本</w:t>
      </w:r>
      <w:r>
        <w:rPr>
          <w:rFonts w:hint="default" w:ascii="Times New Roman" w:hAnsi="Times New Roman" w:eastAsia="方正仿宋_GBK" w:cs="Times New Roman"/>
          <w:b w:val="0"/>
          <w:bCs/>
          <w:sz w:val="32"/>
          <w:szCs w:val="32"/>
          <w:lang w:eastAsia="zh-CN"/>
        </w:rPr>
        <w:t>单位为乡镇卫生院，应当履行以下公共卫生职责：</w:t>
      </w:r>
    </w:p>
    <w:p>
      <w:pPr>
        <w:pStyle w:val="2"/>
        <w:keepNext w:val="0"/>
        <w:keepLines w:val="0"/>
        <w:pageBreakBefore w:val="0"/>
        <w:kinsoku/>
        <w:wordWrap/>
        <w:overflowPunct/>
        <w:topLinePunct w:val="0"/>
        <w:autoSpaceDE/>
        <w:autoSpaceDN/>
        <w:bidi w:val="0"/>
        <w:adjustRightInd/>
        <w:spacing w:beforeAutospacing="0" w:afterAutospacing="0" w:line="560" w:lineRule="exact"/>
        <w:ind w:left="0" w:leftChars="0" w:firstLine="640" w:firstLineChars="200"/>
        <w:jc w:val="both"/>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shd w:val="clear" w:color="auto" w:fill="FFFFFF"/>
          <w:lang w:val="en-US" w:eastAsia="zh-CN" w:bidi="ar-SA"/>
        </w:rPr>
        <w:t>1.</w:t>
      </w:r>
      <w:r>
        <w:rPr>
          <w:rFonts w:hint="default" w:ascii="Times New Roman" w:hAnsi="Times New Roman" w:eastAsia="方正仿宋_GBK" w:cs="Times New Roman"/>
          <w:b w:val="0"/>
          <w:bCs/>
          <w:sz w:val="32"/>
          <w:szCs w:val="32"/>
          <w:lang w:eastAsia="zh-CN"/>
        </w:rPr>
        <w:t>根据国家和本市规定收集、报送辖区内卫生健康信息，建立和管理居民健康档案，提出改进辖区公共卫生状况的建议；</w:t>
      </w:r>
    </w:p>
    <w:p>
      <w:pPr>
        <w:pStyle w:val="2"/>
        <w:keepNext w:val="0"/>
        <w:keepLines w:val="0"/>
        <w:pageBreakBefore w:val="0"/>
        <w:kinsoku/>
        <w:wordWrap/>
        <w:overflowPunct/>
        <w:topLinePunct w:val="0"/>
        <w:autoSpaceDE/>
        <w:autoSpaceDN/>
        <w:bidi w:val="0"/>
        <w:adjustRightInd/>
        <w:spacing w:beforeAutospacing="0" w:afterAutospacing="0" w:line="560" w:lineRule="exact"/>
        <w:ind w:left="0" w:leftChars="0" w:firstLine="640" w:firstLineChars="200"/>
        <w:jc w:val="both"/>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shd w:val="clear" w:color="auto" w:fill="FFFFFF"/>
          <w:lang w:val="en-US" w:eastAsia="zh-CN" w:bidi="ar-SA"/>
        </w:rPr>
        <w:t>2.</w:t>
      </w:r>
      <w:r>
        <w:rPr>
          <w:rFonts w:hint="default" w:ascii="Times New Roman" w:hAnsi="Times New Roman" w:eastAsia="方正仿宋_GBK" w:cs="Times New Roman"/>
          <w:b w:val="0"/>
          <w:bCs/>
          <w:sz w:val="32"/>
          <w:szCs w:val="32"/>
          <w:lang w:eastAsia="zh-CN"/>
        </w:rPr>
        <w:t>普及卫生保健常识，实施重点人群及重点场所健康教育，帮助居民形成有利于保护和增进健康的行为方式；</w:t>
      </w:r>
    </w:p>
    <w:p>
      <w:pPr>
        <w:pStyle w:val="2"/>
        <w:keepNext w:val="0"/>
        <w:keepLines w:val="0"/>
        <w:pageBreakBefore w:val="0"/>
        <w:kinsoku/>
        <w:wordWrap/>
        <w:overflowPunct/>
        <w:topLinePunct w:val="0"/>
        <w:autoSpaceDE/>
        <w:autoSpaceDN/>
        <w:bidi w:val="0"/>
        <w:adjustRightInd/>
        <w:spacing w:beforeAutospacing="0" w:afterAutospacing="0" w:line="560" w:lineRule="exact"/>
        <w:ind w:left="0" w:leftChars="0" w:firstLine="640" w:firstLineChars="200"/>
        <w:jc w:val="both"/>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shd w:val="clear" w:color="auto" w:fill="FFFFFF"/>
          <w:lang w:val="en-US" w:eastAsia="zh-CN" w:bidi="ar-SA"/>
        </w:rPr>
        <w:t>3.</w:t>
      </w:r>
      <w:r>
        <w:rPr>
          <w:rFonts w:hint="default" w:ascii="Times New Roman" w:hAnsi="Times New Roman" w:eastAsia="方正仿宋_GBK" w:cs="Times New Roman"/>
          <w:b w:val="0"/>
          <w:bCs/>
          <w:sz w:val="32"/>
          <w:szCs w:val="32"/>
          <w:lang w:eastAsia="zh-CN"/>
        </w:rPr>
        <w:t>协助开展传染病以及地方病、寄生虫病的预防控制，配合开展爱国卫生工作；</w:t>
      </w:r>
    </w:p>
    <w:p>
      <w:pPr>
        <w:pStyle w:val="2"/>
        <w:keepNext w:val="0"/>
        <w:keepLines w:val="0"/>
        <w:pageBreakBefore w:val="0"/>
        <w:kinsoku/>
        <w:wordWrap/>
        <w:overflowPunct/>
        <w:topLinePunct w:val="0"/>
        <w:autoSpaceDE/>
        <w:autoSpaceDN/>
        <w:bidi w:val="0"/>
        <w:adjustRightInd/>
        <w:spacing w:beforeAutospacing="0" w:afterAutospacing="0" w:line="560" w:lineRule="exact"/>
        <w:ind w:left="0" w:leftChars="0" w:firstLine="640" w:firstLineChars="200"/>
        <w:jc w:val="both"/>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shd w:val="clear" w:color="auto" w:fill="FFFFFF"/>
          <w:lang w:val="en-US" w:eastAsia="zh-CN" w:bidi="ar-SA"/>
        </w:rPr>
        <w:t>4.</w:t>
      </w:r>
      <w:r>
        <w:rPr>
          <w:rFonts w:hint="default" w:ascii="Times New Roman" w:hAnsi="Times New Roman" w:eastAsia="方正仿宋_GBK" w:cs="Times New Roman"/>
          <w:b w:val="0"/>
          <w:bCs/>
          <w:sz w:val="32"/>
          <w:szCs w:val="32"/>
          <w:lang w:eastAsia="zh-CN"/>
        </w:rPr>
        <w:t>规范预防接种服务，执行国家免疫计划；</w:t>
      </w:r>
    </w:p>
    <w:p>
      <w:pPr>
        <w:pStyle w:val="2"/>
        <w:keepNext w:val="0"/>
        <w:keepLines w:val="0"/>
        <w:pageBreakBefore w:val="0"/>
        <w:kinsoku/>
        <w:wordWrap/>
        <w:overflowPunct/>
        <w:topLinePunct w:val="0"/>
        <w:autoSpaceDE/>
        <w:autoSpaceDN/>
        <w:bidi w:val="0"/>
        <w:adjustRightInd/>
        <w:spacing w:beforeAutospacing="0" w:afterAutospacing="0" w:line="560" w:lineRule="exact"/>
        <w:ind w:left="0" w:leftChars="0" w:firstLine="640" w:firstLineChars="200"/>
        <w:jc w:val="both"/>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shd w:val="clear" w:color="auto" w:fill="FFFFFF"/>
          <w:lang w:val="en-US" w:eastAsia="zh-CN" w:bidi="ar-SA"/>
        </w:rPr>
        <w:t>5.</w:t>
      </w:r>
      <w:r>
        <w:rPr>
          <w:rFonts w:hint="default" w:ascii="Times New Roman" w:hAnsi="Times New Roman" w:eastAsia="方正仿宋_GBK" w:cs="Times New Roman"/>
          <w:b w:val="0"/>
          <w:bCs/>
          <w:sz w:val="32"/>
          <w:szCs w:val="32"/>
          <w:lang w:eastAsia="zh-CN"/>
        </w:rPr>
        <w:t>做好高危人群、重点慢性病患者的筛查和病例管理；</w:t>
      </w:r>
    </w:p>
    <w:p>
      <w:pPr>
        <w:pStyle w:val="2"/>
        <w:keepNext w:val="0"/>
        <w:keepLines w:val="0"/>
        <w:pageBreakBefore w:val="0"/>
        <w:kinsoku/>
        <w:wordWrap/>
        <w:overflowPunct/>
        <w:topLinePunct w:val="0"/>
        <w:autoSpaceDE/>
        <w:autoSpaceDN/>
        <w:bidi w:val="0"/>
        <w:adjustRightInd/>
        <w:spacing w:beforeAutospacing="0" w:afterAutospacing="0" w:line="560" w:lineRule="exact"/>
        <w:ind w:left="0" w:leftChars="0" w:firstLine="640" w:firstLineChars="200"/>
        <w:jc w:val="both"/>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shd w:val="clear" w:color="auto" w:fill="FFFFFF"/>
          <w:lang w:val="en-US" w:eastAsia="zh-CN" w:bidi="ar-SA"/>
        </w:rPr>
        <w:t>6.</w:t>
      </w:r>
      <w:r>
        <w:rPr>
          <w:rFonts w:hint="default" w:ascii="Times New Roman" w:hAnsi="Times New Roman" w:eastAsia="方正仿宋_GBK" w:cs="Times New Roman"/>
          <w:b w:val="0"/>
          <w:bCs/>
          <w:sz w:val="32"/>
          <w:szCs w:val="32"/>
          <w:lang w:eastAsia="zh-CN"/>
        </w:rPr>
        <w:t>提供心理健康指导服务，实施精神病社区管理；</w:t>
      </w:r>
    </w:p>
    <w:p>
      <w:pPr>
        <w:pStyle w:val="2"/>
        <w:keepNext w:val="0"/>
        <w:keepLines w:val="0"/>
        <w:pageBreakBefore w:val="0"/>
        <w:kinsoku/>
        <w:wordWrap/>
        <w:overflowPunct/>
        <w:topLinePunct w:val="0"/>
        <w:autoSpaceDE/>
        <w:autoSpaceDN/>
        <w:bidi w:val="0"/>
        <w:adjustRightInd/>
        <w:spacing w:beforeAutospacing="0" w:afterAutospacing="0" w:line="560" w:lineRule="exact"/>
        <w:ind w:left="0" w:leftChars="0" w:firstLine="640" w:firstLineChars="200"/>
        <w:jc w:val="both"/>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shd w:val="clear" w:color="auto" w:fill="FFFFFF"/>
          <w:lang w:val="en-US" w:eastAsia="zh-CN" w:bidi="ar-SA"/>
        </w:rPr>
        <w:t>7.</w:t>
      </w:r>
      <w:r>
        <w:rPr>
          <w:rFonts w:hint="default" w:ascii="Times New Roman" w:hAnsi="Times New Roman" w:eastAsia="方正仿宋_GBK" w:cs="Times New Roman"/>
          <w:b w:val="0"/>
          <w:bCs/>
          <w:sz w:val="32"/>
          <w:szCs w:val="32"/>
          <w:lang w:eastAsia="zh-CN"/>
        </w:rPr>
        <w:t>为妇女、儿童、老年人、残疾人等重点人群提供保健和康复服务，开展健康指导；</w:t>
      </w:r>
    </w:p>
    <w:p>
      <w:pPr>
        <w:pStyle w:val="2"/>
        <w:keepNext w:val="0"/>
        <w:keepLines w:val="0"/>
        <w:pageBreakBefore w:val="0"/>
        <w:kinsoku/>
        <w:wordWrap/>
        <w:overflowPunct/>
        <w:topLinePunct w:val="0"/>
        <w:autoSpaceDE/>
        <w:autoSpaceDN/>
        <w:bidi w:val="0"/>
        <w:adjustRightInd/>
        <w:spacing w:beforeAutospacing="0" w:afterAutospacing="0" w:line="560" w:lineRule="exact"/>
        <w:ind w:left="0" w:leftChars="0" w:firstLine="640" w:firstLineChars="200"/>
        <w:jc w:val="both"/>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8.提供计划生育技术服务，协助处置辖区内突发公共卫生事件等；</w:t>
      </w:r>
    </w:p>
    <w:p>
      <w:pPr>
        <w:pStyle w:val="2"/>
        <w:keepNext w:val="0"/>
        <w:keepLines w:val="0"/>
        <w:pageBreakBefore w:val="0"/>
        <w:kinsoku/>
        <w:wordWrap/>
        <w:overflowPunct/>
        <w:topLinePunct w:val="0"/>
        <w:autoSpaceDE/>
        <w:autoSpaceDN/>
        <w:bidi w:val="0"/>
        <w:adjustRightInd/>
        <w:spacing w:beforeAutospacing="0" w:afterAutospacing="0" w:line="560" w:lineRule="exact"/>
        <w:ind w:left="0" w:leftChars="0" w:firstLine="640" w:firstLineChars="200"/>
        <w:jc w:val="both"/>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9.按要求提供其他公共卫生服务。</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方正楷体_GBK" w:hAnsi="方正楷体_GBK" w:eastAsia="方正楷体_GBK" w:cs="方正楷体_GBK"/>
          <w:b w:val="0"/>
          <w:bCs/>
          <w:sz w:val="32"/>
          <w:szCs w:val="32"/>
        </w:rPr>
      </w:pPr>
      <w:r>
        <w:rPr>
          <w:rStyle w:val="11"/>
          <w:rFonts w:hint="eastAsia" w:ascii="方正楷体_GBK" w:hAnsi="方正楷体_GBK" w:eastAsia="方正楷体_GBK" w:cs="方正楷体_GBK"/>
          <w:b w:val="0"/>
          <w:bCs/>
          <w:sz w:val="32"/>
          <w:szCs w:val="32"/>
          <w:shd w:val="clear" w:color="auto" w:fill="FFFFFF"/>
        </w:rPr>
        <w:t>（二）机构设置</w:t>
      </w:r>
    </w:p>
    <w:p>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0" w:firstLineChars="200"/>
        <w:jc w:val="both"/>
        <w:textAlignment w:val="auto"/>
        <w:rPr>
          <w:rFonts w:hint="default" w:ascii="Times New Roman" w:hAnsi="Times New Roman" w:eastAsia="方正仿宋_GBK" w:cs="Times New Roman"/>
          <w:b w:val="0"/>
          <w:bCs/>
          <w:sz w:val="32"/>
          <w:szCs w:val="32"/>
        </w:rPr>
      </w:pPr>
      <w:r>
        <w:rPr>
          <w:rFonts w:hint="eastAsia" w:ascii="Times New Roman" w:hAnsi="Times New Roman" w:eastAsia="方正仿宋_GBK" w:cs="Times New Roman"/>
          <w:b w:val="0"/>
          <w:bCs/>
          <w:sz w:val="32"/>
          <w:szCs w:val="32"/>
          <w:lang w:eastAsia="zh-CN"/>
        </w:rPr>
        <w:t>本</w:t>
      </w:r>
      <w:r>
        <w:rPr>
          <w:rFonts w:hint="default" w:ascii="Times New Roman" w:hAnsi="Times New Roman" w:eastAsia="方正仿宋_GBK" w:cs="Times New Roman"/>
          <w:b w:val="0"/>
          <w:bCs/>
          <w:sz w:val="32"/>
          <w:szCs w:val="32"/>
          <w:lang w:eastAsia="zh-CN"/>
        </w:rPr>
        <w:t>单位</w:t>
      </w:r>
      <w:r>
        <w:rPr>
          <w:rFonts w:hint="default" w:ascii="Times New Roman" w:hAnsi="Times New Roman" w:eastAsia="方正仿宋_GBK" w:cs="Times New Roman"/>
          <w:b w:val="0"/>
          <w:bCs/>
          <w:sz w:val="32"/>
          <w:szCs w:val="32"/>
        </w:rPr>
        <w:t>下设办公室、财务科、人事科、医务科、院感科、质控办、创建办、</w:t>
      </w:r>
      <w:r>
        <w:rPr>
          <w:rFonts w:hint="default" w:ascii="Times New Roman" w:hAnsi="Times New Roman" w:eastAsia="方正仿宋_GBK" w:cs="Times New Roman"/>
          <w:b w:val="0"/>
          <w:bCs/>
          <w:sz w:val="32"/>
          <w:szCs w:val="32"/>
          <w:lang w:eastAsia="zh-CN"/>
        </w:rPr>
        <w:t>信息科、档案管理科、党办、</w:t>
      </w:r>
      <w:r>
        <w:rPr>
          <w:rFonts w:hint="default" w:ascii="Times New Roman" w:hAnsi="Times New Roman" w:eastAsia="方正仿宋_GBK" w:cs="Times New Roman"/>
          <w:b w:val="0"/>
          <w:bCs/>
          <w:sz w:val="32"/>
          <w:szCs w:val="32"/>
        </w:rPr>
        <w:t>护理部、药剂科、总务科、后勤装备科、内儿科、外科、妇产科、中医理疗科、门急诊部、医技科、公卫科、库房、药房、收费室。</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1"/>
          <w:rFonts w:hint="default" w:ascii="Times New Roman" w:hAnsi="Times New Roman" w:eastAsia="方正仿宋_GBK" w:cs="Times New Roman"/>
          <w:b w:val="0"/>
          <w:bCs/>
          <w:sz w:val="32"/>
          <w:szCs w:val="32"/>
          <w:shd w:val="clear" w:color="auto" w:fill="FFFFFF"/>
        </w:rPr>
      </w:pPr>
      <w:r>
        <w:rPr>
          <w:rStyle w:val="11"/>
          <w:rFonts w:hint="eastAsia" w:ascii="方正黑体_GBK" w:hAnsi="方正黑体_GBK" w:eastAsia="方正黑体_GBK" w:cs="方正黑体_GBK"/>
          <w:b w:val="0"/>
          <w:bCs/>
          <w:sz w:val="32"/>
          <w:szCs w:val="32"/>
          <w:shd w:val="clear" w:color="auto" w:fill="FFFFFF"/>
        </w:rPr>
        <w:t>二、</w:t>
      </w:r>
      <w:r>
        <w:rPr>
          <w:rStyle w:val="11"/>
          <w:rFonts w:hint="eastAsia" w:ascii="方正黑体_GBK" w:hAnsi="方正黑体_GBK" w:eastAsia="方正黑体_GBK" w:cs="方正黑体_GBK"/>
          <w:b w:val="0"/>
          <w:bCs/>
          <w:sz w:val="32"/>
          <w:szCs w:val="32"/>
          <w:shd w:val="clear" w:color="auto" w:fill="FFFFFF"/>
          <w:lang w:eastAsia="zh-CN"/>
        </w:rPr>
        <w:t>单位</w:t>
      </w:r>
      <w:r>
        <w:rPr>
          <w:rStyle w:val="11"/>
          <w:rFonts w:hint="eastAsia" w:ascii="方正黑体_GBK" w:hAnsi="方正黑体_GBK" w:eastAsia="方正黑体_GBK" w:cs="方正黑体_GBK"/>
          <w:b w:val="0"/>
          <w:bCs/>
          <w:sz w:val="32"/>
          <w:szCs w:val="32"/>
          <w:shd w:val="clear" w:color="auto" w:fill="FFFFFF"/>
        </w:rPr>
        <w:t>决算</w:t>
      </w:r>
      <w:r>
        <w:rPr>
          <w:rStyle w:val="11"/>
          <w:rFonts w:hint="eastAsia" w:ascii="方正黑体_GBK" w:hAnsi="方正黑体_GBK" w:eastAsia="方正黑体_GBK" w:cs="方正黑体_GBK"/>
          <w:b w:val="0"/>
          <w:bCs/>
          <w:sz w:val="32"/>
          <w:szCs w:val="32"/>
          <w:shd w:val="clear" w:color="auto" w:fill="FFFFFF"/>
          <w:lang w:eastAsia="zh-CN"/>
        </w:rPr>
        <w:t>收支</w:t>
      </w:r>
      <w:r>
        <w:rPr>
          <w:rStyle w:val="11"/>
          <w:rFonts w:hint="eastAsia" w:ascii="方正黑体_GBK" w:hAnsi="方正黑体_GBK" w:eastAsia="方正黑体_GBK" w:cs="方正黑体_GBK"/>
          <w:b w:val="0"/>
          <w:bCs/>
          <w:sz w:val="32"/>
          <w:szCs w:val="32"/>
          <w:shd w:val="clear" w:color="auto" w:fill="FFFFFF"/>
        </w:rPr>
        <w:t>情况说明</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（一）收入支出决算总体情况说明</w:t>
      </w:r>
    </w:p>
    <w:p>
      <w:pPr>
        <w:pStyle w:val="9"/>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color w:val="FF0000"/>
          <w:sz w:val="32"/>
          <w:szCs w:val="32"/>
          <w:shd w:val="clear" w:color="auto" w:fill="FFFFFF"/>
        </w:rPr>
      </w:pPr>
      <w:r>
        <w:rPr>
          <w:rFonts w:hint="default" w:ascii="Times New Roman" w:hAnsi="Times New Roman" w:eastAsia="方正仿宋_GBK" w:cs="Times New Roman"/>
          <w:b w:val="0"/>
          <w:bCs/>
          <w:sz w:val="32"/>
          <w:szCs w:val="32"/>
          <w:shd w:val="clear" w:color="auto" w:fill="FFFFFF"/>
        </w:rPr>
        <w:t>2024年度收</w:t>
      </w:r>
      <w:r>
        <w:rPr>
          <w:rFonts w:hint="default" w:ascii="Times New Roman" w:hAnsi="Times New Roman" w:eastAsia="方正仿宋_GBK" w:cs="Times New Roman"/>
          <w:b w:val="0"/>
          <w:bCs/>
          <w:sz w:val="32"/>
          <w:szCs w:val="32"/>
          <w:shd w:val="clear" w:color="auto" w:fill="FFFFFF"/>
          <w:lang w:eastAsia="zh-CN"/>
        </w:rPr>
        <w:t>、支</w:t>
      </w:r>
      <w:r>
        <w:rPr>
          <w:rFonts w:hint="default" w:ascii="Times New Roman" w:hAnsi="Times New Roman" w:eastAsia="方正仿宋_GBK" w:cs="Times New Roman"/>
          <w:b w:val="0"/>
          <w:bCs/>
          <w:sz w:val="32"/>
          <w:szCs w:val="32"/>
          <w:shd w:val="clear" w:color="auto" w:fill="FFFFFF"/>
        </w:rPr>
        <w:t>总计</w:t>
      </w:r>
      <w:r>
        <w:rPr>
          <w:rFonts w:hint="default" w:ascii="Times New Roman" w:hAnsi="Times New Roman" w:eastAsia="方正仿宋_GBK" w:cs="Times New Roman"/>
          <w:b w:val="0"/>
          <w:bCs/>
          <w:sz w:val="32"/>
          <w:szCs w:val="32"/>
          <w:shd w:val="clear" w:color="auto" w:fill="FFFFFF"/>
          <w:lang w:eastAsia="zh-CN"/>
        </w:rPr>
        <w:t>均为</w:t>
      </w:r>
      <w:r>
        <w:rPr>
          <w:rFonts w:hint="default" w:ascii="Times New Roman" w:hAnsi="Times New Roman" w:eastAsia="方正仿宋_GBK" w:cs="Times New Roman"/>
          <w:b w:val="0"/>
          <w:bCs/>
          <w:sz w:val="32"/>
          <w:szCs w:val="32"/>
          <w:shd w:val="clear" w:color="auto" w:fill="FFFFFF"/>
        </w:rPr>
        <w:t>1629.97万元。收、支与2023年度相比，减少286.73万元，下降15.0%，</w:t>
      </w:r>
      <w:r>
        <w:rPr>
          <w:rFonts w:hint="default" w:ascii="Times New Roman" w:hAnsi="Times New Roman" w:eastAsia="方正仿宋_GBK" w:cs="Times New Roman"/>
          <w:b w:val="0"/>
          <w:bCs/>
          <w:sz w:val="32"/>
          <w:szCs w:val="32"/>
          <w:lang w:eastAsia="zh-CN"/>
        </w:rPr>
        <w:t>主要原因为</w:t>
      </w:r>
      <w:r>
        <w:rPr>
          <w:rFonts w:hint="default" w:ascii="Times New Roman" w:hAnsi="Times New Roman" w:eastAsia="方正仿宋_GBK" w:cs="Times New Roman"/>
          <w:b w:val="0"/>
          <w:bCs/>
          <w:sz w:val="32"/>
          <w:szCs w:val="32"/>
          <w:lang w:val="en-US" w:eastAsia="zh-CN"/>
        </w:rPr>
        <w:t>上年</w:t>
      </w:r>
      <w:r>
        <w:rPr>
          <w:rFonts w:hint="default" w:ascii="Times New Roman" w:hAnsi="Times New Roman" w:eastAsia="方正仿宋_GBK" w:cs="Times New Roman"/>
          <w:b w:val="0"/>
          <w:bCs/>
          <w:sz w:val="32"/>
          <w:szCs w:val="32"/>
          <w:lang w:eastAsia="zh-CN"/>
        </w:rPr>
        <w:t>甲级乡镇卫生院创建财政拨款较多、</w:t>
      </w:r>
      <w:r>
        <w:rPr>
          <w:rFonts w:hint="default" w:ascii="Times New Roman" w:hAnsi="Times New Roman" w:eastAsia="方正仿宋_GBK" w:cs="Times New Roman"/>
          <w:b w:val="0"/>
          <w:bCs/>
          <w:sz w:val="32"/>
          <w:szCs w:val="32"/>
          <w:lang w:val="en-US" w:eastAsia="zh-CN"/>
        </w:rPr>
        <w:t>支出较多，2024年度创建结束财政拨款减少且没有费用增加，从而使得本年度总收入、支出减少。</w:t>
      </w:r>
    </w:p>
    <w:p>
      <w:pPr>
        <w:pStyle w:val="9"/>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sz w:val="32"/>
          <w:szCs w:val="32"/>
          <w:shd w:val="clear" w:color="auto" w:fill="FFFFFF"/>
        </w:rPr>
      </w:pPr>
      <w:r>
        <w:rPr>
          <w:rFonts w:hint="eastAsia" w:ascii="Times New Roman" w:hAnsi="Times New Roman" w:eastAsia="方正仿宋_GBK" w:cs="Times New Roman"/>
          <w:b w:val="0"/>
          <w:bCs/>
          <w:sz w:val="32"/>
          <w:szCs w:val="32"/>
          <w:shd w:val="clear" w:color="auto" w:fill="FFFFFF"/>
          <w:lang w:val="en-US" w:eastAsia="zh-CN"/>
        </w:rPr>
        <w:t>1</w:t>
      </w:r>
      <w:r>
        <w:rPr>
          <w:rFonts w:hint="eastAsia" w:ascii="Times New Roman" w:hAnsi="Times New Roman" w:eastAsia="方正仿宋_GBK" w:cs="Times New Roman"/>
          <w:b w:val="0"/>
          <w:bCs/>
          <w:sz w:val="32"/>
          <w:szCs w:val="32"/>
          <w:shd w:val="clear" w:color="auto" w:fill="FFFFFF"/>
        </w:rPr>
        <w:t>.</w:t>
      </w:r>
      <w:r>
        <w:rPr>
          <w:rStyle w:val="11"/>
          <w:rFonts w:hint="eastAsia" w:ascii="方正仿宋_GBK" w:hAnsi="方正仿宋_GBK" w:eastAsia="方正仿宋_GBK" w:cs="方正仿宋_GBK"/>
          <w:b w:val="0"/>
          <w:bCs/>
          <w:sz w:val="32"/>
          <w:szCs w:val="32"/>
          <w:shd w:val="clear" w:color="auto" w:fill="FFFFFF"/>
        </w:rPr>
        <w:t>收入情况。</w:t>
      </w:r>
      <w:r>
        <w:rPr>
          <w:rFonts w:hint="default" w:ascii="Times New Roman" w:hAnsi="Times New Roman" w:eastAsia="方正仿宋_GBK" w:cs="Times New Roman"/>
          <w:b w:val="0"/>
          <w:bCs/>
          <w:sz w:val="32"/>
          <w:szCs w:val="32"/>
          <w:shd w:val="clear" w:color="auto" w:fill="FFFFFF"/>
        </w:rPr>
        <w:t>2024年度收入合计1598.01万元，与2023年度相比，增加47.31万元，增长3.1%，</w:t>
      </w:r>
      <w:r>
        <w:rPr>
          <w:rFonts w:hint="default" w:ascii="Times New Roman" w:hAnsi="Times New Roman" w:eastAsia="方正仿宋_GBK" w:cs="Times New Roman"/>
          <w:b w:val="0"/>
          <w:bCs/>
          <w:sz w:val="32"/>
          <w:szCs w:val="32"/>
          <w:lang w:eastAsia="zh-CN"/>
        </w:rPr>
        <w:t>主要原因为</w:t>
      </w:r>
      <w:r>
        <w:rPr>
          <w:rFonts w:hint="default" w:ascii="Times New Roman" w:hAnsi="Times New Roman" w:eastAsia="方正仿宋_GBK" w:cs="Times New Roman"/>
          <w:b w:val="0"/>
          <w:bCs/>
          <w:sz w:val="32"/>
          <w:szCs w:val="32"/>
          <w:lang w:val="en-US" w:eastAsia="zh-CN"/>
        </w:rPr>
        <w:t>2024年度医疗收入增长使得医院收入增加。</w:t>
      </w:r>
      <w:r>
        <w:rPr>
          <w:rFonts w:hint="default" w:ascii="Times New Roman" w:hAnsi="Times New Roman" w:eastAsia="方正仿宋_GBK" w:cs="Times New Roman"/>
          <w:b w:val="0"/>
          <w:bCs/>
          <w:sz w:val="32"/>
          <w:szCs w:val="32"/>
          <w:shd w:val="clear" w:color="auto" w:fill="FFFFFF"/>
        </w:rPr>
        <w:t>其中：财政拨款收入510.04万元，占31.9%；事业收入1046.61万元，占65.5%；经营收入0.00万元，占0.0%；其他收入41.36万元，占2.6%。此外，使用非财政拨款结余（含专用结余）0.00万元，年初结转和结余31.96万元。</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sz w:val="32"/>
          <w:szCs w:val="32"/>
          <w:shd w:val="clear" w:color="auto" w:fill="FFFFFF"/>
        </w:rPr>
      </w:pPr>
      <w:r>
        <w:rPr>
          <w:rFonts w:hint="eastAsia" w:ascii="Times New Roman" w:hAnsi="Times New Roman" w:eastAsia="方正仿宋_GBK" w:cs="Times New Roman"/>
          <w:b w:val="0"/>
          <w:bCs/>
          <w:sz w:val="32"/>
          <w:szCs w:val="32"/>
          <w:shd w:val="clear" w:color="auto" w:fill="FFFFFF"/>
          <w:lang w:val="en-US" w:eastAsia="zh-CN"/>
        </w:rPr>
        <w:t>2.</w:t>
      </w:r>
      <w:r>
        <w:rPr>
          <w:rStyle w:val="11"/>
          <w:rFonts w:hint="eastAsia" w:ascii="方正仿宋_GBK" w:hAnsi="方正仿宋_GBK" w:eastAsia="方正仿宋_GBK" w:cs="方正仿宋_GBK"/>
          <w:b w:val="0"/>
          <w:bCs/>
          <w:sz w:val="32"/>
          <w:szCs w:val="32"/>
          <w:shd w:val="clear" w:color="auto" w:fill="FFFFFF"/>
        </w:rPr>
        <w:t>支出情况。</w:t>
      </w:r>
      <w:r>
        <w:rPr>
          <w:rFonts w:hint="default" w:ascii="Times New Roman" w:hAnsi="Times New Roman" w:eastAsia="方正仿宋_GBK" w:cs="Times New Roman"/>
          <w:b w:val="0"/>
          <w:bCs/>
          <w:sz w:val="32"/>
          <w:szCs w:val="32"/>
          <w:shd w:val="clear" w:color="auto" w:fill="FFFFFF"/>
        </w:rPr>
        <w:t>2024年度支出合计1593.50万元，与2023年度相比，减少291.24万元，下降15.5%，主要原因是</w:t>
      </w:r>
      <w:r>
        <w:rPr>
          <w:rFonts w:hint="default" w:ascii="Times New Roman" w:hAnsi="Times New Roman" w:eastAsia="方正仿宋_GBK" w:cs="Times New Roman"/>
          <w:b w:val="0"/>
          <w:bCs/>
          <w:sz w:val="32"/>
          <w:szCs w:val="32"/>
          <w:lang w:val="en-US" w:eastAsia="zh-CN"/>
        </w:rPr>
        <w:t>上年</w:t>
      </w:r>
      <w:r>
        <w:rPr>
          <w:rFonts w:hint="default" w:ascii="Times New Roman" w:hAnsi="Times New Roman" w:eastAsia="方正仿宋_GBK" w:cs="Times New Roman"/>
          <w:b w:val="0"/>
          <w:bCs/>
          <w:sz w:val="32"/>
          <w:szCs w:val="32"/>
          <w:lang w:eastAsia="zh-CN"/>
        </w:rPr>
        <w:t>甲级乡镇卫生院创建</w:t>
      </w:r>
      <w:r>
        <w:rPr>
          <w:rFonts w:hint="default" w:ascii="Times New Roman" w:hAnsi="Times New Roman" w:eastAsia="方正仿宋_GBK" w:cs="Times New Roman"/>
          <w:b w:val="0"/>
          <w:bCs/>
          <w:sz w:val="32"/>
          <w:szCs w:val="32"/>
          <w:lang w:val="en-US" w:eastAsia="zh-CN"/>
        </w:rPr>
        <w:t>支出较多，2024年度创建结束所以支出较少。</w:t>
      </w:r>
      <w:r>
        <w:rPr>
          <w:rFonts w:hint="default" w:ascii="Times New Roman" w:hAnsi="Times New Roman" w:eastAsia="方正仿宋_GBK" w:cs="Times New Roman"/>
          <w:b w:val="0"/>
          <w:bCs/>
          <w:sz w:val="32"/>
          <w:szCs w:val="32"/>
          <w:shd w:val="clear" w:color="auto" w:fill="FFFFFF"/>
        </w:rPr>
        <w:t>其中：基本支出1577.06万元，占99.0%；项目支出16.44万元，占1.0%；经营支出</w:t>
      </w:r>
      <w:r>
        <w:rPr>
          <w:rFonts w:hint="default" w:ascii="Times New Roman" w:hAnsi="Times New Roman" w:eastAsia="方正仿宋_GBK" w:cs="Times New Roman"/>
          <w:b w:val="0"/>
          <w:bCs/>
          <w:sz w:val="32"/>
          <w:szCs w:val="32"/>
        </w:rPr>
        <w:t>0.00</w:t>
      </w:r>
      <w:r>
        <w:rPr>
          <w:rFonts w:hint="default" w:ascii="Times New Roman" w:hAnsi="Times New Roman" w:eastAsia="方正仿宋_GBK" w:cs="Times New Roman"/>
          <w:b w:val="0"/>
          <w:bCs/>
          <w:sz w:val="32"/>
          <w:szCs w:val="32"/>
          <w:shd w:val="clear" w:color="auto" w:fill="FFFFFF"/>
        </w:rPr>
        <w:t>万元，占0.0%。此外，结余分配0.00万元。</w:t>
      </w:r>
    </w:p>
    <w:p>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0" w:firstLineChars="200"/>
        <w:jc w:val="both"/>
        <w:textAlignment w:val="auto"/>
        <w:rPr>
          <w:rFonts w:hint="default" w:ascii="Times New Roman" w:hAnsi="Times New Roman" w:eastAsia="方正仿宋_GBK" w:cs="Times New Roman"/>
          <w:b w:val="0"/>
          <w:bCs/>
          <w:sz w:val="32"/>
          <w:szCs w:val="32"/>
        </w:rPr>
      </w:pPr>
      <w:r>
        <w:rPr>
          <w:rStyle w:val="11"/>
          <w:rFonts w:hint="default" w:ascii="Times New Roman" w:hAnsi="Times New Roman" w:eastAsia="方正仿宋_GBK" w:cs="Times New Roman"/>
          <w:b w:val="0"/>
          <w:bCs/>
          <w:sz w:val="32"/>
          <w:szCs w:val="32"/>
          <w:shd w:val="clear" w:color="auto" w:fill="FFFFFF"/>
          <w:lang w:val="en-US" w:eastAsia="zh-CN"/>
        </w:rPr>
        <w:t>3</w:t>
      </w:r>
      <w:r>
        <w:rPr>
          <w:rStyle w:val="11"/>
          <w:rFonts w:hint="default" w:ascii="Times New Roman" w:hAnsi="Times New Roman" w:eastAsia="方正仿宋_GBK" w:cs="Times New Roman"/>
          <w:b w:val="0"/>
          <w:bCs/>
          <w:sz w:val="32"/>
          <w:szCs w:val="32"/>
          <w:shd w:val="clear" w:color="auto" w:fill="FFFFFF"/>
        </w:rPr>
        <w:t>.</w:t>
      </w:r>
      <w:r>
        <w:rPr>
          <w:rStyle w:val="11"/>
          <w:rFonts w:hint="eastAsia" w:ascii="方正仿宋_GBK" w:hAnsi="方正仿宋_GBK" w:eastAsia="方正仿宋_GBK" w:cs="方正仿宋_GBK"/>
          <w:b w:val="0"/>
          <w:bCs/>
          <w:sz w:val="32"/>
          <w:szCs w:val="32"/>
          <w:shd w:val="clear" w:color="auto" w:fill="FFFFFF"/>
        </w:rPr>
        <w:t>结转结余情况。</w:t>
      </w:r>
      <w:r>
        <w:rPr>
          <w:rFonts w:hint="default" w:ascii="Times New Roman" w:hAnsi="Times New Roman" w:eastAsia="方正仿宋_GBK" w:cs="Times New Roman"/>
          <w:b w:val="0"/>
          <w:bCs/>
          <w:sz w:val="32"/>
          <w:szCs w:val="32"/>
          <w:shd w:val="clear" w:color="auto" w:fill="FFFFFF"/>
        </w:rPr>
        <w:t>2024年度年末结转和结余36.47万元，与2023年度相比，增加4.51万元，增长14.1%，</w:t>
      </w:r>
      <w:r>
        <w:rPr>
          <w:rFonts w:hint="default" w:ascii="Times New Roman" w:hAnsi="Times New Roman" w:eastAsia="方正仿宋_GBK" w:cs="Times New Roman"/>
          <w:b w:val="0"/>
          <w:bCs/>
          <w:sz w:val="32"/>
          <w:szCs w:val="32"/>
          <w:lang w:eastAsia="zh-CN"/>
        </w:rPr>
        <w:t>主要原因是</w:t>
      </w:r>
      <w:r>
        <w:rPr>
          <w:rFonts w:hint="default" w:ascii="Times New Roman" w:hAnsi="Times New Roman" w:eastAsia="方正仿宋_GBK" w:cs="Times New Roman"/>
          <w:b w:val="0"/>
          <w:bCs/>
          <w:sz w:val="32"/>
          <w:szCs w:val="32"/>
          <w:lang w:val="en-US" w:eastAsia="zh-CN"/>
        </w:rPr>
        <w:t>2023年超额绩效清算拨款资金尚未全部支付</w:t>
      </w:r>
      <w:r>
        <w:rPr>
          <w:rFonts w:hint="default" w:ascii="Times New Roman" w:hAnsi="Times New Roman" w:eastAsia="方正仿宋_GBK" w:cs="Times New Roman"/>
          <w:b w:val="0"/>
          <w:bCs/>
          <w:sz w:val="32"/>
          <w:szCs w:val="32"/>
          <w:lang w:eastAsia="zh-CN"/>
        </w:rPr>
        <w:t>。</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（二）财政拨款收入支出决算总体情况说明</w:t>
      </w:r>
    </w:p>
    <w:p>
      <w:pPr>
        <w:pStyle w:val="9"/>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shd w:val="clear" w:color="auto" w:fill="FFFFFF"/>
        </w:rPr>
        <w:t>2024年度财政拨款收、支总计均为542.00万元。与2023年</w:t>
      </w:r>
      <w:r>
        <w:rPr>
          <w:rFonts w:hint="default" w:ascii="Times New Roman" w:hAnsi="Times New Roman" w:eastAsia="方正仿宋_GBK" w:cs="Times New Roman"/>
          <w:b w:val="0"/>
          <w:bCs/>
          <w:sz w:val="32"/>
          <w:szCs w:val="32"/>
          <w:shd w:val="clear" w:color="auto" w:fill="FFFFFF"/>
          <w:lang w:eastAsia="zh-CN"/>
        </w:rPr>
        <w:t>度</w:t>
      </w:r>
      <w:r>
        <w:rPr>
          <w:rFonts w:hint="default" w:ascii="Times New Roman" w:hAnsi="Times New Roman" w:eastAsia="方正仿宋_GBK" w:cs="Times New Roman"/>
          <w:b w:val="0"/>
          <w:bCs/>
          <w:sz w:val="32"/>
          <w:szCs w:val="32"/>
          <w:shd w:val="clear" w:color="auto" w:fill="FFFFFF"/>
        </w:rPr>
        <w:t>相比，财政拨款收、支总计各减少379.46万元，下降41.2%。主要原因是</w:t>
      </w:r>
      <w:r>
        <w:rPr>
          <w:rFonts w:hint="default" w:ascii="Times New Roman" w:hAnsi="Times New Roman" w:eastAsia="方正仿宋_GBK" w:cs="Times New Roman"/>
          <w:b w:val="0"/>
          <w:bCs/>
          <w:sz w:val="32"/>
          <w:szCs w:val="32"/>
          <w:shd w:val="clear" w:color="auto" w:fill="FFFFFF"/>
          <w:lang w:eastAsia="zh-CN"/>
        </w:rPr>
        <w:t>上年</w:t>
      </w:r>
      <w:r>
        <w:rPr>
          <w:rFonts w:hint="eastAsia" w:ascii="Times New Roman" w:hAnsi="Times New Roman" w:eastAsia="方正仿宋_GBK" w:cs="Times New Roman"/>
          <w:b w:val="0"/>
          <w:bCs/>
          <w:sz w:val="32"/>
          <w:szCs w:val="32"/>
          <w:shd w:val="clear" w:color="auto" w:fill="FFFFFF"/>
          <w:lang w:eastAsia="zh-CN"/>
        </w:rPr>
        <w:t>本</w:t>
      </w:r>
      <w:r>
        <w:rPr>
          <w:rFonts w:hint="default" w:ascii="Times New Roman" w:hAnsi="Times New Roman" w:eastAsia="方正仿宋_GBK" w:cs="Times New Roman"/>
          <w:b w:val="0"/>
          <w:bCs/>
          <w:sz w:val="32"/>
          <w:szCs w:val="32"/>
          <w:shd w:val="clear" w:color="auto" w:fill="FFFFFF"/>
          <w:lang w:eastAsia="zh-CN"/>
        </w:rPr>
        <w:t>单位</w:t>
      </w:r>
      <w:r>
        <w:rPr>
          <w:rFonts w:hint="default" w:ascii="Times New Roman" w:hAnsi="Times New Roman" w:eastAsia="方正仿宋_GBK" w:cs="Times New Roman"/>
          <w:b w:val="0"/>
          <w:bCs/>
          <w:sz w:val="32"/>
          <w:szCs w:val="32"/>
          <w:lang w:eastAsia="zh-CN"/>
        </w:rPr>
        <w:t>创建财政拨款较多、</w:t>
      </w:r>
      <w:r>
        <w:rPr>
          <w:rFonts w:hint="default" w:ascii="Times New Roman" w:hAnsi="Times New Roman" w:eastAsia="方正仿宋_GBK" w:cs="Times New Roman"/>
          <w:b w:val="0"/>
          <w:bCs/>
          <w:sz w:val="32"/>
          <w:szCs w:val="32"/>
          <w:lang w:val="en-US" w:eastAsia="zh-CN"/>
        </w:rPr>
        <w:t>支出较多，2024年度创建结束财政拨款减少且没有费用增加，从而使得本年度总收入、支出减少。</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default" w:ascii="Times New Roman" w:hAnsi="Times New Roman" w:eastAsia="方正仿宋_GBK" w:cs="Times New Roman"/>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（三）一般公共预算财政拨款收入支出决算情况说明</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1.收入情况。</w:t>
      </w:r>
      <w:r>
        <w:rPr>
          <w:rFonts w:hint="default" w:ascii="Times New Roman" w:hAnsi="Times New Roman" w:eastAsia="方正仿宋_GBK" w:cs="Times New Roman"/>
          <w:b w:val="0"/>
          <w:bCs/>
          <w:sz w:val="32"/>
          <w:szCs w:val="32"/>
          <w:shd w:val="clear" w:color="auto" w:fill="FFFFFF"/>
        </w:rPr>
        <w:t>2024年度一般公共预算财政拨款收入510.04万元，与2023年度相比，减少55.62万元，下降9.8%。主要原因是</w:t>
      </w:r>
      <w:r>
        <w:rPr>
          <w:rFonts w:hint="default" w:ascii="Times New Roman" w:hAnsi="Times New Roman" w:eastAsia="方正仿宋_GBK" w:cs="Times New Roman"/>
          <w:b w:val="0"/>
          <w:bCs/>
          <w:sz w:val="32"/>
          <w:szCs w:val="32"/>
          <w:shd w:val="clear" w:color="auto" w:fill="FFFFFF"/>
          <w:lang w:eastAsia="zh-CN"/>
        </w:rPr>
        <w:t>没有上年人员资金拨入，部分资金没有上计划，其次是</w:t>
      </w:r>
      <w:r>
        <w:rPr>
          <w:rFonts w:hint="default" w:ascii="Times New Roman" w:hAnsi="Times New Roman" w:eastAsia="方正仿宋_GBK" w:cs="Times New Roman"/>
          <w:b w:val="0"/>
          <w:bCs/>
          <w:sz w:val="32"/>
          <w:szCs w:val="32"/>
          <w:lang w:eastAsia="zh-CN"/>
        </w:rPr>
        <w:t>甲级乡镇卫生院创建结束，没有项目资金拨入</w:t>
      </w:r>
      <w:r>
        <w:rPr>
          <w:rFonts w:hint="default" w:ascii="Times New Roman" w:hAnsi="Times New Roman" w:eastAsia="方正仿宋_GBK" w:cs="Times New Roman"/>
          <w:b w:val="0"/>
          <w:bCs/>
          <w:sz w:val="32"/>
          <w:szCs w:val="32"/>
          <w:shd w:val="clear" w:color="auto" w:fill="FFFFFF"/>
          <w:lang w:eastAsia="zh-CN"/>
        </w:rPr>
        <w:t>。</w:t>
      </w:r>
      <w:r>
        <w:rPr>
          <w:rFonts w:hint="default" w:ascii="Times New Roman" w:hAnsi="Times New Roman" w:eastAsia="方正仿宋_GBK" w:cs="Times New Roman"/>
          <w:b w:val="0"/>
          <w:bCs/>
          <w:sz w:val="32"/>
          <w:szCs w:val="32"/>
          <w:shd w:val="clear" w:color="auto" w:fill="FFFFFF"/>
        </w:rPr>
        <w:t>较年初预算数增加117.79万元，增长30.0%。主要原因是</w:t>
      </w:r>
      <w:r>
        <w:rPr>
          <w:rFonts w:hint="default" w:ascii="Times New Roman" w:hAnsi="Times New Roman" w:eastAsia="方正仿宋_GBK" w:cs="Times New Roman"/>
          <w:b w:val="0"/>
          <w:bCs/>
          <w:sz w:val="32"/>
          <w:szCs w:val="32"/>
        </w:rPr>
        <w:t>财政拨款收入由财政根据资金分配情况统一安排拨款</w:t>
      </w:r>
      <w:r>
        <w:rPr>
          <w:rFonts w:hint="default" w:ascii="Times New Roman" w:hAnsi="Times New Roman" w:eastAsia="方正仿宋_GBK" w:cs="Times New Roman"/>
          <w:b w:val="0"/>
          <w:bCs/>
          <w:sz w:val="32"/>
          <w:szCs w:val="32"/>
          <w:lang w:eastAsia="zh-CN"/>
        </w:rPr>
        <w:t>到位。</w:t>
      </w:r>
      <w:r>
        <w:rPr>
          <w:rFonts w:hint="default" w:ascii="Times New Roman" w:hAnsi="Times New Roman" w:eastAsia="方正仿宋_GBK" w:cs="Times New Roman"/>
          <w:b w:val="0"/>
          <w:bCs/>
          <w:sz w:val="32"/>
          <w:szCs w:val="32"/>
          <w:shd w:val="clear" w:color="auto" w:fill="FFFFFF"/>
        </w:rPr>
        <w:t>此外，年初财政拨款结转和结余31.96万元。</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color w:val="FF0000"/>
          <w:sz w:val="32"/>
          <w:szCs w:val="32"/>
          <w:shd w:val="clear" w:color="auto" w:fill="FFFFFF"/>
          <w:lang w:eastAsia="zh-CN"/>
        </w:rPr>
      </w:pPr>
      <w:r>
        <w:rPr>
          <w:rStyle w:val="11"/>
          <w:rFonts w:hint="default" w:ascii="Times New Roman" w:hAnsi="Times New Roman" w:eastAsia="方正仿宋_GBK" w:cs="Times New Roman"/>
          <w:b w:val="0"/>
          <w:bCs/>
          <w:sz w:val="32"/>
          <w:szCs w:val="32"/>
          <w:shd w:val="clear" w:color="auto" w:fill="FFFFFF"/>
        </w:rPr>
        <w:t>2.</w:t>
      </w:r>
      <w:r>
        <w:rPr>
          <w:rStyle w:val="11"/>
          <w:rFonts w:hint="eastAsia" w:ascii="方正仿宋_GBK" w:hAnsi="方正仿宋_GBK" w:eastAsia="方正仿宋_GBK" w:cs="方正仿宋_GBK"/>
          <w:b w:val="0"/>
          <w:bCs/>
          <w:sz w:val="32"/>
          <w:szCs w:val="32"/>
          <w:shd w:val="clear" w:color="auto" w:fill="FFFFFF"/>
        </w:rPr>
        <w:t>支出情况。</w:t>
      </w:r>
      <w:r>
        <w:rPr>
          <w:rFonts w:hint="default" w:ascii="Times New Roman" w:hAnsi="Times New Roman" w:eastAsia="方正仿宋_GBK" w:cs="Times New Roman"/>
          <w:b w:val="0"/>
          <w:bCs/>
          <w:sz w:val="32"/>
          <w:szCs w:val="32"/>
          <w:shd w:val="clear" w:color="auto" w:fill="FFFFFF"/>
        </w:rPr>
        <w:t>2024年度一般公共预算财政拨款支出505.54万元，与2023年度相比，减少383.96万元，下降43.2%。主要原因是</w:t>
      </w:r>
      <w:r>
        <w:rPr>
          <w:rFonts w:hint="default" w:ascii="Times New Roman" w:hAnsi="Times New Roman" w:eastAsia="方正仿宋_GBK" w:cs="Times New Roman"/>
          <w:b w:val="0"/>
          <w:bCs/>
          <w:sz w:val="32"/>
          <w:szCs w:val="32"/>
          <w:lang w:eastAsia="zh-CN"/>
        </w:rPr>
        <w:t>甲级乡镇卫生院创建结束，没有大支出</w:t>
      </w:r>
      <w:r>
        <w:rPr>
          <w:rFonts w:hint="default" w:ascii="Times New Roman" w:hAnsi="Times New Roman" w:eastAsia="方正仿宋_GBK" w:cs="Times New Roman"/>
          <w:b w:val="0"/>
          <w:bCs/>
          <w:sz w:val="32"/>
          <w:szCs w:val="32"/>
          <w:shd w:val="clear" w:color="auto" w:fill="FFFFFF"/>
          <w:lang w:eastAsia="zh-CN"/>
        </w:rPr>
        <w:t>。</w:t>
      </w:r>
      <w:r>
        <w:rPr>
          <w:rFonts w:hint="default" w:ascii="Times New Roman" w:hAnsi="Times New Roman" w:eastAsia="方正仿宋_GBK" w:cs="Times New Roman"/>
          <w:b w:val="0"/>
          <w:bCs/>
          <w:sz w:val="32"/>
          <w:szCs w:val="32"/>
          <w:shd w:val="clear" w:color="auto" w:fill="FFFFFF"/>
        </w:rPr>
        <w:t>较年初预算数增加113.29万元，增长28.9%。主要原因是</w:t>
      </w:r>
      <w:r>
        <w:rPr>
          <w:rFonts w:hint="default" w:ascii="Times New Roman" w:hAnsi="Times New Roman" w:eastAsia="方正仿宋_GBK" w:cs="Times New Roman"/>
          <w:b w:val="0"/>
          <w:bCs/>
          <w:sz w:val="32"/>
          <w:szCs w:val="32"/>
        </w:rPr>
        <w:t>年初预算主要是根据单位情况预估核算，实际财政拨款收入由财政根据资金分配情况统一安排拨款，因此财政拨款支出与年初预算有相应差异</w:t>
      </w:r>
      <w:r>
        <w:rPr>
          <w:rFonts w:hint="default" w:ascii="Times New Roman" w:hAnsi="Times New Roman" w:eastAsia="方正仿宋_GBK" w:cs="Times New Roman"/>
          <w:b w:val="0"/>
          <w:bCs/>
          <w:sz w:val="32"/>
          <w:szCs w:val="32"/>
          <w:shd w:val="clear" w:color="auto" w:fill="FFFFFF"/>
          <w:lang w:eastAsia="zh-CN"/>
        </w:rPr>
        <w:t>。</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sz w:val="32"/>
          <w:szCs w:val="32"/>
          <w:highlight w:val="none"/>
          <w:shd w:val="clear" w:color="auto" w:fill="FFFFFF"/>
        </w:rPr>
      </w:pPr>
      <w:r>
        <w:rPr>
          <w:rFonts w:hint="default" w:ascii="Times New Roman" w:hAnsi="Times New Roman" w:eastAsia="方正仿宋_GBK" w:cs="Times New Roman"/>
          <w:b w:val="0"/>
          <w:bCs/>
          <w:sz w:val="32"/>
          <w:szCs w:val="32"/>
          <w:highlight w:val="none"/>
          <w:shd w:val="clear" w:color="auto" w:fill="FFFFFF"/>
        </w:rPr>
        <w:t>一般公共预算财政拨款支出主要</w:t>
      </w:r>
      <w:r>
        <w:rPr>
          <w:rFonts w:hint="default" w:ascii="Times New Roman" w:hAnsi="Times New Roman" w:eastAsia="方正仿宋_GBK" w:cs="Times New Roman"/>
          <w:b w:val="0"/>
          <w:bCs/>
          <w:sz w:val="32"/>
          <w:szCs w:val="32"/>
          <w:highlight w:val="none"/>
          <w:shd w:val="clear" w:color="auto" w:fill="FFFFFF"/>
          <w:lang w:eastAsia="zh-CN"/>
        </w:rPr>
        <w:t>用途如下</w:t>
      </w:r>
      <w:r>
        <w:rPr>
          <w:rFonts w:hint="default" w:ascii="Times New Roman" w:hAnsi="Times New Roman" w:eastAsia="方正仿宋_GBK" w:cs="Times New Roman"/>
          <w:b w:val="0"/>
          <w:bCs/>
          <w:sz w:val="32"/>
          <w:szCs w:val="32"/>
          <w:highlight w:val="none"/>
          <w:shd w:val="clear" w:color="auto" w:fill="FFFFFF"/>
        </w:rPr>
        <w:t>：</w:t>
      </w:r>
    </w:p>
    <w:p>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shd w:val="clear" w:color="auto" w:fill="FFFFFF"/>
        </w:rPr>
        <w:t>（</w:t>
      </w:r>
      <w:r>
        <w:rPr>
          <w:rFonts w:hint="default" w:ascii="Times New Roman" w:hAnsi="Times New Roman" w:eastAsia="方正仿宋_GBK" w:cs="Times New Roman"/>
          <w:b w:val="0"/>
          <w:bCs/>
          <w:sz w:val="32"/>
          <w:szCs w:val="32"/>
          <w:shd w:val="clear" w:color="auto" w:fill="FFFFFF"/>
          <w:lang w:val="en-US" w:eastAsia="zh-CN"/>
        </w:rPr>
        <w:t>1</w:t>
      </w:r>
      <w:r>
        <w:rPr>
          <w:rFonts w:hint="default" w:ascii="Times New Roman" w:hAnsi="Times New Roman" w:eastAsia="方正仿宋_GBK" w:cs="Times New Roman"/>
          <w:b w:val="0"/>
          <w:bCs/>
          <w:sz w:val="32"/>
          <w:szCs w:val="32"/>
          <w:shd w:val="clear" w:color="auto" w:fill="FFFFFF"/>
        </w:rPr>
        <w:t>）社会保障</w:t>
      </w:r>
      <w:r>
        <w:rPr>
          <w:rFonts w:hint="default" w:ascii="Times New Roman" w:hAnsi="Times New Roman" w:eastAsia="方正仿宋_GBK" w:cs="Times New Roman"/>
          <w:b w:val="0"/>
          <w:bCs/>
          <w:sz w:val="32"/>
          <w:szCs w:val="32"/>
          <w:shd w:val="clear" w:color="auto" w:fill="FFFFFF"/>
          <w:lang w:eastAsia="zh-CN"/>
        </w:rPr>
        <w:t>和</w:t>
      </w:r>
      <w:r>
        <w:rPr>
          <w:rFonts w:hint="default" w:ascii="Times New Roman" w:hAnsi="Times New Roman" w:eastAsia="方正仿宋_GBK" w:cs="Times New Roman"/>
          <w:b w:val="0"/>
          <w:bCs/>
          <w:sz w:val="32"/>
          <w:szCs w:val="32"/>
          <w:shd w:val="clear" w:color="auto" w:fill="FFFFFF"/>
        </w:rPr>
        <w:t>就业支出78.06万元，占15.4%，较年初预算数增加18.07万元，增长30.1%，</w:t>
      </w:r>
      <w:r>
        <w:rPr>
          <w:rFonts w:hint="default" w:ascii="Times New Roman" w:hAnsi="Times New Roman" w:eastAsia="方正仿宋_GBK" w:cs="Times New Roman"/>
          <w:b w:val="0"/>
          <w:bCs/>
          <w:sz w:val="32"/>
          <w:szCs w:val="32"/>
        </w:rPr>
        <w:t>主要原因是</w:t>
      </w:r>
      <w:r>
        <w:rPr>
          <w:rFonts w:hint="default" w:ascii="Times New Roman" w:hAnsi="Times New Roman" w:eastAsia="方正仿宋_GBK" w:cs="Times New Roman"/>
          <w:b w:val="0"/>
          <w:bCs/>
          <w:sz w:val="32"/>
          <w:szCs w:val="32"/>
          <w:lang w:eastAsia="zh-CN"/>
        </w:rPr>
        <w:t>年初预算核算公式偏小造成了预算数偏低</w:t>
      </w:r>
      <w:r>
        <w:rPr>
          <w:rFonts w:hint="default" w:ascii="Times New Roman" w:hAnsi="Times New Roman" w:eastAsia="方正仿宋_GBK" w:cs="Times New Roman"/>
          <w:b w:val="0"/>
          <w:bCs/>
          <w:sz w:val="32"/>
          <w:szCs w:val="32"/>
        </w:rPr>
        <w:t>。</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shd w:val="clear" w:color="auto" w:fill="FFFFFF"/>
        </w:rPr>
        <w:t>（</w:t>
      </w:r>
      <w:r>
        <w:rPr>
          <w:rFonts w:hint="default" w:ascii="Times New Roman" w:hAnsi="Times New Roman" w:eastAsia="方正仿宋_GBK" w:cs="Times New Roman"/>
          <w:b w:val="0"/>
          <w:bCs/>
          <w:sz w:val="32"/>
          <w:szCs w:val="32"/>
          <w:shd w:val="clear" w:color="auto" w:fill="FFFFFF"/>
          <w:lang w:val="en-US" w:eastAsia="zh-CN"/>
        </w:rPr>
        <w:t>2</w:t>
      </w:r>
      <w:r>
        <w:rPr>
          <w:rFonts w:hint="default" w:ascii="Times New Roman" w:hAnsi="Times New Roman" w:eastAsia="方正仿宋_GBK" w:cs="Times New Roman"/>
          <w:b w:val="0"/>
          <w:bCs/>
          <w:sz w:val="32"/>
          <w:szCs w:val="32"/>
          <w:shd w:val="clear" w:color="auto" w:fill="FFFFFF"/>
        </w:rPr>
        <w:t>）卫生健康支出406.77万元，占80.5%，较年初预算数增加95.21万元，增长30.6%，主要原因是</w:t>
      </w:r>
      <w:r>
        <w:rPr>
          <w:rFonts w:hint="default" w:ascii="Times New Roman" w:hAnsi="Times New Roman" w:eastAsia="方正仿宋_GBK" w:cs="Times New Roman"/>
          <w:b w:val="0"/>
          <w:bCs/>
          <w:sz w:val="32"/>
          <w:szCs w:val="32"/>
        </w:rPr>
        <w:t>年初预算主要是根据单位情况预估核算，实际财政拨款收入由财政根据资金分配情况统一安排拨款，</w:t>
      </w:r>
      <w:r>
        <w:rPr>
          <w:rFonts w:hint="default" w:ascii="Times New Roman" w:hAnsi="Times New Roman" w:eastAsia="方正仿宋_GBK" w:cs="Times New Roman"/>
          <w:b w:val="0"/>
          <w:bCs/>
          <w:sz w:val="32"/>
          <w:szCs w:val="32"/>
          <w:lang w:eastAsia="zh-CN"/>
        </w:rPr>
        <w:t>故</w:t>
      </w:r>
      <w:r>
        <w:rPr>
          <w:rFonts w:hint="default" w:ascii="Times New Roman" w:hAnsi="Times New Roman" w:eastAsia="方正仿宋_GBK" w:cs="Times New Roman"/>
          <w:b w:val="0"/>
          <w:bCs/>
          <w:sz w:val="32"/>
          <w:szCs w:val="32"/>
        </w:rPr>
        <w:t>财政拨款支出与年初预算有相应差异。</w:t>
      </w:r>
    </w:p>
    <w:p>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0" w:firstLineChars="200"/>
        <w:jc w:val="both"/>
        <w:textAlignment w:val="auto"/>
        <w:rPr>
          <w:rFonts w:hint="default" w:ascii="Times New Roman" w:hAnsi="Times New Roman" w:eastAsia="方正仿宋_GBK" w:cs="Times New Roman"/>
          <w:b w:val="0"/>
          <w:bCs/>
          <w:color w:val="FF0000"/>
          <w:sz w:val="32"/>
          <w:szCs w:val="32"/>
          <w:shd w:val="clear" w:color="auto" w:fill="FFFFFF"/>
        </w:rPr>
      </w:pPr>
      <w:r>
        <w:rPr>
          <w:rFonts w:hint="default" w:ascii="Times New Roman" w:hAnsi="Times New Roman" w:eastAsia="方正仿宋_GBK" w:cs="Times New Roman"/>
          <w:b w:val="0"/>
          <w:bCs/>
          <w:sz w:val="32"/>
          <w:szCs w:val="32"/>
          <w:shd w:val="clear" w:color="auto" w:fill="FFFFFF"/>
        </w:rPr>
        <w:t>（</w:t>
      </w:r>
      <w:r>
        <w:rPr>
          <w:rFonts w:hint="default" w:ascii="Times New Roman" w:hAnsi="Times New Roman" w:eastAsia="方正仿宋_GBK" w:cs="Times New Roman"/>
          <w:b w:val="0"/>
          <w:bCs/>
          <w:sz w:val="32"/>
          <w:szCs w:val="32"/>
          <w:shd w:val="clear" w:color="auto" w:fill="FFFFFF"/>
          <w:lang w:val="en-US" w:eastAsia="zh-CN"/>
        </w:rPr>
        <w:t>3</w:t>
      </w:r>
      <w:r>
        <w:rPr>
          <w:rFonts w:hint="default" w:ascii="Times New Roman" w:hAnsi="Times New Roman" w:eastAsia="方正仿宋_GBK" w:cs="Times New Roman"/>
          <w:b w:val="0"/>
          <w:bCs/>
          <w:sz w:val="32"/>
          <w:szCs w:val="32"/>
          <w:shd w:val="clear" w:color="auto" w:fill="FFFFFF"/>
        </w:rPr>
        <w:t>）</w:t>
      </w:r>
      <w:r>
        <w:rPr>
          <w:rFonts w:hint="default" w:ascii="Times New Roman" w:hAnsi="Times New Roman" w:eastAsia="方正仿宋_GBK" w:cs="Times New Roman"/>
          <w:b w:val="0"/>
          <w:bCs/>
          <w:sz w:val="32"/>
          <w:szCs w:val="32"/>
        </w:rPr>
        <w:t>住房保障支出</w:t>
      </w:r>
      <w:r>
        <w:rPr>
          <w:rFonts w:hint="default" w:ascii="Times New Roman" w:hAnsi="Times New Roman" w:eastAsia="方正仿宋_GBK" w:cs="Times New Roman"/>
          <w:b w:val="0"/>
          <w:bCs/>
          <w:sz w:val="32"/>
          <w:szCs w:val="32"/>
          <w:shd w:val="clear" w:color="auto" w:fill="FFFFFF"/>
        </w:rPr>
        <w:t>20.70万元，占4.1%，较年初预算数无增减，</w:t>
      </w:r>
      <w:r>
        <w:rPr>
          <w:rFonts w:hint="default" w:ascii="Times New Roman" w:hAnsi="Times New Roman" w:eastAsia="方正仿宋_GBK" w:cs="Times New Roman"/>
          <w:b w:val="0"/>
          <w:bCs/>
          <w:sz w:val="32"/>
          <w:szCs w:val="32"/>
        </w:rPr>
        <w:t>主要原因是</w:t>
      </w:r>
      <w:r>
        <w:rPr>
          <w:rFonts w:hint="default" w:ascii="Times New Roman" w:hAnsi="Times New Roman" w:eastAsia="方正仿宋_GBK" w:cs="Times New Roman"/>
          <w:b w:val="0"/>
          <w:bCs/>
          <w:sz w:val="32"/>
          <w:szCs w:val="32"/>
          <w:lang w:eastAsia="zh-CN"/>
        </w:rPr>
        <w:t>年初预算核算预算数准确</w:t>
      </w:r>
      <w:r>
        <w:rPr>
          <w:rFonts w:hint="default" w:ascii="Times New Roman" w:hAnsi="Times New Roman" w:eastAsia="方正仿宋_GBK" w:cs="Times New Roman"/>
          <w:b w:val="0"/>
          <w:bCs/>
          <w:sz w:val="32"/>
          <w:szCs w:val="32"/>
        </w:rPr>
        <w:t>。</w:t>
      </w:r>
    </w:p>
    <w:p>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0" w:firstLineChars="200"/>
        <w:jc w:val="both"/>
        <w:textAlignment w:val="auto"/>
        <w:rPr>
          <w:rFonts w:hint="default" w:ascii="Times New Roman" w:hAnsi="Times New Roman" w:eastAsia="方正仿宋_GBK" w:cs="Times New Roman"/>
          <w:b w:val="0"/>
          <w:bCs/>
          <w:color w:val="FF0000"/>
          <w:sz w:val="32"/>
          <w:szCs w:val="32"/>
          <w:shd w:val="clear" w:color="auto" w:fill="FFFFFF"/>
        </w:rPr>
      </w:pPr>
      <w:r>
        <w:rPr>
          <w:rStyle w:val="11"/>
          <w:rFonts w:hint="default" w:ascii="Times New Roman" w:hAnsi="Times New Roman" w:eastAsia="方正仿宋_GBK" w:cs="Times New Roman"/>
          <w:b w:val="0"/>
          <w:bCs/>
          <w:sz w:val="32"/>
          <w:szCs w:val="32"/>
          <w:shd w:val="clear" w:color="auto" w:fill="FFFFFF"/>
        </w:rPr>
        <w:t>3.</w:t>
      </w:r>
      <w:r>
        <w:rPr>
          <w:rStyle w:val="11"/>
          <w:rFonts w:hint="eastAsia" w:ascii="方正仿宋_GBK" w:hAnsi="方正仿宋_GBK" w:eastAsia="方正仿宋_GBK" w:cs="方正仿宋_GBK"/>
          <w:b w:val="0"/>
          <w:bCs/>
          <w:sz w:val="32"/>
          <w:szCs w:val="32"/>
          <w:shd w:val="clear" w:color="auto" w:fill="FFFFFF"/>
        </w:rPr>
        <w:t>结转结余情况。</w:t>
      </w:r>
      <w:r>
        <w:rPr>
          <w:rFonts w:hint="default" w:ascii="Times New Roman" w:hAnsi="Times New Roman" w:eastAsia="方正仿宋_GBK" w:cs="Times New Roman"/>
          <w:b w:val="0"/>
          <w:bCs/>
          <w:sz w:val="32"/>
          <w:szCs w:val="32"/>
          <w:shd w:val="clear" w:color="auto" w:fill="FFFFFF"/>
        </w:rPr>
        <w:t>2024年度年末一般公共预算财政拨款结转和结余36.47万元，与2023年度相比，增加4.51万元，增长14.1%，</w:t>
      </w:r>
      <w:r>
        <w:rPr>
          <w:rFonts w:hint="default" w:ascii="Times New Roman" w:hAnsi="Times New Roman" w:eastAsia="方正仿宋_GBK" w:cs="Times New Roman"/>
          <w:b w:val="0"/>
          <w:bCs/>
          <w:sz w:val="32"/>
          <w:szCs w:val="32"/>
          <w:lang w:eastAsia="zh-CN"/>
        </w:rPr>
        <w:t>主要原因是</w:t>
      </w:r>
      <w:r>
        <w:rPr>
          <w:rFonts w:hint="default" w:ascii="Times New Roman" w:hAnsi="Times New Roman" w:eastAsia="方正仿宋_GBK" w:cs="Times New Roman"/>
          <w:b w:val="0"/>
          <w:bCs/>
          <w:sz w:val="32"/>
          <w:szCs w:val="32"/>
          <w:lang w:val="en-US" w:eastAsia="zh-CN"/>
        </w:rPr>
        <w:t>2024年超额绩效清算拨款资金尚未完全支付。</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（四）一般公共预算财政拨款基本支出决算情况说明</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sz w:val="32"/>
          <w:szCs w:val="32"/>
          <w:shd w:val="clear" w:color="auto" w:fill="FFFFFF"/>
        </w:rPr>
      </w:pPr>
      <w:r>
        <w:rPr>
          <w:rFonts w:hint="default" w:ascii="Times New Roman" w:hAnsi="Times New Roman" w:eastAsia="方正仿宋_GBK" w:cs="Times New Roman"/>
          <w:b w:val="0"/>
          <w:bCs/>
          <w:sz w:val="32"/>
          <w:szCs w:val="32"/>
          <w:shd w:val="clear" w:color="auto" w:fill="FFFFFF"/>
        </w:rPr>
        <w:t>2024年度一般公共财政拨款基本支出489.10万元。</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jc w:val="both"/>
        <w:textAlignment w:val="auto"/>
        <w:rPr>
          <w:rFonts w:hint="default" w:ascii="Times New Roman" w:hAnsi="Times New Roman" w:eastAsia="方正仿宋_GBK" w:cs="Times New Roman"/>
          <w:b w:val="0"/>
          <w:bCs/>
          <w:sz w:val="32"/>
          <w:szCs w:val="32"/>
          <w:shd w:val="clear" w:color="auto" w:fill="FFFFFF"/>
        </w:rPr>
      </w:pPr>
      <w:r>
        <w:rPr>
          <w:rFonts w:hint="default" w:ascii="Times New Roman" w:hAnsi="Times New Roman" w:eastAsia="方正仿宋_GBK" w:cs="Times New Roman"/>
          <w:b w:val="0"/>
          <w:bCs/>
          <w:sz w:val="32"/>
          <w:szCs w:val="32"/>
          <w:shd w:val="clear" w:color="auto" w:fill="FFFFFF"/>
        </w:rPr>
        <w:t>其中：</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shd w:val="clear" w:color="auto" w:fill="FFFFFF"/>
        </w:rPr>
        <w:t>人员经费475.75万元，与2023年度相比，增加14.47万元，增长3.1%，</w:t>
      </w:r>
      <w:r>
        <w:rPr>
          <w:rFonts w:hint="default" w:ascii="Times New Roman" w:hAnsi="Times New Roman" w:eastAsia="方正仿宋_GBK" w:cs="Times New Roman"/>
          <w:b w:val="0"/>
          <w:bCs/>
          <w:sz w:val="32"/>
          <w:szCs w:val="32"/>
        </w:rPr>
        <w:t>主要原因是</w:t>
      </w:r>
      <w:r>
        <w:rPr>
          <w:rFonts w:hint="default" w:ascii="Times New Roman" w:hAnsi="Times New Roman" w:eastAsia="方正仿宋_GBK" w:cs="Times New Roman"/>
          <w:b w:val="0"/>
          <w:bCs/>
          <w:sz w:val="32"/>
          <w:szCs w:val="32"/>
          <w:lang w:eastAsia="zh-CN"/>
        </w:rPr>
        <w:t>本年度人员结构变化导致</w:t>
      </w:r>
      <w:r>
        <w:rPr>
          <w:rFonts w:hint="default" w:ascii="Times New Roman" w:hAnsi="Times New Roman" w:eastAsia="方正仿宋_GBK" w:cs="Times New Roman"/>
          <w:b w:val="0"/>
          <w:bCs/>
          <w:sz w:val="32"/>
          <w:szCs w:val="32"/>
        </w:rPr>
        <w:t>经费</w:t>
      </w:r>
      <w:r>
        <w:rPr>
          <w:rFonts w:hint="default" w:ascii="Times New Roman" w:hAnsi="Times New Roman" w:eastAsia="方正仿宋_GBK" w:cs="Times New Roman"/>
          <w:b w:val="0"/>
          <w:bCs/>
          <w:sz w:val="32"/>
          <w:szCs w:val="32"/>
          <w:lang w:eastAsia="zh-CN"/>
        </w:rPr>
        <w:t>增加</w:t>
      </w:r>
      <w:r>
        <w:rPr>
          <w:rFonts w:hint="default" w:ascii="Times New Roman" w:hAnsi="Times New Roman" w:eastAsia="方正仿宋_GBK" w:cs="Times New Roman"/>
          <w:b w:val="0"/>
          <w:bCs/>
          <w:sz w:val="32"/>
          <w:szCs w:val="32"/>
        </w:rPr>
        <w:t>。人员经费用途主要包括人员社会保障、工资、绩效、津补贴支出等。</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shd w:val="clear" w:color="auto" w:fill="FFFFFF"/>
        </w:rPr>
        <w:t>公用经费13.35万元，与2023年度相比，减少43.92万元，下降76.7%，</w:t>
      </w:r>
      <w:r>
        <w:rPr>
          <w:rFonts w:hint="default" w:ascii="Times New Roman" w:hAnsi="Times New Roman" w:eastAsia="方正仿宋_GBK" w:cs="Times New Roman"/>
          <w:b w:val="0"/>
          <w:bCs/>
          <w:sz w:val="32"/>
          <w:szCs w:val="32"/>
        </w:rPr>
        <w:t>主要原因是</w:t>
      </w:r>
      <w:r>
        <w:rPr>
          <w:rFonts w:hint="default" w:ascii="Times New Roman" w:hAnsi="Times New Roman" w:eastAsia="方正仿宋_GBK" w:cs="Times New Roman"/>
          <w:b w:val="0"/>
          <w:bCs/>
          <w:sz w:val="32"/>
          <w:szCs w:val="32"/>
          <w:lang w:val="en-US" w:eastAsia="zh-CN"/>
        </w:rPr>
        <w:t>上年度</w:t>
      </w:r>
      <w:r>
        <w:rPr>
          <w:rFonts w:hint="default" w:ascii="Times New Roman" w:hAnsi="Times New Roman" w:eastAsia="方正仿宋_GBK" w:cs="Times New Roman"/>
          <w:b w:val="0"/>
          <w:bCs/>
          <w:sz w:val="32"/>
          <w:szCs w:val="32"/>
          <w:lang w:eastAsia="zh-CN"/>
        </w:rPr>
        <w:t>已添</w:t>
      </w:r>
      <w:r>
        <w:rPr>
          <w:rFonts w:hint="default" w:ascii="Times New Roman" w:hAnsi="Times New Roman" w:eastAsia="方正仿宋_GBK" w:cs="Times New Roman"/>
          <w:b w:val="0"/>
          <w:bCs/>
          <w:sz w:val="32"/>
          <w:szCs w:val="32"/>
        </w:rPr>
        <w:t>置</w:t>
      </w:r>
      <w:r>
        <w:rPr>
          <w:rFonts w:hint="default" w:ascii="Times New Roman" w:hAnsi="Times New Roman" w:eastAsia="方正仿宋_GBK" w:cs="Times New Roman"/>
          <w:b w:val="0"/>
          <w:bCs/>
          <w:sz w:val="32"/>
          <w:szCs w:val="32"/>
          <w:lang w:eastAsia="zh-CN"/>
        </w:rPr>
        <w:t>部分</w:t>
      </w:r>
      <w:r>
        <w:rPr>
          <w:rFonts w:hint="default" w:ascii="Times New Roman" w:hAnsi="Times New Roman" w:eastAsia="方正仿宋_GBK" w:cs="Times New Roman"/>
          <w:b w:val="0"/>
          <w:bCs/>
          <w:sz w:val="32"/>
          <w:szCs w:val="32"/>
        </w:rPr>
        <w:t>医疗设备、办公设备支出</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本</w:t>
      </w:r>
      <w:r>
        <w:rPr>
          <w:rFonts w:hint="default" w:ascii="Times New Roman" w:hAnsi="Times New Roman" w:eastAsia="方正仿宋_GBK" w:cs="Times New Roman"/>
          <w:b w:val="0"/>
          <w:bCs/>
          <w:sz w:val="32"/>
          <w:szCs w:val="32"/>
          <w:lang w:eastAsia="zh-CN"/>
        </w:rPr>
        <w:t>年度节约了部分支出经费</w:t>
      </w:r>
      <w:r>
        <w:rPr>
          <w:rFonts w:hint="default" w:ascii="Times New Roman" w:hAnsi="Times New Roman" w:eastAsia="方正仿宋_GBK" w:cs="Times New Roman"/>
          <w:b w:val="0"/>
          <w:bCs/>
          <w:sz w:val="32"/>
          <w:szCs w:val="32"/>
        </w:rPr>
        <w:t>。公用经费用途主要包括办公支出、培训支出、差旅支出、水电支出等。</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（五）政府性基金预算收支决算情况说明</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sz w:val="32"/>
          <w:szCs w:val="32"/>
        </w:rPr>
      </w:pPr>
      <w:r>
        <w:rPr>
          <w:rFonts w:hint="eastAsia" w:ascii="Times New Roman" w:hAnsi="Times New Roman" w:eastAsia="方正仿宋_GBK" w:cs="Times New Roman"/>
          <w:b w:val="0"/>
          <w:bCs/>
          <w:sz w:val="32"/>
          <w:szCs w:val="32"/>
          <w:lang w:eastAsia="zh-CN"/>
        </w:rPr>
        <w:t>本</w:t>
      </w:r>
      <w:r>
        <w:rPr>
          <w:rFonts w:hint="default" w:ascii="Times New Roman" w:hAnsi="Times New Roman" w:eastAsia="方正仿宋_GBK" w:cs="Times New Roman"/>
          <w:b w:val="0"/>
          <w:bCs/>
          <w:sz w:val="32"/>
          <w:szCs w:val="32"/>
          <w:lang w:eastAsia="zh-CN"/>
        </w:rPr>
        <w:t>单位2024年度无政府性基金预算财政拨款收支。</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（六）国有资本经营预算财政拨款支出决算情况说明</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sz w:val="32"/>
          <w:szCs w:val="32"/>
          <w:lang w:eastAsia="zh-CN"/>
        </w:rPr>
      </w:pPr>
      <w:r>
        <w:rPr>
          <w:rFonts w:hint="eastAsia" w:ascii="Times New Roman" w:hAnsi="Times New Roman" w:eastAsia="方正仿宋_GBK" w:cs="Times New Roman"/>
          <w:b w:val="0"/>
          <w:bCs/>
          <w:sz w:val="32"/>
          <w:szCs w:val="32"/>
          <w:lang w:eastAsia="zh-CN"/>
        </w:rPr>
        <w:t>本</w:t>
      </w:r>
      <w:r>
        <w:rPr>
          <w:rFonts w:hint="default" w:ascii="Times New Roman" w:hAnsi="Times New Roman" w:eastAsia="方正仿宋_GBK" w:cs="Times New Roman"/>
          <w:b w:val="0"/>
          <w:bCs/>
          <w:sz w:val="32"/>
          <w:szCs w:val="32"/>
          <w:lang w:eastAsia="zh-CN"/>
        </w:rPr>
        <w:t>单位2024年度无国有资本经营预算财政拨款支出。</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1"/>
          <w:rFonts w:hint="eastAsia" w:ascii="方正黑体_GBK" w:hAnsi="方正黑体_GBK" w:eastAsia="方正黑体_GBK" w:cs="方正黑体_GBK"/>
          <w:b w:val="0"/>
          <w:bCs/>
          <w:sz w:val="32"/>
          <w:szCs w:val="32"/>
          <w:shd w:val="clear" w:color="auto" w:fill="FFFFFF"/>
        </w:rPr>
      </w:pPr>
      <w:r>
        <w:rPr>
          <w:rStyle w:val="11"/>
          <w:rFonts w:hint="eastAsia" w:ascii="方正黑体_GBK" w:hAnsi="方正黑体_GBK" w:eastAsia="方正黑体_GBK" w:cs="方正黑体_GBK"/>
          <w:b w:val="0"/>
          <w:bCs/>
          <w:sz w:val="32"/>
          <w:szCs w:val="32"/>
          <w:shd w:val="clear" w:color="auto" w:fill="FFFFFF"/>
        </w:rPr>
        <w:t>三、</w:t>
      </w:r>
      <w:r>
        <w:rPr>
          <w:rStyle w:val="11"/>
          <w:rFonts w:hint="eastAsia" w:ascii="方正黑体_GBK" w:hAnsi="方正黑体_GBK" w:eastAsia="方正黑体_GBK" w:cs="方正黑体_GBK"/>
          <w:b w:val="0"/>
          <w:bCs/>
          <w:sz w:val="32"/>
          <w:szCs w:val="32"/>
          <w:shd w:val="clear" w:color="auto" w:fill="FFFFFF"/>
          <w:lang w:eastAsia="zh-CN"/>
        </w:rPr>
        <w:t>财政拨款</w:t>
      </w:r>
      <w:r>
        <w:rPr>
          <w:rStyle w:val="11"/>
          <w:rFonts w:hint="eastAsia" w:ascii="方正黑体_GBK" w:hAnsi="方正黑体_GBK" w:eastAsia="方正黑体_GBK" w:cs="方正黑体_GBK"/>
          <w:b w:val="0"/>
          <w:bCs/>
          <w:sz w:val="32"/>
          <w:szCs w:val="32"/>
          <w:shd w:val="clear" w:color="auto" w:fill="FFFFFF"/>
        </w:rPr>
        <w:t>“三公”经费情况说明</w:t>
      </w:r>
    </w:p>
    <w:p>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0" w:firstLineChars="200"/>
        <w:jc w:val="both"/>
        <w:textAlignment w:val="auto"/>
        <w:rPr>
          <w:rFonts w:hint="default" w:ascii="Times New Roman" w:hAnsi="Times New Roman" w:eastAsia="方正仿宋_GBK" w:cs="Times New Roman"/>
          <w:b w:val="0"/>
          <w:bCs/>
          <w:sz w:val="32"/>
          <w:szCs w:val="32"/>
        </w:rPr>
      </w:pPr>
      <w:r>
        <w:rPr>
          <w:rFonts w:hint="eastAsia" w:ascii="Times New Roman" w:hAnsi="Times New Roman" w:eastAsia="方正仿宋_GBK" w:cs="Times New Roman"/>
          <w:b w:val="0"/>
          <w:bCs/>
          <w:sz w:val="32"/>
          <w:szCs w:val="32"/>
          <w:lang w:eastAsia="zh-CN"/>
        </w:rPr>
        <w:t>本</w:t>
      </w:r>
      <w:r>
        <w:rPr>
          <w:rFonts w:hint="default" w:ascii="Times New Roman" w:hAnsi="Times New Roman" w:eastAsia="方正仿宋_GBK" w:cs="Times New Roman"/>
          <w:b w:val="0"/>
          <w:bCs/>
          <w:sz w:val="32"/>
          <w:szCs w:val="32"/>
          <w:lang w:eastAsia="zh-CN"/>
        </w:rPr>
        <w:t>单位属于</w:t>
      </w:r>
      <w:r>
        <w:rPr>
          <w:rFonts w:hint="default" w:ascii="Times New Roman" w:hAnsi="Times New Roman" w:eastAsia="方正仿宋_GBK" w:cs="Times New Roman"/>
          <w:b w:val="0"/>
          <w:bCs/>
          <w:sz w:val="32"/>
          <w:szCs w:val="32"/>
        </w:rPr>
        <w:t>差额拨款事业单位，</w:t>
      </w:r>
      <w:r>
        <w:rPr>
          <w:rFonts w:hint="default" w:ascii="Times New Roman" w:hAnsi="Times New Roman" w:eastAsia="方正仿宋_GBK" w:cs="Times New Roman"/>
          <w:b w:val="0"/>
          <w:bCs/>
          <w:sz w:val="32"/>
          <w:szCs w:val="32"/>
          <w:lang w:eastAsia="zh-CN"/>
        </w:rPr>
        <w:t>未使用</w:t>
      </w:r>
      <w:r>
        <w:rPr>
          <w:rFonts w:hint="default" w:ascii="Times New Roman" w:hAnsi="Times New Roman" w:eastAsia="方正仿宋_GBK" w:cs="Times New Roman"/>
          <w:b w:val="0"/>
          <w:bCs/>
          <w:sz w:val="32"/>
          <w:szCs w:val="32"/>
        </w:rPr>
        <w:t>财政</w:t>
      </w:r>
      <w:r>
        <w:rPr>
          <w:rFonts w:hint="default" w:ascii="Times New Roman" w:hAnsi="Times New Roman" w:eastAsia="方正仿宋_GBK" w:cs="Times New Roman"/>
          <w:b w:val="0"/>
          <w:bCs/>
          <w:sz w:val="32"/>
          <w:szCs w:val="32"/>
          <w:lang w:eastAsia="zh-CN"/>
        </w:rPr>
        <w:t>资金</w:t>
      </w:r>
      <w:r>
        <w:rPr>
          <w:rFonts w:hint="default" w:ascii="Times New Roman" w:hAnsi="Times New Roman" w:eastAsia="方正仿宋_GBK" w:cs="Times New Roman"/>
          <w:b w:val="0"/>
          <w:bCs/>
          <w:sz w:val="32"/>
          <w:szCs w:val="32"/>
        </w:rPr>
        <w:t>保障“三公”经费。</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（一）“三公”经费支出总体情况说明</w:t>
      </w:r>
    </w:p>
    <w:p>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0" w:firstLineChars="200"/>
        <w:jc w:val="both"/>
        <w:textAlignment w:val="auto"/>
        <w:rPr>
          <w:rFonts w:hint="default" w:ascii="Times New Roman" w:hAnsi="Times New Roman" w:eastAsia="方正仿宋_GBK" w:cs="Times New Roman"/>
          <w:b w:val="0"/>
          <w:bCs/>
          <w:sz w:val="32"/>
          <w:szCs w:val="32"/>
        </w:rPr>
      </w:pPr>
      <w:r>
        <w:rPr>
          <w:rFonts w:hint="eastAsia" w:ascii="Times New Roman" w:hAnsi="Times New Roman" w:eastAsia="方正仿宋_GBK" w:cs="Times New Roman"/>
          <w:b w:val="0"/>
          <w:bCs/>
          <w:sz w:val="32"/>
          <w:szCs w:val="32"/>
          <w:lang w:eastAsia="zh-CN"/>
        </w:rPr>
        <w:t>本</w:t>
      </w:r>
      <w:r>
        <w:rPr>
          <w:rFonts w:hint="default" w:ascii="Times New Roman" w:hAnsi="Times New Roman" w:eastAsia="方正仿宋_GBK" w:cs="Times New Roman"/>
          <w:b w:val="0"/>
          <w:bCs/>
          <w:sz w:val="32"/>
          <w:szCs w:val="32"/>
          <w:lang w:eastAsia="zh-CN"/>
        </w:rPr>
        <w:t>单位属于</w:t>
      </w:r>
      <w:r>
        <w:rPr>
          <w:rFonts w:hint="default" w:ascii="Times New Roman" w:hAnsi="Times New Roman" w:eastAsia="方正仿宋_GBK" w:cs="Times New Roman"/>
          <w:b w:val="0"/>
          <w:bCs/>
          <w:sz w:val="32"/>
          <w:szCs w:val="32"/>
        </w:rPr>
        <w:t>差额拨款事业单位，</w:t>
      </w:r>
      <w:r>
        <w:rPr>
          <w:rFonts w:hint="default" w:ascii="Times New Roman" w:hAnsi="Times New Roman" w:eastAsia="方正仿宋_GBK" w:cs="Times New Roman"/>
          <w:b w:val="0"/>
          <w:bCs/>
          <w:sz w:val="32"/>
          <w:szCs w:val="32"/>
          <w:lang w:eastAsia="zh-CN"/>
        </w:rPr>
        <w:t>未使用</w:t>
      </w:r>
      <w:r>
        <w:rPr>
          <w:rFonts w:hint="default" w:ascii="Times New Roman" w:hAnsi="Times New Roman" w:eastAsia="方正仿宋_GBK" w:cs="Times New Roman"/>
          <w:b w:val="0"/>
          <w:bCs/>
          <w:sz w:val="32"/>
          <w:szCs w:val="32"/>
        </w:rPr>
        <w:t>财政</w:t>
      </w:r>
      <w:r>
        <w:rPr>
          <w:rFonts w:hint="default" w:ascii="Times New Roman" w:hAnsi="Times New Roman" w:eastAsia="方正仿宋_GBK" w:cs="Times New Roman"/>
          <w:b w:val="0"/>
          <w:bCs/>
          <w:sz w:val="32"/>
          <w:szCs w:val="32"/>
          <w:lang w:eastAsia="zh-CN"/>
        </w:rPr>
        <w:t>资金</w:t>
      </w:r>
      <w:r>
        <w:rPr>
          <w:rFonts w:hint="default" w:ascii="Times New Roman" w:hAnsi="Times New Roman" w:eastAsia="方正仿宋_GBK" w:cs="Times New Roman"/>
          <w:b w:val="0"/>
          <w:bCs/>
          <w:sz w:val="32"/>
          <w:szCs w:val="32"/>
        </w:rPr>
        <w:t>保障“三公”经费。</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（二）“三公”经费分项支出情况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rPr>
        <w:t>202</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rPr>
        <w:t>年度</w:t>
      </w:r>
      <w:r>
        <w:rPr>
          <w:rFonts w:hint="eastAsia" w:ascii="Times New Roman" w:hAnsi="Times New Roman" w:eastAsia="方正仿宋_GBK" w:cs="Times New Roman"/>
          <w:b w:val="0"/>
          <w:bCs/>
          <w:sz w:val="32"/>
          <w:szCs w:val="32"/>
          <w:lang w:eastAsia="zh-CN"/>
        </w:rPr>
        <w:t>本</w:t>
      </w:r>
      <w:r>
        <w:rPr>
          <w:rFonts w:hint="default" w:ascii="Times New Roman" w:hAnsi="Times New Roman" w:eastAsia="方正仿宋_GBK" w:cs="Times New Roman"/>
          <w:b w:val="0"/>
          <w:bCs/>
          <w:sz w:val="32"/>
          <w:szCs w:val="32"/>
          <w:lang w:eastAsia="zh-CN"/>
        </w:rPr>
        <w:t>单位</w:t>
      </w:r>
      <w:r>
        <w:rPr>
          <w:rFonts w:hint="default" w:ascii="Times New Roman" w:hAnsi="Times New Roman" w:eastAsia="方正仿宋_GBK" w:cs="Times New Roman"/>
          <w:b w:val="0"/>
          <w:bCs/>
          <w:sz w:val="32"/>
          <w:szCs w:val="32"/>
        </w:rPr>
        <w:t>无因公出国（境）费</w:t>
      </w:r>
      <w:r>
        <w:rPr>
          <w:rFonts w:hint="default" w:ascii="Times New Roman" w:hAnsi="Times New Roman" w:eastAsia="方正仿宋_GBK" w:cs="Times New Roman"/>
          <w:b w:val="0"/>
          <w:bCs/>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rPr>
        <w:t>202</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rPr>
        <w:t>年度</w:t>
      </w:r>
      <w:r>
        <w:rPr>
          <w:rFonts w:hint="eastAsia" w:ascii="Times New Roman" w:hAnsi="Times New Roman" w:eastAsia="方正仿宋_GBK" w:cs="Times New Roman"/>
          <w:b w:val="0"/>
          <w:bCs/>
          <w:sz w:val="32"/>
          <w:szCs w:val="32"/>
          <w:lang w:eastAsia="zh-CN"/>
        </w:rPr>
        <w:t>本</w:t>
      </w:r>
      <w:r>
        <w:rPr>
          <w:rFonts w:hint="default" w:ascii="Times New Roman" w:hAnsi="Times New Roman" w:eastAsia="方正仿宋_GBK" w:cs="Times New Roman"/>
          <w:b w:val="0"/>
          <w:bCs/>
          <w:sz w:val="32"/>
          <w:szCs w:val="32"/>
          <w:lang w:eastAsia="zh-CN"/>
        </w:rPr>
        <w:t>单位</w:t>
      </w:r>
      <w:r>
        <w:rPr>
          <w:rFonts w:hint="default" w:ascii="Times New Roman" w:hAnsi="Times New Roman" w:eastAsia="方正仿宋_GBK" w:cs="Times New Roman"/>
          <w:b w:val="0"/>
          <w:bCs/>
          <w:sz w:val="32"/>
          <w:szCs w:val="32"/>
        </w:rPr>
        <w:t>无公务车购置费</w:t>
      </w:r>
      <w:r>
        <w:rPr>
          <w:rFonts w:hint="default" w:ascii="Times New Roman" w:hAnsi="Times New Roman" w:eastAsia="方正仿宋_GBK" w:cs="Times New Roman"/>
          <w:b w:val="0"/>
          <w:bCs/>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rPr>
        <w:t>202</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rPr>
        <w:t>年度</w:t>
      </w:r>
      <w:r>
        <w:rPr>
          <w:rFonts w:hint="eastAsia" w:ascii="Times New Roman" w:hAnsi="Times New Roman" w:eastAsia="方正仿宋_GBK" w:cs="Times New Roman"/>
          <w:b w:val="0"/>
          <w:bCs/>
          <w:sz w:val="32"/>
          <w:szCs w:val="32"/>
          <w:lang w:eastAsia="zh-CN"/>
        </w:rPr>
        <w:t>本单</w:t>
      </w:r>
      <w:r>
        <w:rPr>
          <w:rFonts w:hint="default" w:ascii="Times New Roman" w:hAnsi="Times New Roman" w:eastAsia="方正仿宋_GBK" w:cs="Times New Roman"/>
          <w:b w:val="0"/>
          <w:bCs/>
          <w:sz w:val="32"/>
          <w:szCs w:val="32"/>
          <w:lang w:eastAsia="zh-CN"/>
        </w:rPr>
        <w:t>位</w:t>
      </w:r>
      <w:r>
        <w:rPr>
          <w:rFonts w:hint="default" w:ascii="Times New Roman" w:hAnsi="Times New Roman" w:eastAsia="方正仿宋_GBK" w:cs="Times New Roman"/>
          <w:b w:val="0"/>
          <w:bCs/>
          <w:sz w:val="32"/>
          <w:szCs w:val="32"/>
        </w:rPr>
        <w:t>无公务车运行维护费</w:t>
      </w:r>
      <w:r>
        <w:rPr>
          <w:rFonts w:hint="default" w:ascii="Times New Roman" w:hAnsi="Times New Roman" w:eastAsia="方正仿宋_GBK" w:cs="Times New Roman"/>
          <w:b w:val="0"/>
          <w:bCs/>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rPr>
        <w:t>202</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rPr>
        <w:t>年度</w:t>
      </w:r>
      <w:r>
        <w:rPr>
          <w:rFonts w:hint="eastAsia" w:ascii="Times New Roman" w:hAnsi="Times New Roman" w:eastAsia="方正仿宋_GBK" w:cs="Times New Roman"/>
          <w:b w:val="0"/>
          <w:bCs/>
          <w:sz w:val="32"/>
          <w:szCs w:val="32"/>
          <w:lang w:eastAsia="zh-CN"/>
        </w:rPr>
        <w:t>本</w:t>
      </w:r>
      <w:r>
        <w:rPr>
          <w:rFonts w:hint="default" w:ascii="Times New Roman" w:hAnsi="Times New Roman" w:eastAsia="方正仿宋_GBK" w:cs="Times New Roman"/>
          <w:b w:val="0"/>
          <w:bCs/>
          <w:sz w:val="32"/>
          <w:szCs w:val="32"/>
          <w:lang w:eastAsia="zh-CN"/>
        </w:rPr>
        <w:t>单位</w:t>
      </w:r>
      <w:r>
        <w:rPr>
          <w:rFonts w:hint="default" w:ascii="Times New Roman" w:hAnsi="Times New Roman" w:eastAsia="方正仿宋_GBK" w:cs="Times New Roman"/>
          <w:b w:val="0"/>
          <w:bCs/>
          <w:sz w:val="32"/>
          <w:szCs w:val="32"/>
        </w:rPr>
        <w:t>无公务接待费</w:t>
      </w:r>
      <w:r>
        <w:rPr>
          <w:rFonts w:hint="default" w:ascii="Times New Roman" w:hAnsi="Times New Roman" w:eastAsia="方正仿宋_GBK" w:cs="Times New Roman"/>
          <w:b w:val="0"/>
          <w:bCs/>
          <w:sz w:val="32"/>
          <w:szCs w:val="32"/>
          <w:lang w:eastAsia="zh-CN"/>
        </w:rPr>
        <w:t>，较年初预算数无增减，较上年支出数无增减。</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（三）“三公”经费实物量情况</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shd w:val="clear" w:color="auto" w:fill="FFFFFF"/>
        </w:rPr>
        <w:t>2024年度本</w:t>
      </w:r>
      <w:r>
        <w:rPr>
          <w:rFonts w:hint="default" w:ascii="Times New Roman" w:hAnsi="Times New Roman" w:eastAsia="方正仿宋_GBK" w:cs="Times New Roman"/>
          <w:b w:val="0"/>
          <w:bCs/>
          <w:sz w:val="32"/>
          <w:szCs w:val="32"/>
          <w:shd w:val="clear" w:color="auto" w:fill="FFFFFF"/>
          <w:lang w:eastAsia="zh-CN"/>
        </w:rPr>
        <w:t>单位</w:t>
      </w:r>
      <w:r>
        <w:rPr>
          <w:rFonts w:hint="default" w:ascii="Times New Roman" w:hAnsi="Times New Roman" w:eastAsia="方正仿宋_GBK" w:cs="Times New Roman"/>
          <w:b w:val="0"/>
          <w:bCs/>
          <w:sz w:val="32"/>
          <w:szCs w:val="32"/>
          <w:shd w:val="clear" w:color="auto" w:fill="FFFFFF"/>
        </w:rPr>
        <w:t>因公出国（境）共计0个团组，0人；公务用车购置0辆，公务车保有量为0辆；国内公务接待0批次0人，其中：国内外事接待0批次，0人；国（境）外公务接待0批次，0人。2024年本</w:t>
      </w:r>
      <w:r>
        <w:rPr>
          <w:rFonts w:hint="default" w:ascii="Times New Roman" w:hAnsi="Times New Roman" w:eastAsia="方正仿宋_GBK" w:cs="Times New Roman"/>
          <w:b w:val="0"/>
          <w:bCs/>
          <w:sz w:val="32"/>
          <w:szCs w:val="32"/>
          <w:shd w:val="clear" w:color="auto" w:fill="FFFFFF"/>
          <w:lang w:eastAsia="zh-CN"/>
        </w:rPr>
        <w:t>单位</w:t>
      </w:r>
      <w:r>
        <w:rPr>
          <w:rFonts w:hint="default" w:ascii="Times New Roman" w:hAnsi="Times New Roman" w:eastAsia="方正仿宋_GBK" w:cs="Times New Roman"/>
          <w:b w:val="0"/>
          <w:bCs/>
          <w:sz w:val="32"/>
          <w:szCs w:val="32"/>
          <w:shd w:val="clear" w:color="auto" w:fill="FFFFFF"/>
        </w:rPr>
        <w:t>人均接待费0</w:t>
      </w:r>
      <w:r>
        <w:rPr>
          <w:rFonts w:hint="eastAsia" w:ascii="Times New Roman" w:hAnsi="Times New Roman" w:eastAsia="方正仿宋_GBK" w:cs="Times New Roman"/>
          <w:b w:val="0"/>
          <w:bCs/>
          <w:sz w:val="32"/>
          <w:szCs w:val="32"/>
          <w:shd w:val="clear" w:color="auto" w:fill="FFFFFF"/>
          <w:lang w:eastAsia="zh-CN"/>
        </w:rPr>
        <w:t>万</w:t>
      </w:r>
      <w:r>
        <w:rPr>
          <w:rFonts w:hint="default" w:ascii="Times New Roman" w:hAnsi="Times New Roman" w:eastAsia="方正仿宋_GBK" w:cs="Times New Roman"/>
          <w:b w:val="0"/>
          <w:bCs/>
          <w:sz w:val="32"/>
          <w:szCs w:val="32"/>
          <w:shd w:val="clear" w:color="auto" w:fill="FFFFFF"/>
        </w:rPr>
        <w:t>元，车均购置费0万元，车均维护费0万元。</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1"/>
          <w:rFonts w:hint="eastAsia" w:ascii="方正黑体_GBK" w:hAnsi="方正黑体_GBK" w:eastAsia="方正黑体_GBK" w:cs="方正黑体_GBK"/>
          <w:b w:val="0"/>
          <w:bCs/>
          <w:sz w:val="32"/>
          <w:szCs w:val="32"/>
          <w:shd w:val="clear" w:color="auto" w:fill="FFFFFF"/>
        </w:rPr>
      </w:pPr>
      <w:r>
        <w:rPr>
          <w:rStyle w:val="11"/>
          <w:rFonts w:hint="eastAsia" w:ascii="方正黑体_GBK" w:hAnsi="方正黑体_GBK" w:eastAsia="方正黑体_GBK" w:cs="方正黑体_GBK"/>
          <w:b w:val="0"/>
          <w:bCs/>
          <w:sz w:val="32"/>
          <w:szCs w:val="32"/>
          <w:shd w:val="clear" w:color="auto" w:fill="FFFFFF"/>
        </w:rPr>
        <w:t>四、其他需要说明的事项</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（一）财政拨款会议费、培训费和差旅费情况说明</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因</w:t>
      </w:r>
      <w:r>
        <w:rPr>
          <w:rFonts w:hint="eastAsia" w:ascii="Times New Roman" w:hAnsi="Times New Roman" w:eastAsia="方正仿宋_GBK" w:cs="Times New Roman"/>
          <w:b w:val="0"/>
          <w:bCs/>
          <w:sz w:val="32"/>
          <w:szCs w:val="32"/>
          <w:lang w:eastAsia="zh-CN"/>
        </w:rPr>
        <w:t>本</w:t>
      </w:r>
      <w:r>
        <w:rPr>
          <w:rFonts w:hint="default" w:ascii="Times New Roman" w:hAnsi="Times New Roman" w:eastAsia="方正仿宋_GBK" w:cs="Times New Roman"/>
          <w:b w:val="0"/>
          <w:bCs/>
          <w:sz w:val="32"/>
          <w:szCs w:val="32"/>
          <w:lang w:eastAsia="zh-CN"/>
        </w:rPr>
        <w:t>单位为差额拨款事业单位，未使用财政资金保障会议费、培训费和差旅费。</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（二）机关运行经费情况说明</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因</w:t>
      </w:r>
      <w:r>
        <w:rPr>
          <w:rFonts w:hint="eastAsia" w:ascii="Times New Roman" w:hAnsi="Times New Roman" w:eastAsia="方正仿宋_GBK" w:cs="Times New Roman"/>
          <w:b w:val="0"/>
          <w:bCs/>
          <w:sz w:val="32"/>
          <w:szCs w:val="32"/>
          <w:lang w:eastAsia="zh-CN"/>
        </w:rPr>
        <w:t>本</w:t>
      </w:r>
      <w:r>
        <w:rPr>
          <w:rFonts w:hint="default" w:ascii="Times New Roman" w:hAnsi="Times New Roman" w:eastAsia="方正仿宋_GBK" w:cs="Times New Roman"/>
          <w:b w:val="0"/>
          <w:bCs/>
          <w:sz w:val="32"/>
          <w:szCs w:val="32"/>
          <w:lang w:eastAsia="zh-CN"/>
        </w:rPr>
        <w:t>单位为差额拨款事业单位，未使用财政资金保障机关运行经费。</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（三）国有资产占用情况说明</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shd w:val="clear" w:color="auto" w:fill="FFFFFF"/>
        </w:rPr>
        <w:t>截至2024年12月31日，本</w:t>
      </w:r>
      <w:r>
        <w:rPr>
          <w:rFonts w:hint="default" w:ascii="Times New Roman" w:hAnsi="Times New Roman" w:eastAsia="方正仿宋_GBK" w:cs="Times New Roman"/>
          <w:b w:val="0"/>
          <w:bCs/>
          <w:sz w:val="32"/>
          <w:szCs w:val="32"/>
          <w:shd w:val="clear" w:color="auto" w:fill="FFFFFF"/>
          <w:lang w:eastAsia="zh-CN"/>
        </w:rPr>
        <w:t>单位</w:t>
      </w:r>
      <w:r>
        <w:rPr>
          <w:rFonts w:hint="default" w:ascii="Times New Roman" w:hAnsi="Times New Roman" w:eastAsia="方正仿宋_GBK" w:cs="Times New Roman"/>
          <w:b w:val="0"/>
          <w:bCs/>
          <w:sz w:val="32"/>
          <w:szCs w:val="32"/>
          <w:shd w:val="clear" w:color="auto" w:fill="FFFFFF"/>
        </w:rPr>
        <w:t>共有车辆1辆，其中，副部（省）级及以上领导用车0辆、主要负责人用车0辆、机要通信用车0辆、应急保障用车0辆、执法执勤用车0辆，特种专业技术用车1辆，离退休干部用车0辆。单价100万元（含）以上专用设备0台（套）。</w:t>
      </w:r>
    </w:p>
    <w:p>
      <w:pPr>
        <w:pStyle w:val="14"/>
        <w:keepNext w:val="0"/>
        <w:keepLines w:val="0"/>
        <w:pageBreakBefore w:val="0"/>
        <w:widowControl/>
        <w:kinsoku/>
        <w:wordWrap/>
        <w:overflowPunct/>
        <w:topLinePunct w:val="0"/>
        <w:autoSpaceDE w:val="0"/>
        <w:autoSpaceDN/>
        <w:bidi w:val="0"/>
        <w:adjustRightInd/>
        <w:snapToGrid/>
        <w:spacing w:line="560" w:lineRule="exact"/>
        <w:ind w:left="0" w:leftChars="0" w:firstLine="640" w:firstLineChars="200"/>
        <w:jc w:val="both"/>
        <w:textAlignment w:val="auto"/>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（四）政府采购支出情况说明</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sz w:val="32"/>
          <w:szCs w:val="32"/>
          <w:shd w:val="clear" w:color="auto" w:fill="FFFFFF"/>
          <w:lang w:eastAsia="zh-CN"/>
        </w:rPr>
      </w:pPr>
      <w:r>
        <w:rPr>
          <w:rFonts w:hint="default" w:ascii="Times New Roman" w:hAnsi="Times New Roman" w:eastAsia="方正仿宋_GBK" w:cs="Times New Roman"/>
          <w:b w:val="0"/>
          <w:bCs/>
          <w:sz w:val="32"/>
          <w:szCs w:val="32"/>
          <w:shd w:val="clear" w:color="auto" w:fill="FFFFFF"/>
        </w:rPr>
        <w:t>2024年度本</w:t>
      </w:r>
      <w:r>
        <w:rPr>
          <w:rFonts w:hint="default" w:ascii="Times New Roman" w:hAnsi="Times New Roman" w:eastAsia="方正仿宋_GBK" w:cs="Times New Roman"/>
          <w:b w:val="0"/>
          <w:bCs/>
          <w:sz w:val="32"/>
          <w:szCs w:val="32"/>
          <w:shd w:val="clear" w:color="auto" w:fill="FFFFFF"/>
          <w:lang w:eastAsia="zh-CN"/>
        </w:rPr>
        <w:t>单位</w:t>
      </w:r>
      <w:r>
        <w:rPr>
          <w:rFonts w:hint="default" w:ascii="Times New Roman" w:hAnsi="Times New Roman" w:eastAsia="方正仿宋_GBK" w:cs="Times New Roman"/>
          <w:b w:val="0"/>
          <w:bCs/>
          <w:sz w:val="32"/>
          <w:szCs w:val="32"/>
          <w:shd w:val="clear" w:color="auto" w:fill="FFFFFF"/>
        </w:rPr>
        <w:t>政府采购支出总额0.46万元，其中：政府采购货物支出0.46万元、政府采购工程支出0.00万元、政府采购服务支出0.00万元。授予中小企业合同金额0.46</w:t>
      </w:r>
      <w:r>
        <w:rPr>
          <w:rFonts w:hint="default" w:ascii="Times New Roman" w:hAnsi="Times New Roman" w:eastAsia="方正仿宋_GBK" w:cs="Times New Roman"/>
          <w:b w:val="0"/>
          <w:bCs/>
          <w:sz w:val="32"/>
          <w:szCs w:val="32"/>
        </w:rPr>
        <w:t>万</w:t>
      </w:r>
      <w:r>
        <w:rPr>
          <w:rFonts w:hint="default" w:ascii="Times New Roman" w:hAnsi="Times New Roman" w:eastAsia="方正仿宋_GBK" w:cs="Times New Roman"/>
          <w:b w:val="0"/>
          <w:bCs/>
          <w:sz w:val="32"/>
          <w:szCs w:val="32"/>
          <w:shd w:val="clear" w:color="auto" w:fill="FFFFFF"/>
        </w:rPr>
        <w:t>元，占政府采购支出总额的100.0%，其中：授予小微企业合同金额0.46万元，占政府采购支出总额的100.0 %。主要用于采购</w:t>
      </w:r>
      <w:r>
        <w:rPr>
          <w:rFonts w:hint="default" w:ascii="Times New Roman" w:hAnsi="Times New Roman" w:eastAsia="方正仿宋_GBK" w:cs="Times New Roman"/>
          <w:b w:val="0"/>
          <w:bCs/>
          <w:sz w:val="32"/>
          <w:szCs w:val="32"/>
          <w:shd w:val="clear" w:color="auto" w:fill="FFFFFF"/>
          <w:lang w:eastAsia="zh-CN"/>
        </w:rPr>
        <w:t>办公物资</w:t>
      </w:r>
      <w:r>
        <w:rPr>
          <w:rFonts w:hint="eastAsia" w:ascii="方正仿宋_GBK" w:hAnsi="方正仿宋_GBK" w:eastAsia="方正仿宋_GBK" w:cs="方正仿宋_GBK"/>
          <w:sz w:val="32"/>
          <w:szCs w:val="32"/>
          <w:shd w:val="clear" w:color="auto" w:fill="FFFFFF"/>
          <w:lang w:eastAsia="zh-CN"/>
        </w:rPr>
        <w:t>（打印纸、一次性塑料袋、微波炉、电暖器、值班床、消防面具等）</w:t>
      </w:r>
      <w:r>
        <w:rPr>
          <w:rFonts w:hint="default" w:ascii="Times New Roman" w:hAnsi="Times New Roman" w:eastAsia="方正仿宋_GBK" w:cs="Times New Roman"/>
          <w:b w:val="0"/>
          <w:bCs/>
          <w:sz w:val="32"/>
          <w:szCs w:val="32"/>
          <w:shd w:val="clear" w:color="auto" w:fill="FFFFFF"/>
          <w:lang w:eastAsia="zh-CN"/>
        </w:rPr>
        <w:t>。</w:t>
      </w:r>
    </w:p>
    <w:p>
      <w:pPr>
        <w:pStyle w:val="9"/>
        <w:keepNext w:val="0"/>
        <w:keepLines w:val="0"/>
        <w:pageBreakBefore w:val="0"/>
        <w:widowControl/>
        <w:numPr>
          <w:ilvl w:val="0"/>
          <w:numId w:val="2"/>
        </w:numPr>
        <w:shd w:val="clear" w:color="auto" w:fill="FFFFFF"/>
        <w:kinsoku/>
        <w:wordWrap/>
        <w:overflowPunct/>
        <w:topLinePunct w:val="0"/>
        <w:autoSpaceDN/>
        <w:bidi w:val="0"/>
        <w:adjustRightInd/>
        <w:spacing w:beforeAutospacing="0" w:after="0" w:afterAutospacing="0" w:line="560" w:lineRule="exact"/>
        <w:ind w:right="0" w:firstLine="640" w:firstLineChars="200"/>
        <w:textAlignment w:val="auto"/>
        <w:rPr>
          <w:rStyle w:val="11"/>
          <w:rFonts w:hint="eastAsia" w:ascii="方正黑体_GBK" w:hAnsi="方正黑体_GBK" w:eastAsia="方正黑体_GBK" w:cs="方正黑体_GBK"/>
          <w:b w:val="0"/>
          <w:bCs w:val="0"/>
          <w:sz w:val="32"/>
          <w:szCs w:val="32"/>
          <w:shd w:val="clear" w:color="auto" w:fill="FFFFFF"/>
        </w:rPr>
      </w:pPr>
      <w:r>
        <w:rPr>
          <w:rStyle w:val="11"/>
          <w:rFonts w:hint="eastAsia" w:ascii="方正黑体_GBK" w:hAnsi="方正黑体_GBK" w:eastAsia="方正黑体_GBK" w:cs="方正黑体_GBK"/>
          <w:b w:val="0"/>
          <w:bCs w:val="0"/>
          <w:sz w:val="32"/>
          <w:szCs w:val="32"/>
          <w:shd w:val="clear" w:color="auto" w:fill="FFFFFF"/>
        </w:rPr>
        <w:t>预算绩效管理情况说明</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default" w:ascii="方正楷体_GBK" w:hAnsi="方正楷体_GBK" w:eastAsia="方正楷体_GBK" w:cs="方正楷体_GBK"/>
          <w:b w:val="0"/>
          <w:bCs w:val="0"/>
          <w:sz w:val="32"/>
          <w:szCs w:val="32"/>
          <w:shd w:val="clear" w:color="auto" w:fill="FFFFFF"/>
        </w:rPr>
        <w:t>（一）单位自评情况</w:t>
      </w:r>
    </w:p>
    <w:tbl>
      <w:tblPr>
        <w:tblStyle w:val="12"/>
        <w:tblpPr w:leftFromText="180" w:rightFromText="180" w:vertAnchor="text" w:horzAnchor="page" w:tblpX="1783" w:tblpY="1944"/>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490" w:hRule="atLeast"/>
        </w:trPr>
        <w:tc>
          <w:tcPr>
            <w:tcW w:w="8400" w:type="dxa"/>
            <w:gridSpan w:val="11"/>
            <w:shd w:val="clear" w:color="auto" w:fill="auto"/>
            <w:vAlign w:val="center"/>
          </w:tcPr>
          <w:p>
            <w:pPr>
              <w:keepNext w:val="0"/>
              <w:keepLines w:val="0"/>
              <w:widowControl/>
              <w:suppressLineNumbers w:val="0"/>
              <w:ind w:firstLine="1285" w:firstLineChars="400"/>
              <w:jc w:val="both"/>
              <w:textAlignment w:val="center"/>
              <w:rPr>
                <w:rFonts w:hint="eastAsia" w:cs="宋体"/>
                <w:b/>
                <w:bCs w:val="0"/>
                <w:i w:val="0"/>
                <w:color w:val="auto"/>
                <w:kern w:val="0"/>
                <w:sz w:val="32"/>
                <w:szCs w:val="32"/>
                <w:highlight w:val="none"/>
                <w:u w:val="none"/>
                <w:lang w:val="en-US" w:eastAsia="zh-CN" w:bidi="ar"/>
              </w:rPr>
            </w:pPr>
            <w:r>
              <w:rPr>
                <w:rFonts w:hint="eastAsia" w:cs="宋体"/>
                <w:b/>
                <w:bCs w:val="0"/>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jc w:val="center"/>
              <w:textAlignment w:val="center"/>
              <w:rPr>
                <w:rFonts w:hint="eastAsia" w:ascii="宋体" w:hAnsi="宋体" w:eastAsia="宋体" w:cs="宋体"/>
                <w:b/>
                <w:i w:val="0"/>
                <w:color w:val="auto"/>
                <w:sz w:val="32"/>
                <w:szCs w:val="32"/>
                <w:highlight w:val="none"/>
                <w:u w:val="none"/>
              </w:rPr>
            </w:pPr>
            <w:r>
              <w:rPr>
                <w:rFonts w:hint="eastAsia" w:ascii="宋体" w:hAnsi="宋体" w:eastAsia="宋体" w:cs="宋体"/>
                <w:b/>
                <w:bCs w:val="0"/>
                <w:i w:val="0"/>
                <w:color w:val="auto"/>
                <w:kern w:val="0"/>
                <w:sz w:val="32"/>
                <w:szCs w:val="32"/>
                <w:highlight w:val="none"/>
                <w:u w:val="none"/>
                <w:lang w:val="en-US" w:eastAsia="zh-CN" w:bidi="ar"/>
              </w:rPr>
              <w:t>202</w:t>
            </w:r>
            <w:r>
              <w:rPr>
                <w:rFonts w:hint="eastAsia" w:cs="宋体"/>
                <w:b/>
                <w:bCs w:val="0"/>
                <w:i w:val="0"/>
                <w:color w:val="auto"/>
                <w:kern w:val="0"/>
                <w:sz w:val="32"/>
                <w:szCs w:val="32"/>
                <w:highlight w:val="none"/>
                <w:u w:val="none"/>
                <w:lang w:val="en-US" w:eastAsia="zh-CN" w:bidi="ar"/>
              </w:rPr>
              <w:t>4</w:t>
            </w:r>
            <w:r>
              <w:rPr>
                <w:rFonts w:hint="eastAsia" w:ascii="宋体" w:hAnsi="宋体" w:eastAsia="宋体" w:cs="宋体"/>
                <w:b/>
                <w:bCs w:val="0"/>
                <w:i w:val="0"/>
                <w:color w:val="auto"/>
                <w:kern w:val="0"/>
                <w:sz w:val="32"/>
                <w:szCs w:val="32"/>
                <w:highlight w:val="none"/>
                <w:u w:val="none"/>
                <w:lang w:val="en-US" w:eastAsia="zh-CN" w:bidi="ar"/>
              </w:rPr>
              <w:t>年度项目支出绩效自评情况表（</w:t>
            </w:r>
            <w:r>
              <w:rPr>
                <w:rFonts w:hint="eastAsia" w:cs="宋体"/>
                <w:b/>
                <w:bCs w:val="0"/>
                <w:i w:val="0"/>
                <w:color w:val="auto"/>
                <w:kern w:val="0"/>
                <w:sz w:val="32"/>
                <w:szCs w:val="32"/>
                <w:highlight w:val="none"/>
                <w:u w:val="none"/>
                <w:lang w:val="en-US" w:eastAsia="zh-CN" w:bidi="ar"/>
              </w:rPr>
              <w:t>二级项目</w:t>
            </w:r>
            <w:r>
              <w:rPr>
                <w:rFonts w:hint="eastAsia" w:ascii="宋体" w:hAnsi="宋体" w:eastAsia="宋体" w:cs="宋体"/>
                <w:b/>
                <w:bCs w:val="0"/>
                <w:i w:val="0"/>
                <w:color w:val="auto"/>
                <w:kern w:val="0"/>
                <w:sz w:val="32"/>
                <w:szCs w:val="32"/>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国家基本公共卫生服务补助资金</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lang w:eastAsia="zh-CN"/>
              </w:rPr>
              <w:t>适龄儿童国家免疫规划疫苗接种</w:t>
            </w:r>
            <w:r>
              <w:rPr>
                <w:rFonts w:hint="eastAsia" w:ascii="方正仿宋_GBK" w:hAnsi="方正仿宋_GBK" w:eastAsia="方正仿宋_GBK" w:cs="方正仿宋_GBK"/>
                <w:sz w:val="24"/>
                <w:szCs w:val="24"/>
              </w:rPr>
              <w:t>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92</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0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lang w:eastAsia="zh-CN"/>
              </w:rPr>
              <w:t>0-6岁儿童健康管理率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91</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bl>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Times New Roman"/>
          <w:b w:val="0"/>
          <w:bCs w:val="0"/>
          <w:kern w:val="0"/>
          <w:sz w:val="32"/>
          <w:szCs w:val="32"/>
          <w:lang w:val="en-US" w:eastAsia="zh-CN"/>
        </w:rPr>
      </w:pPr>
      <w:r>
        <w:rPr>
          <w:rFonts w:hint="eastAsia" w:ascii="Times New Roman" w:hAnsi="Times New Roman" w:eastAsia="方正仿宋_GBK" w:cs="方正仿宋_GBK"/>
          <w:b w:val="0"/>
          <w:bCs w:val="0"/>
          <w:sz w:val="32"/>
          <w:szCs w:val="32"/>
          <w:shd w:val="clear" w:color="auto" w:fill="FFFFFF"/>
          <w:lang w:eastAsia="zh-CN"/>
        </w:rPr>
        <w:t>本单位为秀山土家族苗族自治县卫生健康委员会二级预算单位，由主管部门统一开展项目支出绩效自评。</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eastAsia" w:ascii="方正楷体_GBK" w:hAnsi="方正楷体_GBK" w:eastAsia="方正楷体_GBK" w:cs="方正楷体_GBK"/>
          <w:b w:val="0"/>
          <w:bCs w:val="0"/>
          <w:sz w:val="32"/>
          <w:szCs w:val="32"/>
          <w:shd w:val="clear" w:color="auto" w:fill="FFFFFF"/>
          <w:lang w:eastAsia="zh-CN"/>
        </w:rPr>
      </w:pP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二）</w:t>
      </w:r>
      <w:r>
        <w:rPr>
          <w:rFonts w:hint="default" w:ascii="方正楷体_GBK" w:hAnsi="方正楷体_GBK" w:eastAsia="方正楷体_GBK" w:cs="方正楷体_GBK"/>
          <w:b w:val="0"/>
          <w:bCs w:val="0"/>
          <w:sz w:val="32"/>
          <w:szCs w:val="32"/>
          <w:shd w:val="clear" w:color="auto" w:fill="FFFFFF"/>
        </w:rPr>
        <w:t>单位绩效评价情况</w:t>
      </w:r>
    </w:p>
    <w:p>
      <w:pPr>
        <w:ind w:firstLine="640" w:firstLineChars="200"/>
      </w:pP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未组织开展绩效评价。</w:t>
      </w:r>
    </w:p>
    <w:p>
      <w:pPr>
        <w:keepNext w:val="0"/>
        <w:keepLines w:val="0"/>
        <w:pageBreakBefore w:val="0"/>
        <w:widowControl w:val="0"/>
        <w:kinsoku/>
        <w:wordWrap/>
        <w:overflowPunct/>
        <w:topLinePunct w:val="0"/>
        <w:autoSpaceDN/>
        <w:bidi w:val="0"/>
        <w:adjustRightInd/>
        <w:snapToGrid w:val="0"/>
        <w:spacing w:beforeAutospacing="0" w:afterAutospacing="0" w:line="560" w:lineRule="exact"/>
        <w:ind w:firstLine="640" w:firstLineChars="200"/>
        <w:jc w:val="both"/>
        <w:textAlignment w:val="auto"/>
        <w:rPr>
          <w:rFonts w:ascii="Times New Roman" w:hAnsi="Times New Roman" w:eastAsia="方正黑体_GBK" w:cs="Times New Roman"/>
          <w:kern w:val="2"/>
          <w:sz w:val="32"/>
          <w:szCs w:val="32"/>
        </w:rPr>
      </w:pPr>
      <w:r>
        <w:rPr>
          <w:rFonts w:ascii="Times New Roman" w:hAnsi="Times New Roman" w:eastAsia="方正黑体_GBK" w:cs="Times New Roman"/>
          <w:kern w:val="2"/>
          <w:sz w:val="32"/>
          <w:szCs w:val="32"/>
        </w:rPr>
        <w:t>六、专业名词解释</w:t>
      </w:r>
    </w:p>
    <w:p>
      <w:pPr>
        <w:pStyle w:val="9"/>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sz w:val="32"/>
          <w:szCs w:val="32"/>
          <w:lang w:eastAsia="zh-CN"/>
        </w:rPr>
      </w:pPr>
      <w:r>
        <w:rPr>
          <w:rFonts w:ascii="Times New Roman" w:hAnsi="Times New Roman" w:eastAsia="方正楷体_GBK" w:cs="方正仿宋_GBK"/>
          <w:kern w:val="2"/>
          <w:sz w:val="32"/>
          <w:szCs w:val="32"/>
        </w:rPr>
        <w:t>（一）财政拨款收入：</w:t>
      </w:r>
      <w:r>
        <w:rPr>
          <w:rFonts w:ascii="Times New Roman" w:hAnsi="Times New Roman" w:eastAsia="方正仿宋_GBK" w:cs="Times New Roman"/>
          <w:sz w:val="32"/>
          <w:szCs w:val="32"/>
        </w:rPr>
        <w:t>指本年度从本级财政部门取得的财政拨款</w:t>
      </w:r>
      <w:r>
        <w:rPr>
          <w:rFonts w:hint="eastAsia" w:ascii="Times New Roman" w:hAnsi="Times New Roman" w:eastAsia="方正仿宋_GBK" w:cs="Times New Roman"/>
          <w:sz w:val="32"/>
          <w:szCs w:val="32"/>
          <w:lang w:eastAsia="zh-CN"/>
        </w:rPr>
        <w:t>。</w:t>
      </w:r>
    </w:p>
    <w:p>
      <w:pPr>
        <w:pStyle w:val="9"/>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ascii="Times New Roman" w:hAnsi="Times New Roman" w:eastAsia="方正楷体_GBK" w:cs="方正仿宋_GBK"/>
          <w:kern w:val="2"/>
          <w:sz w:val="32"/>
          <w:szCs w:val="32"/>
        </w:rPr>
        <w:t>（二）事业收入：</w:t>
      </w:r>
      <w:r>
        <w:rPr>
          <w:rFonts w:ascii="方正仿宋_GBK" w:hAnsi="方正仿宋_GBK" w:eastAsia="方正仿宋_GBK" w:cs="方正仿宋_GBK"/>
          <w:sz w:val="32"/>
          <w:szCs w:val="32"/>
          <w:shd w:val="clear" w:color="auto" w:fill="FFFFFF"/>
        </w:rPr>
        <w:t>指事业单位开展专业业务活动及其辅助活动取得的</w:t>
      </w:r>
      <w:r>
        <w:rPr>
          <w:rFonts w:hint="eastAsia" w:ascii="方正仿宋_GBK" w:hAnsi="方正仿宋_GBK" w:eastAsia="方正仿宋_GBK" w:cs="方正仿宋_GBK"/>
          <w:sz w:val="32"/>
          <w:szCs w:val="32"/>
          <w:shd w:val="clear" w:color="auto" w:fill="FFFFFF"/>
          <w:lang w:eastAsia="zh-CN"/>
        </w:rPr>
        <w:t>收入</w:t>
      </w:r>
      <w:r>
        <w:rPr>
          <w:rFonts w:ascii="方正仿宋_GBK" w:hAnsi="方正仿宋_GBK" w:eastAsia="方正仿宋_GBK" w:cs="方正仿宋_GBK"/>
          <w:sz w:val="32"/>
          <w:szCs w:val="32"/>
          <w:shd w:val="clear" w:color="auto" w:fill="FFFFFF"/>
        </w:rPr>
        <w:t>。</w:t>
      </w:r>
    </w:p>
    <w:p>
      <w:pPr>
        <w:pStyle w:val="9"/>
        <w:snapToGrid w:val="0"/>
        <w:spacing w:before="0" w:beforeAutospacing="0" w:after="0" w:afterAutospacing="0" w:line="596" w:lineRule="exact"/>
        <w:ind w:firstLine="640" w:firstLineChars="200"/>
        <w:jc w:val="both"/>
        <w:rPr>
          <w:rFonts w:ascii="Times New Roman" w:hAnsi="Times New Roman" w:eastAsia="方正仿宋_GBK" w:cs="Times New Roman"/>
          <w:sz w:val="32"/>
          <w:szCs w:val="32"/>
        </w:rPr>
      </w:pPr>
      <w:r>
        <w:rPr>
          <w:rFonts w:ascii="Times New Roman" w:hAnsi="Times New Roman" w:eastAsia="方正楷体_GBK" w:cs="方正仿宋_GBK"/>
          <w:kern w:val="2"/>
          <w:sz w:val="32"/>
          <w:szCs w:val="32"/>
        </w:rPr>
        <w:t>（三）经营收入：</w:t>
      </w:r>
      <w:r>
        <w:rPr>
          <w:rFonts w:ascii="方正仿宋_GBK" w:hAnsi="方正仿宋_GBK" w:eastAsia="方正仿宋_GBK" w:cs="方正仿宋_GBK"/>
          <w:sz w:val="32"/>
          <w:szCs w:val="32"/>
          <w:shd w:val="clear" w:color="auto" w:fill="FFFFFF"/>
        </w:rPr>
        <w:t>指事业单位在专业业务活动及其辅助活动之外开展非独立核算经营活动取得的</w:t>
      </w:r>
      <w:r>
        <w:rPr>
          <w:rFonts w:hint="eastAsia" w:ascii="方正仿宋_GBK" w:hAnsi="方正仿宋_GBK" w:eastAsia="方正仿宋_GBK" w:cs="方正仿宋_GBK"/>
          <w:sz w:val="32"/>
          <w:szCs w:val="32"/>
          <w:shd w:val="clear" w:color="auto" w:fill="FFFFFF"/>
          <w:lang w:eastAsia="zh-CN"/>
        </w:rPr>
        <w:t>收入</w:t>
      </w:r>
      <w:r>
        <w:rPr>
          <w:rFonts w:ascii="方正仿宋_GBK" w:hAnsi="方正仿宋_GBK" w:eastAsia="方正仿宋_GBK" w:cs="方正仿宋_GBK"/>
          <w:sz w:val="32"/>
          <w:szCs w:val="32"/>
          <w:shd w:val="clear" w:color="auto" w:fill="FFFFFF"/>
        </w:rPr>
        <w:t>。</w:t>
      </w:r>
    </w:p>
    <w:p>
      <w:pPr>
        <w:pStyle w:val="9"/>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ascii="Times New Roman" w:hAnsi="Times New Roman" w:eastAsia="方正楷体_GBK" w:cs="方正仿宋_GBK"/>
          <w:kern w:val="2"/>
          <w:sz w:val="32"/>
          <w:szCs w:val="32"/>
        </w:rPr>
        <w:t>（四）其他收入：</w:t>
      </w:r>
      <w:r>
        <w:rPr>
          <w:rFonts w:ascii="方正仿宋_GBK" w:hAnsi="方正仿宋_GBK" w:eastAsia="方正仿宋_GBK" w:cs="方正仿宋_GBK"/>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96" w:lineRule="exact"/>
        <w:ind w:firstLine="640" w:firstLineChars="200"/>
        <w:jc w:val="both"/>
        <w:textAlignment w:val="auto"/>
        <w:rPr>
          <w:rFonts w:hint="default" w:ascii="方正仿宋_GBK" w:hAnsi="方正仿宋_GBK" w:eastAsia="方正仿宋_GBK" w:cs="方正仿宋_GBK"/>
          <w:sz w:val="32"/>
          <w:szCs w:val="32"/>
        </w:rPr>
      </w:pPr>
      <w:r>
        <w:rPr>
          <w:rFonts w:ascii="Times New Roman" w:hAnsi="Times New Roman" w:eastAsia="方正楷体_GBK" w:cs="方正仿宋_GBK"/>
          <w:kern w:val="2"/>
          <w:sz w:val="32"/>
          <w:szCs w:val="32"/>
        </w:rPr>
        <w:t>（五）使用非财政拨款结余</w:t>
      </w:r>
      <w:r>
        <w:rPr>
          <w:rFonts w:hint="eastAsia" w:ascii="Times New Roman" w:hAnsi="Times New Roman" w:eastAsia="方正楷体_GBK" w:cs="方正仿宋_GBK"/>
          <w:kern w:val="2"/>
          <w:sz w:val="32"/>
          <w:szCs w:val="32"/>
          <w:lang w:eastAsia="zh-CN"/>
        </w:rPr>
        <w:t>（含专用结余）</w:t>
      </w:r>
      <w:r>
        <w:rPr>
          <w:rFonts w:ascii="Times New Roman" w:hAnsi="Times New Roman" w:eastAsia="方正楷体_GBK" w:cs="方正仿宋_GBK"/>
          <w:kern w:val="2"/>
          <w:sz w:val="32"/>
          <w:szCs w:val="32"/>
        </w:rPr>
        <w:t>：</w:t>
      </w:r>
      <w:r>
        <w:rPr>
          <w:rFonts w:ascii="方正仿宋_GBK" w:hAnsi="方正仿宋_GBK" w:eastAsia="方正仿宋_GBK" w:cs="方正仿宋_GBK"/>
          <w:sz w:val="32"/>
          <w:szCs w:val="32"/>
          <w:shd w:val="clear" w:color="auto" w:fill="FFFFFF"/>
        </w:rPr>
        <w:t>指</w:t>
      </w:r>
      <w:r>
        <w:rPr>
          <w:rFonts w:hint="eastAsia" w:ascii="方正仿宋_GBK" w:hAnsi="方正仿宋_GBK" w:eastAsia="方正仿宋_GBK" w:cs="方正仿宋_GBK"/>
          <w:sz w:val="32"/>
          <w:szCs w:val="32"/>
          <w:shd w:val="clear" w:color="auto" w:fill="FFFFFF"/>
          <w:lang w:eastAsia="zh-CN"/>
        </w:rPr>
        <w:t>事业单位按照预算管理要求使用非财政拨款结余弥补收支差额的金额，以及使用专用结余安排支出的金额。</w:t>
      </w:r>
    </w:p>
    <w:p>
      <w:pPr>
        <w:pStyle w:val="9"/>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ascii="Times New Roman" w:hAnsi="Times New Roman" w:eastAsia="方正仿宋_GBK" w:cs="Times New Roman"/>
          <w:sz w:val="32"/>
          <w:szCs w:val="32"/>
        </w:rPr>
      </w:pPr>
      <w:r>
        <w:rPr>
          <w:rFonts w:ascii="Times New Roman" w:hAnsi="Times New Roman" w:eastAsia="方正楷体_GBK" w:cs="方正仿宋_GBK"/>
          <w:kern w:val="2"/>
          <w:sz w:val="32"/>
          <w:szCs w:val="32"/>
        </w:rPr>
        <w:t>（六）年初结转和结余：</w:t>
      </w:r>
      <w:r>
        <w:rPr>
          <w:rFonts w:ascii="方正仿宋_GBK" w:hAnsi="方正仿宋_GBK" w:eastAsia="方正仿宋_GBK" w:cs="方正仿宋_GBK"/>
          <w:sz w:val="32"/>
          <w:szCs w:val="32"/>
          <w:shd w:val="clear" w:color="auto" w:fill="FFFFFF"/>
        </w:rPr>
        <w:t>指单位上年结转本年使用的基本支出结转、项目支出结转和结余、经营结余。</w:t>
      </w:r>
    </w:p>
    <w:p>
      <w:pPr>
        <w:pStyle w:val="9"/>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ascii="Times New Roman" w:hAnsi="Times New Roman" w:eastAsia="方正仿宋_GBK" w:cs="Times New Roman"/>
          <w:sz w:val="32"/>
          <w:szCs w:val="32"/>
        </w:rPr>
      </w:pPr>
      <w:r>
        <w:rPr>
          <w:rFonts w:ascii="Times New Roman" w:hAnsi="Times New Roman" w:eastAsia="方正楷体_GBK" w:cs="方正仿宋_GBK"/>
          <w:kern w:val="2"/>
          <w:sz w:val="32"/>
          <w:szCs w:val="32"/>
        </w:rPr>
        <w:t>（七）结余分配：</w:t>
      </w:r>
      <w:r>
        <w:rPr>
          <w:rFonts w:ascii="Times New Roman" w:hAnsi="Times New Roman" w:eastAsia="方正仿宋_GBK" w:cs="Times New Roman"/>
          <w:sz w:val="32"/>
          <w:szCs w:val="32"/>
        </w:rPr>
        <w:t>指单位按照国家有关规定，缴纳所得税、提取专用基金、转入非财政拨款结余等当年结余的分配情况。</w:t>
      </w:r>
    </w:p>
    <w:p>
      <w:pPr>
        <w:pStyle w:val="9"/>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ascii="Times New Roman" w:hAnsi="Times New Roman" w:eastAsia="方正仿宋_GBK" w:cs="Times New Roman"/>
          <w:sz w:val="32"/>
          <w:szCs w:val="32"/>
        </w:rPr>
      </w:pPr>
      <w:r>
        <w:rPr>
          <w:rFonts w:ascii="Times New Roman" w:hAnsi="Times New Roman" w:eastAsia="方正楷体_GBK" w:cs="方正仿宋_GBK"/>
          <w:kern w:val="2"/>
          <w:sz w:val="32"/>
          <w:szCs w:val="32"/>
        </w:rPr>
        <w:t>（八）年末结转和结余：</w:t>
      </w:r>
      <w:r>
        <w:rPr>
          <w:rFonts w:ascii="Times New Roman" w:hAnsi="Times New Roman" w:eastAsia="方正仿宋_GBK" w:cs="Times New Roman"/>
          <w:sz w:val="32"/>
          <w:szCs w:val="32"/>
        </w:rPr>
        <w:t>指单位结转下年的基本支出结转、项目支出结转和结余、经营结余。</w:t>
      </w:r>
    </w:p>
    <w:p>
      <w:pPr>
        <w:pStyle w:val="9"/>
        <w:snapToGrid w:val="0"/>
        <w:spacing w:before="0" w:beforeAutospacing="0" w:after="0" w:afterAutospacing="0" w:line="596" w:lineRule="exact"/>
        <w:ind w:firstLine="640" w:firstLineChars="200"/>
        <w:jc w:val="both"/>
        <w:rPr>
          <w:rFonts w:ascii="Times New Roman" w:hAnsi="Times New Roman" w:eastAsia="方正仿宋_GBK" w:cs="Times New Roman"/>
          <w:sz w:val="32"/>
          <w:szCs w:val="32"/>
        </w:rPr>
      </w:pPr>
      <w:r>
        <w:rPr>
          <w:rFonts w:ascii="Times New Roman" w:hAnsi="Times New Roman" w:eastAsia="方正楷体_GBK" w:cs="方正仿宋_GBK"/>
          <w:kern w:val="2"/>
          <w:sz w:val="32"/>
          <w:szCs w:val="32"/>
        </w:rPr>
        <w:t>（九）基本支出：</w:t>
      </w:r>
      <w:r>
        <w:rPr>
          <w:rFonts w:ascii="方正仿宋_GBK" w:hAnsi="方正仿宋_GBK" w:eastAsia="方正仿宋_GBK" w:cs="方正仿宋_GBK"/>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9"/>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ascii="Times New Roman" w:hAnsi="Times New Roman" w:eastAsia="方正仿宋_GBK" w:cs="Times New Roman"/>
          <w:sz w:val="32"/>
          <w:szCs w:val="32"/>
        </w:rPr>
      </w:pPr>
      <w:r>
        <w:rPr>
          <w:rFonts w:ascii="Times New Roman" w:hAnsi="Times New Roman" w:eastAsia="方正楷体_GBK" w:cs="方正仿宋_GBK"/>
          <w:kern w:val="2"/>
          <w:sz w:val="32"/>
          <w:szCs w:val="32"/>
        </w:rPr>
        <w:t>（十）项目支出：</w:t>
      </w:r>
      <w:r>
        <w:rPr>
          <w:rFonts w:ascii="Times New Roman" w:hAnsi="Times New Roman" w:eastAsia="方正仿宋_GBK" w:cs="Times New Roman"/>
          <w:sz w:val="32"/>
          <w:szCs w:val="32"/>
        </w:rPr>
        <w:t>指在基本支出之外为完成特定行政任务和事业发展目标所发生的支出。</w:t>
      </w:r>
    </w:p>
    <w:p>
      <w:pPr>
        <w:pStyle w:val="9"/>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ascii="Times New Roman" w:hAnsi="Times New Roman" w:eastAsia="方正仿宋_GBK" w:cs="Times New Roman"/>
          <w:sz w:val="32"/>
          <w:szCs w:val="32"/>
        </w:rPr>
      </w:pPr>
      <w:r>
        <w:rPr>
          <w:rFonts w:ascii="Times New Roman" w:hAnsi="Times New Roman" w:eastAsia="方正楷体_GBK" w:cs="方正仿宋_GBK"/>
          <w:kern w:val="2"/>
          <w:sz w:val="32"/>
          <w:szCs w:val="32"/>
        </w:rPr>
        <w:t>（十一）经营支出：</w:t>
      </w:r>
      <w:r>
        <w:rPr>
          <w:rFonts w:ascii="Times New Roman" w:hAnsi="Times New Roman" w:eastAsia="方正仿宋_GBK" w:cs="Times New Roman"/>
          <w:sz w:val="32"/>
          <w:szCs w:val="32"/>
        </w:rPr>
        <w:t>指事业单位在专业业务活动及其辅助活动之外开展非独立核算经营活动发生的支出。</w:t>
      </w:r>
    </w:p>
    <w:p>
      <w:pPr>
        <w:pStyle w:val="9"/>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ascii="Times New Roman" w:hAnsi="Times New Roman" w:eastAsia="方正楷体_GBK" w:cs="方正仿宋_GBK"/>
          <w:kern w:val="2"/>
          <w:sz w:val="32"/>
          <w:szCs w:val="32"/>
        </w:rPr>
        <w:t>（十二）“三公”经费：</w:t>
      </w:r>
      <w:r>
        <w:rPr>
          <w:rFonts w:ascii="方正仿宋_GBK" w:hAnsi="方正仿宋_GBK" w:eastAsia="方正仿宋_GBK" w:cs="方正仿宋_GBK"/>
          <w:sz w:val="32"/>
          <w:szCs w:val="32"/>
          <w:shd w:val="clear" w:color="auto" w:fill="FFFFFF"/>
        </w:rPr>
        <w:t>指用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9"/>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ascii="Times New Roman" w:hAnsi="Times New Roman" w:eastAsia="方正楷体_GBK" w:cs="方正仿宋_GBK"/>
          <w:kern w:val="2"/>
          <w:sz w:val="32"/>
          <w:szCs w:val="32"/>
        </w:rPr>
        <w:t>（十三）机关运行经费：</w:t>
      </w:r>
      <w:r>
        <w:rPr>
          <w:rFonts w:ascii="方正仿宋_GBK" w:hAnsi="方正仿宋_GBK" w:eastAsia="方正仿宋_GBK" w:cs="方正仿宋_GBK"/>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9"/>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ascii="Times New Roman" w:hAnsi="Times New Roman" w:eastAsia="方正仿宋_GBK" w:cs="Times New Roman"/>
          <w:sz w:val="32"/>
          <w:szCs w:val="32"/>
        </w:rPr>
      </w:pPr>
      <w:r>
        <w:rPr>
          <w:rFonts w:ascii="Times New Roman" w:hAnsi="Times New Roman" w:eastAsia="方正楷体_GBK" w:cs="方正仿宋_GBK"/>
          <w:kern w:val="2"/>
          <w:sz w:val="32"/>
          <w:szCs w:val="32"/>
        </w:rPr>
        <w:t>（十四）工资福利支出</w:t>
      </w:r>
      <w:r>
        <w:rPr>
          <w:rFonts w:hint="eastAsia" w:ascii="方正楷体_GBK" w:hAnsi="方正楷体_GBK" w:eastAsia="方正楷体_GBK" w:cs="方正楷体_GBK"/>
          <w:sz w:val="32"/>
          <w:szCs w:val="32"/>
        </w:rPr>
        <w:t>（支出经济分类科目类级）</w:t>
      </w:r>
      <w:r>
        <w:rPr>
          <w:rFonts w:ascii="Times New Roman" w:hAnsi="Times New Roman" w:eastAsia="方正楷体_GBK" w:cs="方正仿宋_GBK"/>
          <w:kern w:val="2"/>
          <w:sz w:val="32"/>
          <w:szCs w:val="32"/>
        </w:rPr>
        <w:t>：</w:t>
      </w:r>
      <w:r>
        <w:rPr>
          <w:rFonts w:ascii="Times New Roman" w:hAnsi="Times New Roman" w:eastAsia="方正仿宋_GBK" w:cs="Times New Roman"/>
          <w:sz w:val="32"/>
          <w:szCs w:val="32"/>
        </w:rPr>
        <w:t>反映单位开支的在职职工和编制外长期聘用人员的各类劳动报酬，以及为上述人员缴纳的各项社会保险费等。</w:t>
      </w:r>
    </w:p>
    <w:p>
      <w:pPr>
        <w:pStyle w:val="9"/>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ascii="Times New Roman" w:hAnsi="Times New Roman" w:eastAsia="方正仿宋_GBK" w:cs="Times New Roman"/>
          <w:sz w:val="32"/>
          <w:szCs w:val="32"/>
        </w:rPr>
      </w:pPr>
      <w:r>
        <w:rPr>
          <w:rFonts w:ascii="Times New Roman" w:hAnsi="Times New Roman" w:eastAsia="方正楷体_GBK" w:cs="方正仿宋_GBK"/>
          <w:kern w:val="2"/>
          <w:sz w:val="32"/>
          <w:szCs w:val="32"/>
        </w:rPr>
        <w:t>（十五）商品和服务支出</w:t>
      </w:r>
      <w:r>
        <w:rPr>
          <w:rFonts w:hint="eastAsia" w:ascii="方正楷体_GBK" w:hAnsi="方正楷体_GBK" w:eastAsia="方正楷体_GBK" w:cs="方正楷体_GBK"/>
          <w:sz w:val="32"/>
          <w:szCs w:val="32"/>
        </w:rPr>
        <w:t>（支出经济分类科目类级）</w:t>
      </w:r>
      <w:r>
        <w:rPr>
          <w:rFonts w:ascii="Times New Roman" w:hAnsi="Times New Roman" w:eastAsia="方正楷体_GBK" w:cs="方正仿宋_GBK"/>
          <w:kern w:val="2"/>
          <w:sz w:val="32"/>
          <w:szCs w:val="32"/>
        </w:rPr>
        <w:t>：</w:t>
      </w:r>
      <w:r>
        <w:rPr>
          <w:rFonts w:ascii="Times New Roman" w:hAnsi="Times New Roman" w:eastAsia="方正仿宋_GBK" w:cs="Times New Roman"/>
          <w:sz w:val="32"/>
          <w:szCs w:val="32"/>
        </w:rPr>
        <w:t>反映单位购买商品和服务的支出（不包括用于购置固定资产的支出、战略性和应急储备支出）。</w:t>
      </w:r>
    </w:p>
    <w:p>
      <w:pPr>
        <w:pStyle w:val="9"/>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ascii="Times New Roman" w:hAnsi="Times New Roman" w:eastAsia="方正仿宋_GBK" w:cs="Times New Roman"/>
          <w:sz w:val="32"/>
          <w:szCs w:val="32"/>
        </w:rPr>
      </w:pPr>
      <w:r>
        <w:rPr>
          <w:rFonts w:ascii="Times New Roman" w:hAnsi="Times New Roman" w:eastAsia="方正楷体_GBK" w:cs="方正仿宋_GBK"/>
          <w:kern w:val="2"/>
          <w:sz w:val="32"/>
          <w:szCs w:val="32"/>
        </w:rPr>
        <w:t>（十六）对个人和家庭的补助</w:t>
      </w:r>
      <w:r>
        <w:rPr>
          <w:rFonts w:hint="eastAsia" w:ascii="方正楷体_GBK" w:hAnsi="方正楷体_GBK" w:eastAsia="方正楷体_GBK" w:cs="方正楷体_GBK"/>
          <w:sz w:val="32"/>
          <w:szCs w:val="32"/>
        </w:rPr>
        <w:t>（支出经济分类科目类级）</w:t>
      </w:r>
      <w:r>
        <w:rPr>
          <w:rFonts w:ascii="Times New Roman" w:hAnsi="Times New Roman" w:eastAsia="方正楷体_GBK" w:cs="方正仿宋_GBK"/>
          <w:kern w:val="2"/>
          <w:sz w:val="32"/>
          <w:szCs w:val="32"/>
        </w:rPr>
        <w:t>：</w:t>
      </w:r>
      <w:r>
        <w:rPr>
          <w:rFonts w:ascii="Times New Roman" w:hAnsi="Times New Roman" w:eastAsia="方正仿宋_GBK" w:cs="Times New Roman"/>
          <w:sz w:val="32"/>
          <w:szCs w:val="32"/>
        </w:rPr>
        <w:t>反映用于对个人和家庭的补助支出。</w:t>
      </w:r>
    </w:p>
    <w:p>
      <w:pPr>
        <w:pStyle w:val="9"/>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ascii="Times New Roman" w:hAnsi="Times New Roman" w:eastAsia="方正仿宋_GBK" w:cs="Times New Roman"/>
          <w:sz w:val="32"/>
          <w:szCs w:val="32"/>
        </w:rPr>
      </w:pPr>
      <w:r>
        <w:rPr>
          <w:rFonts w:ascii="Times New Roman" w:hAnsi="Times New Roman" w:eastAsia="方正楷体_GBK" w:cs="方正仿宋_GBK"/>
          <w:kern w:val="2"/>
          <w:sz w:val="32"/>
          <w:szCs w:val="32"/>
        </w:rPr>
        <w:t>（十七）其他资本性支出</w:t>
      </w:r>
      <w:r>
        <w:rPr>
          <w:rFonts w:hint="eastAsia" w:ascii="方正楷体_GBK" w:hAnsi="方正楷体_GBK" w:eastAsia="方正楷体_GBK" w:cs="方正楷体_GBK"/>
          <w:sz w:val="32"/>
          <w:szCs w:val="32"/>
        </w:rPr>
        <w:t>（支出经济分类科目类级）</w:t>
      </w:r>
      <w:r>
        <w:rPr>
          <w:rFonts w:ascii="Times New Roman" w:hAnsi="Times New Roman" w:eastAsia="方正楷体_GBK" w:cs="方正仿宋_GBK"/>
          <w:kern w:val="2"/>
          <w:sz w:val="32"/>
          <w:szCs w:val="32"/>
        </w:rPr>
        <w:t>：</w:t>
      </w:r>
      <w:r>
        <w:rPr>
          <w:rFonts w:ascii="Times New Roman" w:hAnsi="Times New Roman" w:eastAsia="方正仿宋_GBK" w:cs="Times New Roman"/>
          <w:sz w:val="32"/>
          <w:szCs w:val="32"/>
        </w:rPr>
        <w:t>反映非各级发展与改革部门集中安排的用于购置固定资产、战略性和应急性储备、土地和无形资产，以及构建基础设施、大型修缮和财政支持企业更新改造所发生的支出。</w:t>
      </w:r>
    </w:p>
    <w:p>
      <w:pPr>
        <w:keepNext w:val="0"/>
        <w:keepLines w:val="0"/>
        <w:pageBreakBefore w:val="0"/>
        <w:widowControl w:val="0"/>
        <w:kinsoku/>
        <w:wordWrap/>
        <w:overflowPunct/>
        <w:topLinePunct w:val="0"/>
        <w:autoSpaceDN/>
        <w:bidi w:val="0"/>
        <w:adjustRightInd/>
        <w:snapToGrid w:val="0"/>
        <w:spacing w:beforeAutospacing="0" w:afterAutospacing="0" w:line="560" w:lineRule="exact"/>
        <w:ind w:firstLine="640" w:firstLineChars="200"/>
        <w:jc w:val="both"/>
        <w:textAlignment w:val="auto"/>
        <w:rPr>
          <w:rFonts w:ascii="Times New Roman" w:hAnsi="Times New Roman" w:eastAsia="方正黑体_GBK" w:cs="Times New Roman"/>
          <w:kern w:val="2"/>
          <w:sz w:val="32"/>
          <w:szCs w:val="32"/>
        </w:rPr>
      </w:pPr>
      <w:r>
        <w:rPr>
          <w:rFonts w:ascii="Times New Roman" w:hAnsi="Times New Roman" w:eastAsia="方正黑体_GBK" w:cs="Times New Roman"/>
          <w:kern w:val="2"/>
          <w:sz w:val="32"/>
          <w:szCs w:val="32"/>
        </w:rPr>
        <w:t>七、决算公开联系方式及信息反馈渠道</w:t>
      </w:r>
    </w:p>
    <w:p>
      <w:pPr>
        <w:pStyle w:val="9"/>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本</w:t>
      </w:r>
      <w:bookmarkStart w:id="0" w:name="_GoBack"/>
      <w:bookmarkEnd w:id="0"/>
      <w:r>
        <w:rPr>
          <w:rFonts w:hint="eastAsia" w:ascii="Times New Roman" w:hAnsi="Times New Roman" w:eastAsia="方正仿宋_GBK" w:cs="Times New Roman"/>
          <w:sz w:val="32"/>
          <w:szCs w:val="32"/>
          <w:lang w:eastAsia="zh-CN"/>
        </w:rPr>
        <w:t>单位</w:t>
      </w:r>
      <w:r>
        <w:rPr>
          <w:rFonts w:ascii="Times New Roman" w:hAnsi="Times New Roman" w:eastAsia="方正仿宋_GBK" w:cs="Times New Roman"/>
          <w:sz w:val="32"/>
          <w:szCs w:val="32"/>
        </w:rPr>
        <w:t>决算公开信息反馈和联系方式</w:t>
      </w:r>
      <w:r>
        <w:rPr>
          <w:rFonts w:hint="eastAsia" w:ascii="Times New Roman" w:hAnsi="Times New Roman" w:eastAsia="方正仿宋_GBK" w:cs="Times New Roman"/>
          <w:sz w:val="32"/>
          <w:szCs w:val="32"/>
          <w:lang w:eastAsia="zh-CN"/>
        </w:rPr>
        <w:t>：</w:t>
      </w:r>
    </w:p>
    <w:p>
      <w:pPr>
        <w:pStyle w:val="9"/>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Style w:val="11"/>
          <w:rFonts w:hint="eastAsia" w:ascii="方正仿宋_GBK" w:hAnsi="方正仿宋_GBK" w:eastAsia="方正仿宋_GBK" w:cs="方正仿宋_GBK"/>
          <w:sz w:val="32"/>
          <w:szCs w:val="32"/>
          <w:shd w:val="clear" w:color="auto" w:fill="FFFF00"/>
          <w:lang w:val="en-US" w:eastAsia="zh-CN"/>
        </w:rPr>
        <w:sectPr>
          <w:footerReference r:id="rId3" w:type="default"/>
          <w:pgSz w:w="11915" w:h="16840"/>
          <w:pgMar w:top="1440" w:right="1800" w:bottom="1440" w:left="1800" w:header="851" w:footer="992" w:gutter="0"/>
          <w:pgNumType w:fmt="numberInDash"/>
          <w:cols w:space="720" w:num="1"/>
          <w:docGrid w:type="lines" w:linePitch="312" w:charSpace="0"/>
        </w:sectPr>
      </w:pPr>
      <w:r>
        <w:rPr>
          <w:rFonts w:hint="eastAsia" w:ascii="Times New Roman" w:hAnsi="Times New Roman" w:eastAsia="方正仿宋_GBK" w:cs="Times New Roman"/>
          <w:sz w:val="32"/>
          <w:szCs w:val="32"/>
          <w:lang w:eastAsia="zh-CN"/>
        </w:rPr>
        <w:t>黄慧娴</w:t>
      </w:r>
      <w:r>
        <w:rPr>
          <w:rFonts w:hint="eastAsia" w:ascii="Times New Roman" w:hAnsi="Times New Roman" w:eastAsia="方正仿宋_GBK" w:cs="Times New Roman"/>
          <w:sz w:val="32"/>
          <w:szCs w:val="32"/>
          <w:lang w:val="en-US" w:eastAsia="zh-CN"/>
        </w:rPr>
        <w:t xml:space="preserve">  </w:t>
      </w:r>
      <w:r>
        <w:rPr>
          <w:rFonts w:ascii="Times New Roman" w:hAnsi="Times New Roman" w:eastAsia="方正仿宋_GBK" w:cs="Times New Roman"/>
          <w:sz w:val="32"/>
          <w:szCs w:val="32"/>
        </w:rPr>
        <w:t>023-7661761</w:t>
      </w:r>
      <w:r>
        <w:rPr>
          <w:rFonts w:hint="eastAsia" w:ascii="Times New Roman" w:hAnsi="Times New Roman" w:eastAsia="方正仿宋_GBK" w:cs="Times New Roman"/>
          <w:sz w:val="32"/>
          <w:szCs w:val="32"/>
          <w:lang w:val="en-US" w:eastAsia="zh-CN"/>
        </w:rPr>
        <w:t>1</w:t>
      </w:r>
    </w:p>
    <w:tbl>
      <w:tblPr>
        <w:tblStyle w:val="12"/>
        <w:tblpPr w:leftFromText="180" w:rightFromText="180" w:vertAnchor="text" w:horzAnchor="page" w:tblpX="1058" w:tblpY="22"/>
        <w:tblOverlap w:val="never"/>
        <w:tblW w:w="14737" w:type="dxa"/>
        <w:tblInd w:w="0" w:type="dxa"/>
        <w:tblLayout w:type="fixed"/>
        <w:tblCellMar>
          <w:top w:w="0" w:type="dxa"/>
          <w:left w:w="0" w:type="dxa"/>
          <w:bottom w:w="0" w:type="dxa"/>
          <w:right w:w="0" w:type="dxa"/>
        </w:tblCellMar>
      </w:tblPr>
      <w:tblGrid>
        <w:gridCol w:w="4294"/>
        <w:gridCol w:w="3558"/>
        <w:gridCol w:w="4044"/>
        <w:gridCol w:w="2841"/>
      </w:tblGrid>
      <w:tr>
        <w:tblPrEx>
          <w:tblLayout w:type="fixed"/>
          <w:tblCellMar>
            <w:top w:w="0" w:type="dxa"/>
            <w:left w:w="0" w:type="dxa"/>
            <w:bottom w:w="0" w:type="dxa"/>
            <w:right w:w="0" w:type="dxa"/>
          </w:tblCellMar>
        </w:tblPrEx>
        <w:trPr>
          <w:trHeight w:val="232" w:hRule="atLeast"/>
        </w:trPr>
        <w:tc>
          <w:tcPr>
            <w:tcW w:w="14737" w:type="dxa"/>
            <w:gridSpan w:val="4"/>
            <w:tcBorders>
              <w:top w:val="nil"/>
              <w:left w:val="nil"/>
              <w:bottom w:val="nil"/>
              <w:right w:val="nil"/>
            </w:tcBorders>
            <w:shd w:val="clear" w:color="auto" w:fill="auto"/>
            <w:tcMar>
              <w:top w:w="15" w:type="dxa"/>
              <w:left w:w="15" w:type="dxa"/>
              <w:right w:w="15" w:type="dxa"/>
            </w:tcMar>
            <w:vAlign w:val="bottom"/>
          </w:tcPr>
          <w:p>
            <w:pPr>
              <w:keepNext/>
              <w:keepLines w:val="0"/>
              <w:pageBreakBefore w:val="0"/>
              <w:widowControl w:val="0"/>
              <w:kinsoku/>
              <w:overflowPunct/>
              <w:topLinePunct w:val="0"/>
              <w:autoSpaceDE/>
              <w:autoSpaceDN/>
              <w:bidi w:val="0"/>
              <w:adjustRightInd/>
              <w:snapToGrid/>
              <w:spacing w:line="400" w:lineRule="exact"/>
              <w:jc w:val="center"/>
              <w:textAlignment w:val="auto"/>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4294" w:type="dxa"/>
            <w:tcBorders>
              <w:top w:val="nil"/>
              <w:left w:val="nil"/>
              <w:bottom w:val="nil"/>
              <w:right w:val="nil"/>
            </w:tcBorders>
            <w:shd w:val="clear" w:color="auto" w:fill="auto"/>
            <w:tcMar>
              <w:top w:w="15" w:type="dxa"/>
              <w:left w:w="15" w:type="dxa"/>
              <w:right w:w="15" w:type="dxa"/>
            </w:tcMar>
            <w:vAlign w:val="bottom"/>
          </w:tcPr>
          <w:p>
            <w:pPr>
              <w:keepNext/>
              <w:keepLines w:val="0"/>
              <w:pageBreakBefore w:val="0"/>
              <w:widowControl w:val="0"/>
              <w:kinsoku/>
              <w:overflowPunct/>
              <w:topLinePunct w:val="0"/>
              <w:autoSpaceDE/>
              <w:autoSpaceDN/>
              <w:bidi w:val="0"/>
              <w:adjustRightInd/>
              <w:snapToGrid/>
              <w:spacing w:line="200" w:lineRule="exact"/>
              <w:textAlignment w:val="auto"/>
              <w:rPr>
                <w:rFonts w:hint="default" w:ascii="Arial" w:hAnsi="Arial" w:cs="Arial"/>
                <w:color w:val="000000"/>
                <w:sz w:val="20"/>
                <w:szCs w:val="20"/>
              </w:rPr>
            </w:pPr>
          </w:p>
        </w:tc>
        <w:tc>
          <w:tcPr>
            <w:tcW w:w="3558" w:type="dxa"/>
            <w:tcBorders>
              <w:top w:val="nil"/>
              <w:left w:val="nil"/>
              <w:bottom w:val="nil"/>
              <w:right w:val="nil"/>
            </w:tcBorders>
            <w:shd w:val="clear" w:color="auto" w:fill="auto"/>
            <w:tcMar>
              <w:top w:w="15" w:type="dxa"/>
              <w:left w:w="15" w:type="dxa"/>
              <w:right w:w="15" w:type="dxa"/>
            </w:tcMar>
            <w:vAlign w:val="bottom"/>
          </w:tcPr>
          <w:p>
            <w:pPr>
              <w:keepNext/>
              <w:keepLines w:val="0"/>
              <w:pageBreakBefore w:val="0"/>
              <w:widowControl w:val="0"/>
              <w:kinsoku/>
              <w:overflowPunct/>
              <w:topLinePunct w:val="0"/>
              <w:autoSpaceDE/>
              <w:autoSpaceDN/>
              <w:bidi w:val="0"/>
              <w:adjustRightInd/>
              <w:snapToGrid/>
              <w:spacing w:line="200" w:lineRule="exact"/>
              <w:jc w:val="right"/>
              <w:textAlignment w:val="auto"/>
              <w:rPr>
                <w:rFonts w:hint="default" w:ascii="Arial" w:hAnsi="Arial" w:cs="Arial"/>
                <w:color w:val="000000"/>
                <w:sz w:val="20"/>
                <w:szCs w:val="20"/>
              </w:rPr>
            </w:pPr>
          </w:p>
        </w:tc>
        <w:tc>
          <w:tcPr>
            <w:tcW w:w="4044" w:type="dxa"/>
            <w:tcBorders>
              <w:top w:val="nil"/>
              <w:left w:val="nil"/>
              <w:bottom w:val="nil"/>
              <w:right w:val="nil"/>
            </w:tcBorders>
            <w:shd w:val="clear" w:color="auto" w:fill="auto"/>
            <w:tcMar>
              <w:top w:w="15" w:type="dxa"/>
              <w:left w:w="15" w:type="dxa"/>
              <w:right w:w="15" w:type="dxa"/>
            </w:tcMar>
            <w:vAlign w:val="bottom"/>
          </w:tcPr>
          <w:p>
            <w:pPr>
              <w:keepNext/>
              <w:keepLines w:val="0"/>
              <w:pageBreakBefore w:val="0"/>
              <w:widowControl w:val="0"/>
              <w:kinsoku/>
              <w:overflowPunct/>
              <w:topLinePunct w:val="0"/>
              <w:autoSpaceDE/>
              <w:autoSpaceDN/>
              <w:bidi w:val="0"/>
              <w:adjustRightInd/>
              <w:snapToGrid/>
              <w:spacing w:line="200" w:lineRule="exact"/>
              <w:textAlignment w:val="auto"/>
              <w:rPr>
                <w:rFonts w:hint="default" w:ascii="Arial" w:hAnsi="Arial" w:cs="Arial"/>
                <w:color w:val="000000"/>
                <w:sz w:val="20"/>
                <w:szCs w:val="20"/>
              </w:rPr>
            </w:pPr>
          </w:p>
        </w:tc>
        <w:tc>
          <w:tcPr>
            <w:tcW w:w="2841" w:type="dxa"/>
            <w:tcBorders>
              <w:top w:val="nil"/>
              <w:left w:val="nil"/>
              <w:bottom w:val="nil"/>
              <w:right w:val="nil"/>
            </w:tcBorders>
            <w:shd w:val="clear" w:color="auto" w:fill="auto"/>
            <w:tcMar>
              <w:top w:w="15" w:type="dxa"/>
              <w:left w:w="15" w:type="dxa"/>
              <w:right w:w="15" w:type="dxa"/>
            </w:tcMar>
            <w:vAlign w:val="bottom"/>
          </w:tcPr>
          <w:p>
            <w:pPr>
              <w:keepNext/>
              <w:keepLines w:val="0"/>
              <w:pageBreakBefore w:val="0"/>
              <w:widowControl w:val="0"/>
              <w:kinsoku/>
              <w:overflowPunct/>
              <w:topLinePunct w:val="0"/>
              <w:autoSpaceDE/>
              <w:autoSpaceDN/>
              <w:bidi w:val="0"/>
              <w:adjustRightInd/>
              <w:snapToGrid/>
              <w:spacing w:line="280" w:lineRule="exact"/>
              <w:jc w:val="right"/>
              <w:textAlignment w:val="auto"/>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01</w:t>
            </w:r>
            <w:r>
              <w:rPr>
                <w:rFonts w:cs="宋体"/>
                <w:color w:val="000000"/>
                <w:sz w:val="20"/>
                <w:szCs w:val="20"/>
              </w:rPr>
              <w:t>表</w:t>
            </w:r>
          </w:p>
        </w:tc>
      </w:tr>
      <w:tr>
        <w:tblPrEx>
          <w:tblLayout w:type="fixed"/>
          <w:tblCellMar>
            <w:top w:w="0" w:type="dxa"/>
            <w:left w:w="0" w:type="dxa"/>
            <w:bottom w:w="0" w:type="dxa"/>
            <w:right w:w="0" w:type="dxa"/>
          </w:tblCellMar>
        </w:tblPrEx>
        <w:trPr>
          <w:trHeight w:val="232" w:hRule="atLeast"/>
        </w:trPr>
        <w:tc>
          <w:tcPr>
            <w:tcW w:w="7852" w:type="dxa"/>
            <w:gridSpan w:val="2"/>
            <w:tcBorders>
              <w:top w:val="nil"/>
              <w:left w:val="nil"/>
              <w:bottom w:val="nil"/>
              <w:right w:val="nil"/>
            </w:tcBorders>
            <w:shd w:val="clear" w:color="auto" w:fill="auto"/>
            <w:tcMar>
              <w:top w:w="15" w:type="dxa"/>
              <w:left w:w="15" w:type="dxa"/>
              <w:right w:w="15" w:type="dxa"/>
            </w:tcMar>
            <w:vAlign w:val="bottom"/>
          </w:tcPr>
          <w:p>
            <w:pPr>
              <w:keepNext/>
              <w:keepLines w:val="0"/>
              <w:pageBreakBefore w:val="0"/>
              <w:widowControl w:val="0"/>
              <w:kinsoku/>
              <w:overflowPunct/>
              <w:topLinePunct w:val="0"/>
              <w:autoSpaceDE/>
              <w:autoSpaceDN/>
              <w:bidi w:val="0"/>
              <w:adjustRightInd/>
              <w:snapToGrid/>
              <w:spacing w:line="200" w:lineRule="exact"/>
              <w:textAlignment w:val="auto"/>
              <w:rPr>
                <w:rFonts w:hint="default" w:ascii="Arial" w:hAnsi="Arial" w:cs="Arial"/>
                <w:color w:val="000000"/>
                <w:sz w:val="22"/>
                <w:szCs w:val="22"/>
              </w:rPr>
            </w:pPr>
            <w:r>
              <w:rPr>
                <w:rFonts w:cs="宋体"/>
                <w:sz w:val="20"/>
                <w:szCs w:val="20"/>
              </w:rPr>
              <w:t>单位：</w:t>
            </w:r>
            <w:r>
              <w:rPr>
                <w:sz w:val="20"/>
                <w:u w:color="auto"/>
              </w:rPr>
              <w:t>秀山土家族苗族自治县溶溪镇中心卫生院</w:t>
            </w:r>
          </w:p>
        </w:tc>
        <w:tc>
          <w:tcPr>
            <w:tcW w:w="4044" w:type="dxa"/>
            <w:tcBorders>
              <w:top w:val="nil"/>
              <w:left w:val="nil"/>
              <w:bottom w:val="nil"/>
              <w:right w:val="nil"/>
            </w:tcBorders>
            <w:shd w:val="clear" w:color="auto" w:fill="auto"/>
            <w:tcMar>
              <w:top w:w="15" w:type="dxa"/>
              <w:left w:w="15" w:type="dxa"/>
              <w:right w:w="15" w:type="dxa"/>
            </w:tcMar>
            <w:vAlign w:val="bottom"/>
          </w:tcPr>
          <w:p>
            <w:pPr>
              <w:keepNext/>
              <w:keepLines w:val="0"/>
              <w:pageBreakBefore w:val="0"/>
              <w:widowControl w:val="0"/>
              <w:kinsoku/>
              <w:overflowPunct/>
              <w:topLinePunct w:val="0"/>
              <w:autoSpaceDE/>
              <w:autoSpaceDN/>
              <w:bidi w:val="0"/>
              <w:adjustRightInd/>
              <w:snapToGrid/>
              <w:spacing w:line="200" w:lineRule="exact"/>
              <w:textAlignment w:val="auto"/>
              <w:rPr>
                <w:rFonts w:hint="default" w:ascii="Arial" w:hAnsi="Arial" w:cs="Arial"/>
                <w:color w:val="000000"/>
                <w:sz w:val="22"/>
                <w:szCs w:val="22"/>
              </w:rPr>
            </w:pPr>
          </w:p>
        </w:tc>
        <w:tc>
          <w:tcPr>
            <w:tcW w:w="2841" w:type="dxa"/>
            <w:tcBorders>
              <w:top w:val="nil"/>
              <w:left w:val="nil"/>
              <w:bottom w:val="nil"/>
              <w:right w:val="nil"/>
            </w:tcBorders>
            <w:shd w:val="clear" w:color="auto" w:fill="auto"/>
            <w:tcMar>
              <w:top w:w="15" w:type="dxa"/>
              <w:left w:w="15" w:type="dxa"/>
              <w:right w:w="15" w:type="dxa"/>
            </w:tcMar>
            <w:vAlign w:val="bottom"/>
          </w:tcPr>
          <w:p>
            <w:pPr>
              <w:keepNext/>
              <w:keepLines w:val="0"/>
              <w:pageBreakBefore w:val="0"/>
              <w:widowControl w:val="0"/>
              <w:kinsoku/>
              <w:overflowPunct/>
              <w:topLinePunct w:val="0"/>
              <w:autoSpaceDE/>
              <w:autoSpaceDN/>
              <w:bidi w:val="0"/>
              <w:adjustRightInd/>
              <w:snapToGrid/>
              <w:spacing w:line="280" w:lineRule="exact"/>
              <w:jc w:val="right"/>
              <w:textAlignment w:val="auto"/>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3" w:hRule="atLeast"/>
        </w:trPr>
        <w:tc>
          <w:tcPr>
            <w:tcW w:w="7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jc w:val="center"/>
              <w:textAlignment w:val="auto"/>
              <w:rPr>
                <w:rFonts w:hint="default" w:cs="宋体"/>
                <w:b/>
                <w:color w:val="000000"/>
                <w:sz w:val="20"/>
                <w:szCs w:val="20"/>
              </w:rPr>
            </w:pPr>
            <w:r>
              <w:rPr>
                <w:rFonts w:cs="宋体"/>
                <w:b/>
                <w:color w:val="000000"/>
                <w:sz w:val="20"/>
                <w:szCs w:val="20"/>
              </w:rPr>
              <w:t>收入</w:t>
            </w:r>
          </w:p>
        </w:tc>
        <w:tc>
          <w:tcPr>
            <w:tcW w:w="6885"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jc w:val="center"/>
              <w:textAlignment w:val="auto"/>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jc w:val="center"/>
              <w:textAlignment w:val="auto"/>
              <w:rPr>
                <w:rFonts w:hint="default" w:cs="宋体"/>
                <w:b/>
                <w:color w:val="000000"/>
                <w:sz w:val="20"/>
                <w:szCs w:val="20"/>
              </w:rPr>
            </w:pPr>
            <w:r>
              <w:rPr>
                <w:rFonts w:cs="宋体"/>
                <w:b/>
                <w:color w:val="000000"/>
                <w:sz w:val="20"/>
                <w:szCs w:val="20"/>
              </w:rPr>
              <w:t>项目</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jc w:val="center"/>
              <w:textAlignment w:val="auto"/>
              <w:rPr>
                <w:rFonts w:hint="default" w:cs="宋体"/>
                <w:b/>
                <w:color w:val="000000"/>
                <w:sz w:val="20"/>
                <w:szCs w:val="20"/>
              </w:rPr>
            </w:pPr>
            <w:r>
              <w:rPr>
                <w:rFonts w:cs="宋体"/>
                <w:b/>
                <w:color w:val="000000"/>
                <w:sz w:val="20"/>
                <w:szCs w:val="20"/>
              </w:rPr>
              <w:t>决算数</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jc w:val="center"/>
              <w:textAlignment w:val="auto"/>
              <w:rPr>
                <w:rFonts w:hint="default" w:cs="宋体"/>
                <w:b/>
                <w:color w:val="000000"/>
                <w:sz w:val="20"/>
                <w:szCs w:val="20"/>
              </w:rPr>
            </w:pPr>
            <w:r>
              <w:rPr>
                <w:rFonts w:cs="宋体"/>
                <w:b/>
                <w:color w:val="000000"/>
                <w:sz w:val="20"/>
                <w:szCs w:val="20"/>
              </w:rPr>
              <w:t>功能分类科目</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jc w:val="center"/>
              <w:textAlignment w:val="auto"/>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r>
              <w:rPr>
                <w:rFonts w:cs="宋体"/>
                <w:b/>
                <w:bCs/>
                <w:color w:val="000000"/>
                <w:sz w:val="20"/>
                <w:szCs w:val="20"/>
              </w:rPr>
              <w:t>一、一般公共预算财政拨款收入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r>
              <w:rPr>
                <w:rFonts w:hint="default" w:ascii="Times New Roman" w:hAnsi="Times New Roman"/>
                <w:color w:val="000000"/>
                <w:sz w:val="20"/>
                <w:szCs w:val="20"/>
              </w:rPr>
              <w:t>510.04</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r>
              <w:rPr>
                <w:rFonts w:cs="宋体"/>
                <w:b/>
                <w:bCs/>
                <w:color w:val="000000"/>
                <w:sz w:val="20"/>
                <w:szCs w:val="20"/>
              </w:rPr>
              <w:t>一、一般公共服务支出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r>
              <w:rPr>
                <w:rFonts w:cs="宋体"/>
                <w:b/>
                <w:bCs/>
                <w:color w:val="000000"/>
                <w:sz w:val="20"/>
                <w:szCs w:val="20"/>
              </w:rPr>
              <w:t>二、政府性基金预算财政拨款收入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r>
              <w:rPr>
                <w:rFonts w:cs="宋体"/>
                <w:b/>
                <w:bCs/>
                <w:color w:val="000000"/>
                <w:sz w:val="20"/>
                <w:szCs w:val="20"/>
              </w:rPr>
              <w:t>二、外交支出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r>
              <w:rPr>
                <w:rFonts w:cs="宋体"/>
                <w:b/>
                <w:bCs/>
                <w:color w:val="000000"/>
                <w:sz w:val="20"/>
                <w:szCs w:val="20"/>
              </w:rPr>
              <w:t>三、国有资本经营预算财政拨款收入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r>
              <w:rPr>
                <w:rFonts w:cs="宋体"/>
                <w:b/>
                <w:bCs/>
                <w:color w:val="000000"/>
                <w:sz w:val="20"/>
                <w:szCs w:val="20"/>
              </w:rPr>
              <w:t>三、国防支出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r>
              <w:rPr>
                <w:rFonts w:cs="宋体"/>
                <w:b/>
                <w:bCs/>
                <w:color w:val="000000"/>
                <w:sz w:val="20"/>
                <w:szCs w:val="20"/>
              </w:rPr>
              <w:t>四、上级补助收入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r>
              <w:rPr>
                <w:rFonts w:cs="宋体"/>
                <w:b/>
                <w:bCs/>
                <w:color w:val="000000"/>
                <w:sz w:val="20"/>
                <w:szCs w:val="20"/>
              </w:rPr>
              <w:t>四、公共安全支出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r>
              <w:rPr>
                <w:rFonts w:cs="宋体"/>
                <w:b/>
                <w:bCs/>
                <w:color w:val="000000"/>
                <w:sz w:val="20"/>
                <w:szCs w:val="20"/>
              </w:rPr>
              <w:t>五、事业收入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r>
              <w:rPr>
                <w:rFonts w:hint="default" w:ascii="Times New Roman" w:hAnsi="Times New Roman"/>
                <w:color w:val="000000"/>
                <w:sz w:val="20"/>
                <w:szCs w:val="20"/>
              </w:rPr>
              <w:t>1,046.61</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r>
              <w:rPr>
                <w:rFonts w:cs="宋体"/>
                <w:b/>
                <w:bCs/>
                <w:color w:val="000000"/>
                <w:sz w:val="20"/>
                <w:szCs w:val="20"/>
              </w:rPr>
              <w:t>五、教育支出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r>
              <w:rPr>
                <w:rFonts w:cs="宋体"/>
                <w:b/>
                <w:bCs/>
                <w:color w:val="000000"/>
                <w:sz w:val="20"/>
                <w:szCs w:val="20"/>
              </w:rPr>
              <w:t>六、经营收入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r>
              <w:rPr>
                <w:rFonts w:cs="宋体"/>
                <w:b/>
                <w:bCs/>
                <w:color w:val="000000"/>
                <w:sz w:val="20"/>
                <w:szCs w:val="20"/>
              </w:rPr>
              <w:t>六、科学技术支出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r>
              <w:rPr>
                <w:rFonts w:cs="宋体"/>
                <w:b/>
                <w:bCs/>
                <w:color w:val="000000"/>
                <w:sz w:val="20"/>
                <w:szCs w:val="20"/>
              </w:rPr>
              <w:t>七、附属单位上缴收入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r>
              <w:rPr>
                <w:rFonts w:cs="宋体"/>
                <w:b/>
                <w:bCs/>
                <w:color w:val="000000"/>
                <w:sz w:val="20"/>
                <w:szCs w:val="20"/>
              </w:rPr>
              <w:t>七、文化旅游体育与传媒支出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r>
              <w:rPr>
                <w:rFonts w:cs="宋体"/>
                <w:b/>
                <w:bCs/>
                <w:color w:val="000000"/>
                <w:sz w:val="20"/>
                <w:szCs w:val="20"/>
              </w:rPr>
              <w:t>八、其他收入</w:t>
            </w:r>
          </w:p>
        </w:tc>
        <w:tc>
          <w:tcPr>
            <w:tcW w:w="3558" w:type="dxa"/>
            <w:tcBorders>
              <w:top w:val="nil"/>
              <w:left w:val="nil"/>
              <w:bottom w:val="nil"/>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r>
              <w:rPr>
                <w:rFonts w:hint="default" w:ascii="Times New Roman" w:hAnsi="Times New Roman"/>
                <w:color w:val="000000"/>
                <w:sz w:val="20"/>
                <w:szCs w:val="20"/>
              </w:rPr>
              <w:t>41.36</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r>
              <w:rPr>
                <w:rFonts w:cs="宋体"/>
                <w:b/>
                <w:bCs/>
                <w:color w:val="000000"/>
                <w:sz w:val="20"/>
                <w:szCs w:val="20"/>
              </w:rPr>
              <w:t>八、社会保障和就业支出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r>
              <w:rPr>
                <w:rFonts w:hint="default" w:ascii="Times New Roman" w:hAnsi="Times New Roman"/>
                <w:color w:val="000000"/>
                <w:sz w:val="20"/>
                <w:szCs w:val="20"/>
              </w:rPr>
              <w:t>78.06</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r>
              <w:rPr>
                <w:rFonts w:cs="宋体"/>
                <w:b/>
                <w:bCs/>
                <w:color w:val="000000"/>
                <w:sz w:val="20"/>
                <w:szCs w:val="20"/>
              </w:rPr>
              <w:t>九、卫生健康支出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r>
              <w:rPr>
                <w:rFonts w:hint="default" w:ascii="Times New Roman" w:hAnsi="Times New Roman"/>
                <w:color w:val="000000"/>
                <w:sz w:val="20"/>
                <w:szCs w:val="20"/>
              </w:rPr>
              <w:t>1,494.74</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r>
              <w:rPr>
                <w:rFonts w:cs="宋体"/>
                <w:b/>
                <w:bCs/>
                <w:color w:val="000000"/>
                <w:sz w:val="20"/>
                <w:szCs w:val="20"/>
              </w:rPr>
              <w:t>十、节能环保支出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r>
              <w:rPr>
                <w:rFonts w:cs="宋体"/>
                <w:b/>
                <w:bCs/>
                <w:color w:val="000000"/>
                <w:sz w:val="20"/>
                <w:szCs w:val="20"/>
              </w:rPr>
              <w:t>十一、城乡社区支出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r>
              <w:rPr>
                <w:rFonts w:cs="宋体"/>
                <w:b/>
                <w:bCs/>
                <w:color w:val="000000"/>
                <w:sz w:val="20"/>
                <w:szCs w:val="20"/>
              </w:rPr>
              <w:t>十二、农林水支出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r>
              <w:rPr>
                <w:rFonts w:cs="宋体"/>
                <w:b/>
                <w:bCs/>
                <w:color w:val="000000"/>
                <w:sz w:val="20"/>
                <w:szCs w:val="20"/>
              </w:rPr>
              <w:t>十三、交通运输支出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r>
              <w:rPr>
                <w:rFonts w:cs="宋体"/>
                <w:b/>
                <w:bCs/>
                <w:color w:val="000000"/>
                <w:sz w:val="20"/>
                <w:szCs w:val="20"/>
              </w:rPr>
              <w:t>十四、资源勘探工业信息等支出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r>
              <w:rPr>
                <w:rFonts w:cs="宋体"/>
                <w:b/>
                <w:bCs/>
                <w:color w:val="000000"/>
                <w:sz w:val="20"/>
                <w:szCs w:val="20"/>
              </w:rPr>
              <w:t>十五、商业服务业等支出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r>
              <w:rPr>
                <w:rFonts w:cs="宋体"/>
                <w:b/>
                <w:bCs/>
                <w:color w:val="000000"/>
                <w:sz w:val="20"/>
                <w:szCs w:val="20"/>
              </w:rPr>
              <w:t>十六、金融支出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r>
              <w:rPr>
                <w:rFonts w:cs="宋体"/>
                <w:b/>
                <w:bCs/>
                <w:color w:val="000000"/>
                <w:sz w:val="20"/>
                <w:szCs w:val="20"/>
              </w:rPr>
              <w:t>十七、援助其他地区支出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r>
              <w:rPr>
                <w:rFonts w:cs="宋体"/>
                <w:b/>
                <w:bCs/>
                <w:color w:val="000000"/>
                <w:sz w:val="20"/>
                <w:szCs w:val="20"/>
              </w:rPr>
              <w:t>十八、自然资源海洋气象等支出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r>
              <w:rPr>
                <w:rFonts w:cs="宋体"/>
                <w:b/>
                <w:bCs/>
                <w:color w:val="000000"/>
                <w:sz w:val="20"/>
                <w:szCs w:val="20"/>
              </w:rPr>
              <w:t>十九、住房保障支出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r>
              <w:rPr>
                <w:rFonts w:hint="default" w:ascii="Times New Roman" w:hAnsi="Times New Roman"/>
                <w:color w:val="000000"/>
                <w:sz w:val="20"/>
                <w:szCs w:val="20"/>
              </w:rPr>
              <w:t>20.70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r>
              <w:rPr>
                <w:rFonts w:cs="宋体"/>
                <w:b/>
                <w:bCs/>
                <w:color w:val="000000"/>
                <w:sz w:val="20"/>
                <w:szCs w:val="20"/>
              </w:rPr>
              <w:t>二十、粮油物资储备支出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r>
              <w:rPr>
                <w:rFonts w:cs="宋体"/>
                <w:b/>
                <w:bCs/>
                <w:color w:val="000000"/>
                <w:sz w:val="20"/>
                <w:szCs w:val="20"/>
              </w:rPr>
              <w:t>二十一、国有资本经营预算支出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r>
              <w:rPr>
                <w:rFonts w:cs="宋体"/>
                <w:b/>
                <w:bCs/>
                <w:color w:val="000000"/>
                <w:sz w:val="20"/>
                <w:szCs w:val="20"/>
              </w:rPr>
              <w:t>二十二、灾害防治及应急管理支出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r>
              <w:rPr>
                <w:rFonts w:cs="宋体"/>
                <w:b/>
                <w:bCs/>
                <w:color w:val="000000"/>
                <w:sz w:val="20"/>
                <w:szCs w:val="20"/>
              </w:rPr>
              <w:t>二十三、其他支出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jc w:val="center"/>
              <w:textAlignment w:val="auto"/>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r>
              <w:rPr>
                <w:rFonts w:cs="宋体"/>
                <w:b/>
                <w:bCs/>
                <w:color w:val="000000"/>
                <w:sz w:val="20"/>
                <w:szCs w:val="20"/>
              </w:rPr>
              <w:t>二十四、债务还本支出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r>
              <w:rPr>
                <w:rFonts w:cs="宋体"/>
                <w:b/>
                <w:bCs/>
                <w:color w:val="000000"/>
                <w:sz w:val="20"/>
                <w:szCs w:val="20"/>
              </w:rPr>
              <w:t>二十五、债务付息支出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r>
              <w:rPr>
                <w:rFonts w:cs="宋体"/>
                <w:b/>
                <w:bCs/>
                <w:color w:val="000000"/>
                <w:sz w:val="20"/>
                <w:szCs w:val="20"/>
              </w:rPr>
              <w:t>二十六、抗疫特别国债安排的支出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jc w:val="center"/>
              <w:textAlignment w:val="auto"/>
              <w:rPr>
                <w:rFonts w:hint="default" w:cs="宋体"/>
                <w:b/>
                <w:bCs/>
                <w:color w:val="000000"/>
                <w:sz w:val="20"/>
                <w:szCs w:val="20"/>
              </w:rPr>
            </w:pPr>
            <w:r>
              <w:rPr>
                <w:rFonts w:cs="宋体"/>
                <w:b/>
                <w:bCs/>
                <w:color w:val="000000"/>
                <w:sz w:val="20"/>
                <w:szCs w:val="20"/>
              </w:rPr>
              <w:t>本年收入合计</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r>
              <w:rPr>
                <w:rFonts w:hint="default" w:ascii="Times New Roman" w:hAnsi="Times New Roman"/>
                <w:color w:val="000000"/>
                <w:sz w:val="20"/>
                <w:szCs w:val="20"/>
              </w:rPr>
              <w:t>1,598.01</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jc w:val="center"/>
              <w:textAlignment w:val="auto"/>
              <w:rPr>
                <w:rFonts w:hint="default" w:cs="宋体"/>
                <w:b/>
                <w:bCs/>
                <w:color w:val="000000"/>
                <w:sz w:val="20"/>
                <w:szCs w:val="20"/>
              </w:rPr>
            </w:pPr>
            <w:r>
              <w:rPr>
                <w:rFonts w:cs="宋体"/>
                <w:b/>
                <w:bCs/>
                <w:color w:val="000000"/>
                <w:sz w:val="20"/>
                <w:szCs w:val="20"/>
              </w:rPr>
              <w:t>本年支出合计</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r>
              <w:rPr>
                <w:rFonts w:hint="default" w:ascii="Times New Roman" w:hAnsi="Times New Roman"/>
                <w:color w:val="000000"/>
                <w:sz w:val="20"/>
                <w:szCs w:val="20"/>
              </w:rPr>
              <w:t>1,593.50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r>
              <w:rPr>
                <w:rFonts w:cs="宋体"/>
                <w:b/>
                <w:bCs/>
                <w:color w:val="000000"/>
                <w:sz w:val="20"/>
                <w:szCs w:val="20"/>
              </w:rPr>
              <w:t>使用非财政拨款结余和专用结余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r>
              <w:rPr>
                <w:rFonts w:cs="宋体"/>
                <w:b/>
                <w:bCs/>
                <w:color w:val="000000"/>
                <w:sz w:val="20"/>
                <w:szCs w:val="20"/>
              </w:rPr>
              <w:t>结余分配</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r>
              <w:rPr>
                <w:rFonts w:cs="宋体"/>
                <w:b/>
                <w:bCs/>
                <w:color w:val="000000"/>
                <w:sz w:val="20"/>
                <w:szCs w:val="20"/>
              </w:rPr>
              <w:t>年初结转和结余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r>
              <w:rPr>
                <w:rFonts w:hint="default" w:ascii="Times New Roman" w:hAnsi="Times New Roman"/>
                <w:color w:val="000000"/>
                <w:sz w:val="20"/>
                <w:szCs w:val="20"/>
              </w:rPr>
              <w:t>31.96</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textAlignment w:val="auto"/>
              <w:rPr>
                <w:rFonts w:hint="default" w:cs="宋体"/>
                <w:b/>
                <w:bCs/>
                <w:color w:val="000000"/>
                <w:sz w:val="20"/>
                <w:szCs w:val="20"/>
              </w:rPr>
            </w:pPr>
            <w:r>
              <w:rPr>
                <w:rFonts w:cs="宋体"/>
                <w:b/>
                <w:bCs/>
                <w:color w:val="000000"/>
                <w:sz w:val="20"/>
                <w:szCs w:val="20"/>
              </w:rPr>
              <w:t>年末结转和结余</w:t>
            </w:r>
          </w:p>
        </w:tc>
        <w:tc>
          <w:tcPr>
            <w:tcW w:w="2841"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r>
              <w:rPr>
                <w:rFonts w:hint="default" w:ascii="Times New Roman" w:hAnsi="Times New Roman"/>
                <w:color w:val="000000"/>
                <w:sz w:val="20"/>
                <w:szCs w:val="20"/>
              </w:rPr>
              <w:t>36.47</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jc w:val="center"/>
              <w:textAlignment w:val="auto"/>
              <w:rPr>
                <w:rFonts w:hint="default" w:cs="宋体"/>
                <w:b/>
                <w:color w:val="000000"/>
                <w:sz w:val="20"/>
                <w:szCs w:val="20"/>
              </w:rPr>
            </w:pPr>
            <w:r>
              <w:rPr>
                <w:rFonts w:cs="宋体"/>
                <w:b/>
                <w:color w:val="000000"/>
                <w:sz w:val="20"/>
                <w:szCs w:val="20"/>
              </w:rPr>
              <w:t>总计</w:t>
            </w: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r>
              <w:rPr>
                <w:rFonts w:hint="default" w:ascii="Times New Roman" w:hAnsi="Times New Roman"/>
                <w:color w:val="000000"/>
                <w:sz w:val="20"/>
                <w:szCs w:val="20"/>
              </w:rPr>
              <w:t>1,629.97</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spacing w:line="240" w:lineRule="exact"/>
              <w:jc w:val="center"/>
              <w:textAlignment w:val="auto"/>
              <w:rPr>
                <w:rFonts w:hint="default" w:cs="宋体"/>
                <w:b/>
                <w:color w:val="000000"/>
                <w:sz w:val="20"/>
                <w:szCs w:val="20"/>
              </w:rPr>
            </w:pPr>
            <w:r>
              <w:rPr>
                <w:rFonts w:cs="宋体"/>
                <w:b/>
                <w:color w:val="000000"/>
                <w:sz w:val="20"/>
                <w:szCs w:val="20"/>
              </w:rPr>
              <w:t>总计</w:t>
            </w:r>
          </w:p>
        </w:tc>
        <w:tc>
          <w:tcPr>
            <w:tcW w:w="28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spacing w:line="200" w:lineRule="exact"/>
              <w:jc w:val="right"/>
              <w:textAlignment w:val="auto"/>
              <w:rPr>
                <w:rFonts w:hint="default" w:ascii="Times New Roman" w:hAnsi="Times New Roman"/>
                <w:color w:val="000000"/>
                <w:sz w:val="20"/>
                <w:szCs w:val="20"/>
              </w:rPr>
            </w:pPr>
            <w:r>
              <w:rPr>
                <w:rFonts w:hint="default" w:ascii="Times New Roman" w:hAnsi="Times New Roman"/>
                <w:color w:val="000000"/>
                <w:sz w:val="20"/>
                <w:szCs w:val="20"/>
              </w:rPr>
              <w:t>1,629.97</w:t>
            </w:r>
            <w:r>
              <w:rPr>
                <w:rFonts w:ascii="Times New Roman" w:hAnsi="Times New Roman"/>
                <w:color w:val="000000"/>
                <w:sz w:val="20"/>
                <w:u w:color="auto"/>
              </w:rPr>
              <w:t xml:space="preserve"> </w:t>
            </w:r>
          </w:p>
        </w:tc>
      </w:tr>
    </w:tbl>
    <w:p>
      <w:pPr>
        <w:rPr>
          <w:rFonts w:hint="default" w:cs="宋体"/>
          <w:sz w:val="21"/>
          <w:szCs w:val="21"/>
        </w:rPr>
      </w:pPr>
    </w:p>
    <w:p>
      <w:pPr>
        <w:spacing w:line="240" w:lineRule="exact"/>
        <w:rPr>
          <w:rFonts w:hint="default" w:cs="宋体"/>
          <w:sz w:val="20"/>
          <w:szCs w:val="20"/>
        </w:rPr>
      </w:pPr>
      <w:r>
        <w:rPr>
          <w:rFonts w:cs="宋体"/>
          <w:sz w:val="20"/>
          <w:szCs w:val="20"/>
        </w:rPr>
        <w:t>备注：1.本表反映单位本年度的总收支和年末结转结余情况。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12"/>
        <w:tblW w:w="15503" w:type="dxa"/>
        <w:tblInd w:w="0" w:type="dxa"/>
        <w:tblLayout w:type="fixed"/>
        <w:tblCellMar>
          <w:top w:w="0" w:type="dxa"/>
          <w:left w:w="0" w:type="dxa"/>
          <w:bottom w:w="0" w:type="dxa"/>
          <w:right w:w="0" w:type="dxa"/>
        </w:tblCellMar>
      </w:tblPr>
      <w:tblGrid>
        <w:gridCol w:w="1637"/>
        <w:gridCol w:w="3075"/>
        <w:gridCol w:w="1308"/>
        <w:gridCol w:w="1367"/>
        <w:gridCol w:w="1257"/>
        <w:gridCol w:w="1257"/>
        <w:gridCol w:w="1320"/>
        <w:gridCol w:w="1259"/>
        <w:gridCol w:w="1392"/>
        <w:gridCol w:w="1631"/>
      </w:tblGrid>
      <w:tr>
        <w:tblPrEx>
          <w:tblLayout w:type="fixed"/>
          <w:tblCellMar>
            <w:top w:w="0" w:type="dxa"/>
            <w:left w:w="0" w:type="dxa"/>
            <w:bottom w:w="0" w:type="dxa"/>
            <w:right w:w="0" w:type="dxa"/>
          </w:tblCellMar>
        </w:tblPrEx>
        <w:trPr>
          <w:trHeight w:val="641" w:hRule="atLeast"/>
        </w:trPr>
        <w:tc>
          <w:tcPr>
            <w:tcW w:w="15503"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6020"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sz w:val="20"/>
                <w:u w:color="auto"/>
              </w:rPr>
              <w:t>秀山土家族苗族自治县溶溪镇中心卫生院</w:t>
            </w:r>
          </w:p>
        </w:tc>
        <w:tc>
          <w:tcPr>
            <w:tcW w:w="136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2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9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3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02</w:t>
            </w:r>
            <w:r>
              <w:rPr>
                <w:rFonts w:cs="宋体"/>
                <w:color w:val="000000"/>
                <w:sz w:val="20"/>
                <w:szCs w:val="20"/>
              </w:rPr>
              <w:t>表</w:t>
            </w:r>
          </w:p>
        </w:tc>
      </w:tr>
      <w:tr>
        <w:tblPrEx>
          <w:tblLayout w:type="fixed"/>
          <w:tblCellMar>
            <w:top w:w="0" w:type="dxa"/>
            <w:left w:w="0" w:type="dxa"/>
            <w:bottom w:w="0" w:type="dxa"/>
            <w:right w:w="0" w:type="dxa"/>
          </w:tblCellMar>
        </w:tblPrEx>
        <w:trPr>
          <w:trHeight w:val="328" w:hRule="atLeast"/>
        </w:trPr>
        <w:tc>
          <w:tcPr>
            <w:tcW w:w="6020"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2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9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3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31" w:hRule="atLeast"/>
        </w:trPr>
        <w:tc>
          <w:tcPr>
            <w:tcW w:w="4712"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3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本年收入合计</w:t>
            </w:r>
          </w:p>
        </w:tc>
        <w:tc>
          <w:tcPr>
            <w:tcW w:w="13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财政拨款收入</w:t>
            </w: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上级补助收入</w:t>
            </w:r>
          </w:p>
        </w:tc>
        <w:tc>
          <w:tcPr>
            <w:tcW w:w="257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事业收入</w:t>
            </w:r>
          </w:p>
        </w:tc>
        <w:tc>
          <w:tcPr>
            <w:tcW w:w="12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经营收入</w:t>
            </w:r>
          </w:p>
        </w:tc>
        <w:tc>
          <w:tcPr>
            <w:tcW w:w="13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附属单位上缴收入</w:t>
            </w:r>
          </w:p>
        </w:tc>
        <w:tc>
          <w:tcPr>
            <w:tcW w:w="163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63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075"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小计</w:t>
            </w: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其中：教育收费</w:t>
            </w: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47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30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1,598.01</w:t>
            </w:r>
            <w:r>
              <w:rPr>
                <w:rFonts w:ascii="Times New Roman" w:hAnsi="Times New Roman"/>
                <w:b/>
                <w:color w:val="000000"/>
                <w:sz w:val="20"/>
                <w:u w:color="auto"/>
              </w:rPr>
              <w:t xml:space="preserve"> </w:t>
            </w:r>
          </w:p>
        </w:tc>
        <w:tc>
          <w:tcPr>
            <w:tcW w:w="13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510.04</w:t>
            </w:r>
            <w:r>
              <w:rPr>
                <w:rFonts w:ascii="Times New Roman" w:hAnsi="Times New Roman"/>
                <w:b/>
                <w:color w:val="000000"/>
                <w:sz w:val="20"/>
                <w:u w:color="auto"/>
              </w:rPr>
              <w:t xml:space="preserve"> </w:t>
            </w:r>
          </w:p>
        </w:tc>
        <w:tc>
          <w:tcPr>
            <w:tcW w:w="12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2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1,046.61</w:t>
            </w:r>
            <w:r>
              <w:rPr>
                <w:rFonts w:ascii="Times New Roman" w:hAnsi="Times New Roman"/>
                <w:b/>
                <w:color w:val="000000"/>
                <w:sz w:val="20"/>
                <w:u w:color="auto"/>
              </w:rPr>
              <w:t xml:space="preserve"> </w:t>
            </w:r>
          </w:p>
        </w:tc>
        <w:tc>
          <w:tcPr>
            <w:tcW w:w="13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2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39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63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41.36</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78.06</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78.06</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78.06</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78.06</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18.58</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18.58</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39.49</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39.49</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20.00</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1,499.24</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411.28</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1,046.61</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41.36</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1,404.92</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316.95</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1,046.61</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41.36</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1,400.84</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312.87</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1,046.61</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41.36</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4.08</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4.08</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71.46</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71.46</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71.46</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71.46</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22.87</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22.87</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17.25</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17.25</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5.62</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5.62</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20.70</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20.70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20.70</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20.70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20.70</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20.70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ind w:left="600" w:hanging="600" w:hangingChars="300"/>
        <w:rPr>
          <w:rFonts w:hint="default" w:cs="宋体"/>
          <w:sz w:val="20"/>
          <w:szCs w:val="20"/>
        </w:rPr>
      </w:pPr>
      <w:r>
        <w:rPr>
          <w:rFonts w:cs="宋体"/>
          <w:sz w:val="20"/>
          <w:szCs w:val="20"/>
        </w:rPr>
        <w:t>备注：1.本表反映单位本年度取得的各项收入情况。</w:t>
      </w:r>
      <w:r>
        <w:rPr>
          <w:rFonts w:cs="宋体"/>
          <w:sz w:val="20"/>
          <w:szCs w:val="20"/>
        </w:rPr>
        <w:br w:type="textWrapping"/>
      </w:r>
      <w:r>
        <w:rPr>
          <w:rFonts w:cs="宋体"/>
          <w:sz w:val="20"/>
          <w:szCs w:val="20"/>
        </w:rPr>
        <w:t>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0"/>
          <w:szCs w:val="20"/>
        </w:rPr>
      </w:pPr>
      <w:r>
        <w:rPr>
          <w:rFonts w:cs="宋体"/>
          <w:sz w:val="20"/>
          <w:szCs w:val="20"/>
        </w:rPr>
        <w:br w:type="page"/>
      </w:r>
    </w:p>
    <w:tbl>
      <w:tblPr>
        <w:tblStyle w:val="12"/>
        <w:tblW w:w="15322" w:type="dxa"/>
        <w:tblInd w:w="0" w:type="dxa"/>
        <w:tblLayout w:type="fixed"/>
        <w:tblCellMar>
          <w:top w:w="0" w:type="dxa"/>
          <w:left w:w="0" w:type="dxa"/>
          <w:bottom w:w="0" w:type="dxa"/>
          <w:right w:w="0" w:type="dxa"/>
        </w:tblCellMar>
      </w:tblPr>
      <w:tblGrid>
        <w:gridCol w:w="1637"/>
        <w:gridCol w:w="3530"/>
        <w:gridCol w:w="1645"/>
        <w:gridCol w:w="1694"/>
        <w:gridCol w:w="1627"/>
        <w:gridCol w:w="1559"/>
        <w:gridCol w:w="1694"/>
        <w:gridCol w:w="1936"/>
      </w:tblGrid>
      <w:tr>
        <w:tblPrEx>
          <w:tblLayout w:type="fixed"/>
          <w:tblCellMar>
            <w:top w:w="0" w:type="dxa"/>
            <w:left w:w="0" w:type="dxa"/>
            <w:bottom w:w="0" w:type="dxa"/>
            <w:right w:w="0" w:type="dxa"/>
          </w:tblCellMar>
        </w:tblPrEx>
        <w:trPr>
          <w:trHeight w:val="65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681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 xml:space="preserve">秀山土家族苗族自治县溶溪镇中心卫生院 </w:t>
            </w: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03</w:t>
            </w:r>
            <w:r>
              <w:rPr>
                <w:rFonts w:cs="宋体"/>
                <w:color w:val="000000"/>
                <w:sz w:val="20"/>
                <w:szCs w:val="20"/>
              </w:rPr>
              <w:t>表</w:t>
            </w:r>
          </w:p>
        </w:tc>
      </w:tr>
      <w:tr>
        <w:tblPrEx>
          <w:tblLayout w:type="fixed"/>
          <w:tblCellMar>
            <w:top w:w="0" w:type="dxa"/>
            <w:left w:w="0" w:type="dxa"/>
            <w:bottom w:w="0" w:type="dxa"/>
            <w:right w:w="0" w:type="dxa"/>
          </w:tblCellMar>
        </w:tblPrEx>
        <w:trPr>
          <w:trHeight w:val="342" w:hRule="atLeast"/>
        </w:trPr>
        <w:tc>
          <w:tcPr>
            <w:tcW w:w="681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62" w:hRule="atLeas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6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本年支出合计</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6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5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上缴上级支出</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经营支出</w:t>
            </w:r>
          </w:p>
        </w:tc>
        <w:tc>
          <w:tcPr>
            <w:tcW w:w="193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63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530"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62" w:hRule="atLeas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6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1,593.50</w:t>
            </w:r>
            <w:r>
              <w:rPr>
                <w:rFonts w:ascii="Times New Roman" w:hAnsi="Times New Roman"/>
                <w:b/>
                <w:color w:val="000000"/>
                <w:sz w:val="20"/>
                <w:u w:color="auto"/>
              </w:rPr>
              <w:t xml:space="preserve"> </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1,577.06</w:t>
            </w:r>
            <w:r>
              <w:rPr>
                <w:rFonts w:ascii="Times New Roman" w:hAnsi="Times New Roman"/>
                <w:b/>
                <w:color w:val="000000"/>
                <w:sz w:val="20"/>
                <w:u w:color="auto"/>
              </w:rPr>
              <w:t xml:space="preserve"> </w:t>
            </w:r>
          </w:p>
        </w:tc>
        <w:tc>
          <w:tcPr>
            <w:tcW w:w="16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16.44</w:t>
            </w:r>
            <w:r>
              <w:rPr>
                <w:rFonts w:ascii="Times New Roman" w:hAnsi="Times New Roman"/>
                <w:b/>
                <w:color w:val="000000"/>
                <w:sz w:val="20"/>
                <w:u w:color="auto"/>
              </w:rPr>
              <w:t xml:space="preserve"> </w:t>
            </w:r>
          </w:p>
        </w:tc>
        <w:tc>
          <w:tcPr>
            <w:tcW w:w="15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9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78.06</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78.06</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78.06</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78.06</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18.58</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18.58</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39.49</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39.49</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20.00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1,494.74</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1,478.30</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16.44</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1,400.41</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1,383.97</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16.44</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1,396.33</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1,383.97</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12.36</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4.08</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4.08</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71.46</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71.46</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71.46</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71.46</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22.87</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22.87</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17.25</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17.25</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5.62</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5.62</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20.70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20.70</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20.70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20.70</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20.70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20.70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0"/>
          <w:szCs w:val="20"/>
        </w:rPr>
      </w:pPr>
      <w:r>
        <w:rPr>
          <w:rFonts w:cs="宋体"/>
          <w:sz w:val="20"/>
          <w:szCs w:val="20"/>
        </w:rPr>
        <w:t>备注：1.本表反映单位本年度各项支出情况。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p>
      <w:pPr>
        <w:rPr>
          <w:rFonts w:hint="default" w:cs="宋体"/>
          <w:sz w:val="21"/>
          <w:szCs w:val="21"/>
        </w:rPr>
      </w:pPr>
    </w:p>
    <w:tbl>
      <w:tblPr>
        <w:tblStyle w:val="12"/>
        <w:tblW w:w="14678" w:type="dxa"/>
        <w:tblInd w:w="0" w:type="dxa"/>
        <w:tblLayout w:type="fixed"/>
        <w:tblCellMar>
          <w:top w:w="0" w:type="dxa"/>
          <w:left w:w="0" w:type="dxa"/>
          <w:bottom w:w="0" w:type="dxa"/>
          <w:right w:w="0" w:type="dxa"/>
        </w:tblCellMar>
      </w:tblPr>
      <w:tblGrid>
        <w:gridCol w:w="2967"/>
        <w:gridCol w:w="1521"/>
        <w:gridCol w:w="3179"/>
        <w:gridCol w:w="1694"/>
        <w:gridCol w:w="1694"/>
        <w:gridCol w:w="1694"/>
        <w:gridCol w:w="1929"/>
      </w:tblGrid>
      <w:tr>
        <w:tblPrEx>
          <w:tblLayout w:type="fixed"/>
          <w:tblCellMar>
            <w:top w:w="0" w:type="dxa"/>
            <w:left w:w="0" w:type="dxa"/>
            <w:bottom w:w="0" w:type="dxa"/>
            <w:right w:w="0" w:type="dxa"/>
          </w:tblCellMar>
        </w:tblPrEx>
        <w:trPr>
          <w:trHeight w:val="90" w:hRule="atLeast"/>
        </w:trPr>
        <w:tc>
          <w:tcPr>
            <w:tcW w:w="14678"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7667" w:type="dxa"/>
            <w:gridSpan w:val="3"/>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单位</w:t>
            </w:r>
            <w:r>
              <w:rPr>
                <w:rFonts w:cs="宋体"/>
                <w:color w:val="000000"/>
                <w:sz w:val="20"/>
                <w:szCs w:val="20"/>
              </w:rPr>
              <w:t>：</w:t>
            </w:r>
            <w:r>
              <w:rPr>
                <w:color w:val="000000"/>
                <w:sz w:val="20"/>
                <w:u w:color="auto"/>
              </w:rPr>
              <w:t>秀山土家族苗族自治县溶溪镇中心卫生院</w:t>
            </w: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04</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667" w:type="dxa"/>
            <w:gridSpan w:val="3"/>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4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1019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179"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7011"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179"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510.04</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一、一般公共服务支出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二、外交支出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四、公共安全支出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五、教育支出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六、科学技术支出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七、文化旅游体育与传媒支出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八、社会保障和就业支出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78.06</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78.06</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九、卫生健康支出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406.77</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406.77</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十、节能环保支出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十一、城乡社区支出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十二、农林水支出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十三、交通运输支出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十四、资源勘探工业信息等支出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十五、商业服务业等支出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十六、金融支出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十七、援助其他地区支出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十八、自然资源海洋气象等支出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十九、住房保障支出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20.70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20.70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二十、粮油物资储备支出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二十一、国有资本经营预算支出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二十二、灾害防治及应急管理支出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二十三、其他支出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二十四、债务还本支出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二十五、债务付息支出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二十六、抗疫特别国债安排的支出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本年收入合计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510.04</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本年支出合计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505.54</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505.54</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年初财政拨款结转和结余</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31.96</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年末财政拨款结转和结余</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36.47</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36.47</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31.96</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542.00</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542.00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542.00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bl>
    <w:p>
      <w:pPr>
        <w:spacing w:line="240" w:lineRule="exact"/>
        <w:rPr>
          <w:rFonts w:hint="default" w:cs="宋体"/>
          <w:sz w:val="20"/>
          <w:szCs w:val="20"/>
        </w:rPr>
      </w:pPr>
      <w:r>
        <w:rPr>
          <w:rFonts w:cs="宋体"/>
          <w:sz w:val="20"/>
          <w:szCs w:val="20"/>
        </w:rPr>
        <w:t>备注：1.本表反映单位本年度一般公共预算财政拨款、政府性基金预算财政拨款及国有资本经营预算财政拨款的总收支和年末结转结余情况。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2"/>
        <w:tblW w:w="15322" w:type="dxa"/>
        <w:tblInd w:w="0" w:type="dxa"/>
        <w:tblLayout w:type="fixed"/>
        <w:tblCellMar>
          <w:top w:w="0" w:type="dxa"/>
          <w:left w:w="0" w:type="dxa"/>
          <w:bottom w:w="0" w:type="dxa"/>
          <w:right w:w="0" w:type="dxa"/>
        </w:tblCellMar>
      </w:tblPr>
      <w:tblGrid>
        <w:gridCol w:w="1486"/>
        <w:gridCol w:w="3895"/>
        <w:gridCol w:w="3306"/>
        <w:gridCol w:w="3300"/>
        <w:gridCol w:w="3335"/>
      </w:tblGrid>
      <w:tr>
        <w:tblPrEx>
          <w:tblLayout w:type="fixed"/>
          <w:tblCellMar>
            <w:top w:w="0" w:type="dxa"/>
            <w:left w:w="0" w:type="dxa"/>
            <w:bottom w:w="0" w:type="dxa"/>
            <w:right w:w="0" w:type="dxa"/>
          </w:tblCellMar>
        </w:tblPrEx>
        <w:trPr>
          <w:trHeight w:val="510" w:hRule="atLeast"/>
        </w:trPr>
        <w:tc>
          <w:tcPr>
            <w:tcW w:w="15322"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8687"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秀山土家族苗族自治县溶溪镇中心卫生院</w:t>
            </w: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05</w:t>
            </w:r>
            <w:r>
              <w:rPr>
                <w:rFonts w:cs="宋体"/>
                <w:color w:val="000000"/>
                <w:sz w:val="20"/>
                <w:szCs w:val="20"/>
              </w:rPr>
              <w:t>表</w:t>
            </w:r>
          </w:p>
        </w:tc>
      </w:tr>
      <w:tr>
        <w:tblPrEx>
          <w:tblLayout w:type="fixed"/>
          <w:tblCellMar>
            <w:top w:w="0" w:type="dxa"/>
            <w:left w:w="0" w:type="dxa"/>
            <w:bottom w:w="0" w:type="dxa"/>
            <w:right w:w="0" w:type="dxa"/>
          </w:tblCellMar>
        </w:tblPrEx>
        <w:trPr>
          <w:trHeight w:val="285" w:hRule="atLeast"/>
        </w:trPr>
        <w:tc>
          <w:tcPr>
            <w:tcW w:w="8687"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08" w:hRule="atLeast"/>
        </w:trPr>
        <w:tc>
          <w:tcPr>
            <w:tcW w:w="53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9941"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486"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89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30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3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5"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08" w:hRule="atLeast"/>
        </w:trPr>
        <w:tc>
          <w:tcPr>
            <w:tcW w:w="5381"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505.54</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489.10</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16.44</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78.06</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78.06</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78.06</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78.06</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18.58</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18.58</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39.49</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39.49</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20.00</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406.77</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390.34</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16.44</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312.44</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296.01</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16.44</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308.36</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296.01</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12.36</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4.08</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4.08</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71.46</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71.46</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71.46</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71.46</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22.87</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22.87</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17.25</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17.25</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5.62</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5.62</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20.70</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20.70</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20.70</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20.70</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20.70</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20.70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备注：1.本表反映单位本年度一般公共预算财政拨款支出情况。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ind w:firstLine="630" w:firstLineChars="300"/>
        <w:rPr>
          <w:rFonts w:hint="default" w:cs="宋体"/>
          <w:sz w:val="21"/>
          <w:szCs w:val="21"/>
        </w:rPr>
      </w:pPr>
      <w:r>
        <w:rPr>
          <w:rFonts w:cs="宋体"/>
          <w:sz w:val="21"/>
          <w:szCs w:val="21"/>
        </w:rPr>
        <w:br w:type="page"/>
      </w:r>
    </w:p>
    <w:tbl>
      <w:tblPr>
        <w:tblStyle w:val="12"/>
        <w:tblW w:w="15304" w:type="dxa"/>
        <w:tblInd w:w="0" w:type="dxa"/>
        <w:tblLayout w:type="fixed"/>
        <w:tblCellMar>
          <w:top w:w="0" w:type="dxa"/>
          <w:left w:w="0" w:type="dxa"/>
          <w:bottom w:w="0" w:type="dxa"/>
          <w:right w:w="0" w:type="dxa"/>
        </w:tblCellMar>
      </w:tblPr>
      <w:tblGrid>
        <w:gridCol w:w="603"/>
        <w:gridCol w:w="2730"/>
        <w:gridCol w:w="1371"/>
        <w:gridCol w:w="833"/>
        <w:gridCol w:w="1916"/>
        <w:gridCol w:w="1650"/>
        <w:gridCol w:w="805"/>
        <w:gridCol w:w="3514"/>
        <w:gridCol w:w="1882"/>
      </w:tblGrid>
      <w:tr>
        <w:tblPrEx>
          <w:tblLayout w:type="fixed"/>
          <w:tblCellMar>
            <w:top w:w="0" w:type="dxa"/>
            <w:left w:w="0" w:type="dxa"/>
            <w:bottom w:w="0" w:type="dxa"/>
            <w:right w:w="0" w:type="dxa"/>
          </w:tblCellMar>
        </w:tblPrEx>
        <w:trPr>
          <w:trHeight w:val="90" w:hRule="atLeast"/>
        </w:trPr>
        <w:tc>
          <w:tcPr>
            <w:tcW w:w="15304"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7453" w:type="dxa"/>
            <w:gridSpan w:val="5"/>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单位</w:t>
            </w:r>
            <w:r>
              <w:rPr>
                <w:rFonts w:cs="宋体"/>
                <w:color w:val="000000"/>
                <w:sz w:val="20"/>
                <w:szCs w:val="20"/>
              </w:rPr>
              <w:t>：</w:t>
            </w:r>
            <w:r>
              <w:rPr>
                <w:color w:val="000000"/>
                <w:sz w:val="20"/>
                <w:u w:color="auto"/>
              </w:rPr>
              <w:t>秀山土家族苗族自治县溶溪镇中心卫生院</w:t>
            </w: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06</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453" w:type="dxa"/>
            <w:gridSpan w:val="5"/>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7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00" w:type="dxa"/>
            <w:gridSpan w:val="6"/>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3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1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5"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14"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2"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273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37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3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91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5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0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514"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882"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451.37</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13.35</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91.87</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27.82</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0.35</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2.59</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216.18</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0.30</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39.49</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2.54</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20.00</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0.52</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17.25</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0.52</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20.70</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5.62</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9.34</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24.38</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4.71</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30305</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17.66</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9.65</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31204</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2.02</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ind w:firstLine="180" w:firstLineChars="100"/>
              <w:textAlignment w:val="center"/>
              <w:rPr>
                <w:rFonts w:hint="default" w:cs="宋体"/>
                <w:color w:val="000000"/>
                <w:sz w:val="18"/>
                <w:szCs w:val="18"/>
              </w:rPr>
            </w:pPr>
            <w:r>
              <w:rPr>
                <w:rFonts w:cs="宋体"/>
                <w:color w:val="000000"/>
                <w:sz w:val="18"/>
                <w:szCs w:val="18"/>
              </w:rPr>
              <w:t>其他资本性补助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30240</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30299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债务利息及费用支出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155"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310" w:hRule="atLeast"/>
        </w:trPr>
        <w:tc>
          <w:tcPr>
            <w:tcW w:w="3333"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475.75</w:t>
            </w:r>
            <w:r>
              <w:rPr>
                <w:rFonts w:ascii="Times New Roman" w:hAnsi="Times New Roman"/>
                <w:color w:val="000000"/>
                <w:sz w:val="18"/>
                <w:u w:color="auto"/>
              </w:rPr>
              <w:t xml:space="preserve"> </w:t>
            </w:r>
          </w:p>
        </w:tc>
        <w:tc>
          <w:tcPr>
            <w:tcW w:w="8718" w:type="dxa"/>
            <w:gridSpan w:val="5"/>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13.35</w:t>
            </w:r>
            <w:r>
              <w:rPr>
                <w:rFonts w:ascii="Times New Roman" w:hAnsi="Times New Roman"/>
                <w:color w:val="000000"/>
                <w:sz w:val="18"/>
                <w:u w:color="auto"/>
              </w:rPr>
              <w:t xml:space="preserve"> </w:t>
            </w:r>
          </w:p>
        </w:tc>
      </w:tr>
    </w:tbl>
    <w:p>
      <w:pPr>
        <w:spacing w:line="280" w:lineRule="exact"/>
        <w:rPr>
          <w:rFonts w:hint="default" w:cs="宋体"/>
          <w:sz w:val="20"/>
          <w:szCs w:val="20"/>
        </w:rPr>
      </w:pPr>
      <w:r>
        <w:rPr>
          <w:rFonts w:cs="宋体"/>
          <w:sz w:val="20"/>
          <w:szCs w:val="20"/>
        </w:rPr>
        <w:t>备注：1.本表反映单位本年度一般公共预算财政拨款基本支出明细情况。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2"/>
        <w:tblW w:w="15322" w:type="dxa"/>
        <w:tblInd w:w="0" w:type="dxa"/>
        <w:tblLayout w:type="fixed"/>
        <w:tblCellMar>
          <w:top w:w="0" w:type="dxa"/>
          <w:left w:w="0" w:type="dxa"/>
          <w:bottom w:w="0" w:type="dxa"/>
          <w:right w:w="0" w:type="dxa"/>
        </w:tblCellMar>
      </w:tblPr>
      <w:tblGrid>
        <w:gridCol w:w="1635"/>
        <w:gridCol w:w="3285"/>
        <w:gridCol w:w="1701"/>
        <w:gridCol w:w="1701"/>
        <w:gridCol w:w="1701"/>
        <w:gridCol w:w="1701"/>
        <w:gridCol w:w="1765"/>
        <w:gridCol w:w="1833"/>
      </w:tblGrid>
      <w:tr>
        <w:tblPrEx>
          <w:tblLayout w:type="fixed"/>
          <w:tblCellMar>
            <w:top w:w="0" w:type="dxa"/>
            <w:left w:w="0" w:type="dxa"/>
            <w:bottom w:w="0" w:type="dxa"/>
            <w:right w:w="0" w:type="dxa"/>
          </w:tblCellMar>
        </w:tblPrEx>
        <w:trPr>
          <w:trHeight w:val="64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621"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秀山土家族苗族自治县溶溪镇中心卫生院</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07</w:t>
            </w:r>
            <w:r>
              <w:rPr>
                <w:rFonts w:cs="宋体"/>
                <w:color w:val="000000"/>
                <w:sz w:val="20"/>
                <w:szCs w:val="20"/>
              </w:rPr>
              <w:t>表</w:t>
            </w:r>
          </w:p>
        </w:tc>
      </w:tr>
      <w:tr>
        <w:tblPrEx>
          <w:tblLayout w:type="fixed"/>
          <w:tblCellMar>
            <w:top w:w="0" w:type="dxa"/>
            <w:left w:w="0" w:type="dxa"/>
            <w:bottom w:w="0" w:type="dxa"/>
            <w:right w:w="0" w:type="dxa"/>
          </w:tblCellMar>
        </w:tblPrEx>
        <w:trPr>
          <w:trHeight w:val="329" w:hRule="atLeast"/>
        </w:trPr>
        <w:tc>
          <w:tcPr>
            <w:tcW w:w="6621"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9" w:hRule="atLeast"/>
        </w:trPr>
        <w:tc>
          <w:tcPr>
            <w:tcW w:w="49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701"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5167"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8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2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6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4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4920"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备注：本表反映单位本年度政府性基金预算财政拨款收入支出及结转和结余情况。本单位无政府性基金收支，故本表无数据。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tbl>
      <w:tblPr>
        <w:tblStyle w:val="12"/>
        <w:tblW w:w="15322" w:type="dxa"/>
        <w:tblInd w:w="0" w:type="dxa"/>
        <w:tblLayout w:type="fixed"/>
        <w:tblCellMar>
          <w:top w:w="0" w:type="dxa"/>
          <w:left w:w="0" w:type="dxa"/>
          <w:bottom w:w="0" w:type="dxa"/>
          <w:right w:w="0" w:type="dxa"/>
        </w:tblCellMar>
      </w:tblPr>
      <w:tblGrid>
        <w:gridCol w:w="2001"/>
        <w:gridCol w:w="2917"/>
        <w:gridCol w:w="3264"/>
        <w:gridCol w:w="199"/>
        <w:gridCol w:w="3463"/>
        <w:gridCol w:w="77"/>
        <w:gridCol w:w="3401"/>
      </w:tblGrid>
      <w:tr>
        <w:tblPrEx>
          <w:tblLayout w:type="fixed"/>
          <w:tblCellMar>
            <w:top w:w="0" w:type="dxa"/>
            <w:left w:w="0" w:type="dxa"/>
            <w:bottom w:w="0" w:type="dxa"/>
            <w:right w:w="0" w:type="dxa"/>
          </w:tblCellMar>
        </w:tblPrEx>
        <w:trPr>
          <w:trHeight w:val="650" w:hRule="atLeast"/>
        </w:trPr>
        <w:tc>
          <w:tcPr>
            <w:tcW w:w="15322"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818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秀山土家族苗族自治县溶溪镇中心卫生院</w:t>
            </w: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08</w:t>
            </w:r>
            <w:r>
              <w:rPr>
                <w:rFonts w:cs="宋体"/>
                <w:color w:val="000000"/>
                <w:sz w:val="20"/>
                <w:szCs w:val="20"/>
              </w:rPr>
              <w:t>表</w:t>
            </w:r>
          </w:p>
        </w:tc>
      </w:tr>
      <w:tr>
        <w:tblPrEx>
          <w:tblLayout w:type="fixed"/>
          <w:tblCellMar>
            <w:top w:w="0" w:type="dxa"/>
            <w:left w:w="0" w:type="dxa"/>
            <w:bottom w:w="0" w:type="dxa"/>
            <w:right w:w="0" w:type="dxa"/>
          </w:tblCellMar>
        </w:tblPrEx>
        <w:trPr>
          <w:trHeight w:val="332" w:hRule="atLeast"/>
        </w:trPr>
        <w:tc>
          <w:tcPr>
            <w:tcW w:w="818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40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2001"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2917"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463"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478"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488" w:hRule="atLeast"/>
        </w:trPr>
        <w:tc>
          <w:tcPr>
            <w:tcW w:w="20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29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r>
    </w:tbl>
    <w:p>
      <w:pPr>
        <w:rPr>
          <w:rFonts w:hint="default" w:cs="宋体"/>
          <w:sz w:val="21"/>
          <w:szCs w:val="21"/>
        </w:rPr>
      </w:pPr>
      <w:r>
        <w:rPr>
          <w:rFonts w:cs="宋体"/>
          <w:sz w:val="20"/>
          <w:szCs w:val="20"/>
        </w:rPr>
        <w:t>备注：本表反映单位本年度国有资本经营预算财政拨款支出情况。本单位无国有资本经营收支，故本表无数据。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hint="default" w:cs="宋体"/>
          <w:sz w:val="21"/>
          <w:szCs w:val="21"/>
        </w:rPr>
        <w:br w:type="page"/>
      </w:r>
    </w:p>
    <w:tbl>
      <w:tblPr>
        <w:tblStyle w:val="12"/>
        <w:tblW w:w="14131" w:type="dxa"/>
        <w:tblInd w:w="0" w:type="dxa"/>
        <w:tblLayout w:type="fixed"/>
        <w:tblCellMar>
          <w:top w:w="0" w:type="dxa"/>
          <w:left w:w="170" w:type="dxa"/>
          <w:bottom w:w="0" w:type="dxa"/>
          <w:right w:w="170" w:type="dxa"/>
        </w:tblCellMar>
      </w:tblPr>
      <w:tblGrid>
        <w:gridCol w:w="3179"/>
        <w:gridCol w:w="2416"/>
        <w:gridCol w:w="2375"/>
        <w:gridCol w:w="3674"/>
        <w:gridCol w:w="2487"/>
      </w:tblGrid>
      <w:tr>
        <w:tblPrEx>
          <w:tblLayout w:type="fixed"/>
          <w:tblCellMar>
            <w:top w:w="0" w:type="dxa"/>
            <w:left w:w="170" w:type="dxa"/>
            <w:bottom w:w="0" w:type="dxa"/>
            <w:right w:w="170" w:type="dxa"/>
          </w:tblCellMar>
        </w:tblPrEx>
        <w:trPr>
          <w:trHeight w:val="343" w:hRule="atLeast"/>
        </w:trPr>
        <w:tc>
          <w:tcPr>
            <w:tcW w:w="14131" w:type="dxa"/>
            <w:gridSpan w:val="5"/>
            <w:shd w:val="clear" w:color="auto" w:fill="auto"/>
            <w:tcMar>
              <w:top w:w="15" w:type="dxa"/>
              <w:left w:w="15" w:type="dxa"/>
              <w:right w:w="15" w:type="dxa"/>
            </w:tcMar>
            <w:vAlign w:val="bottom"/>
          </w:tcPr>
          <w:p>
            <w:pPr>
              <w:spacing w:line="400" w:lineRule="exact"/>
              <w:jc w:val="center"/>
              <w:textAlignment w:val="bottom"/>
              <w:rPr>
                <w:rFonts w:hint="default" w:cs="宋体"/>
                <w:b/>
                <w:color w:val="000000"/>
                <w:kern w:val="2"/>
                <w:sz w:val="32"/>
                <w:szCs w:val="32"/>
              </w:rPr>
            </w:pPr>
            <w:r>
              <w:rPr>
                <w:rFonts w:cs="宋体"/>
                <w:b/>
                <w:color w:val="000000"/>
                <w:kern w:val="2"/>
                <w:sz w:val="32"/>
                <w:szCs w:val="32"/>
              </w:rPr>
              <w:t>机构运行信息表</w:t>
            </w:r>
          </w:p>
        </w:tc>
      </w:tr>
      <w:tr>
        <w:tblPrEx>
          <w:tblLayout w:type="fixed"/>
          <w:tblCellMar>
            <w:top w:w="0" w:type="dxa"/>
            <w:left w:w="170" w:type="dxa"/>
            <w:bottom w:w="0" w:type="dxa"/>
            <w:right w:w="170" w:type="dxa"/>
          </w:tblCellMar>
        </w:tblPrEx>
        <w:trPr>
          <w:trHeight w:val="244" w:hRule="atLeast"/>
        </w:trPr>
        <w:tc>
          <w:tcPr>
            <w:tcW w:w="3179"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16" w:type="dxa"/>
            <w:shd w:val="clear" w:color="auto" w:fill="auto"/>
            <w:tcMar>
              <w:top w:w="15" w:type="dxa"/>
              <w:left w:w="15" w:type="dxa"/>
              <w:right w:w="15" w:type="dxa"/>
            </w:tcMar>
            <w:vAlign w:val="bottom"/>
          </w:tcPr>
          <w:p>
            <w:pPr>
              <w:spacing w:line="280" w:lineRule="exact"/>
              <w:jc w:val="center"/>
              <w:rPr>
                <w:rFonts w:hint="default" w:cs="宋体"/>
                <w:color w:val="000000"/>
                <w:kern w:val="2"/>
                <w:sz w:val="20"/>
                <w:szCs w:val="20"/>
              </w:rPr>
            </w:pPr>
          </w:p>
        </w:tc>
        <w:tc>
          <w:tcPr>
            <w:tcW w:w="2375" w:type="dxa"/>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公开</w:t>
            </w:r>
            <w:r>
              <w:rPr>
                <w:rFonts w:hint="default" w:ascii="Times New Roman" w:hAnsi="Times New Roman"/>
                <w:color w:val="000000"/>
                <w:kern w:val="2"/>
                <w:sz w:val="20"/>
                <w:szCs w:val="20"/>
              </w:rPr>
              <w:t>09</w:t>
            </w:r>
            <w:r>
              <w:rPr>
                <w:rFonts w:cs="宋体"/>
                <w:color w:val="000000"/>
                <w:kern w:val="2"/>
                <w:sz w:val="20"/>
                <w:szCs w:val="20"/>
              </w:rPr>
              <w:t>表</w:t>
            </w:r>
          </w:p>
        </w:tc>
      </w:tr>
      <w:tr>
        <w:tblPrEx>
          <w:tblLayout w:type="fixed"/>
          <w:tblCellMar>
            <w:top w:w="0" w:type="dxa"/>
            <w:left w:w="170" w:type="dxa"/>
            <w:bottom w:w="0" w:type="dxa"/>
            <w:right w:w="170" w:type="dxa"/>
          </w:tblCellMar>
        </w:tblPrEx>
        <w:trPr>
          <w:trHeight w:val="244" w:hRule="atLeast"/>
        </w:trPr>
        <w:tc>
          <w:tcPr>
            <w:tcW w:w="5595" w:type="dxa"/>
            <w:gridSpan w:val="2"/>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r>
              <w:rPr>
                <w:rFonts w:hint="eastAsia" w:cs="宋体"/>
                <w:kern w:val="2"/>
                <w:sz w:val="20"/>
                <w:szCs w:val="20"/>
                <w:lang w:eastAsia="zh-CN"/>
              </w:rPr>
              <w:t>单位</w:t>
            </w:r>
            <w:r>
              <w:rPr>
                <w:rFonts w:cs="宋体"/>
                <w:color w:val="000000"/>
                <w:kern w:val="2"/>
                <w:sz w:val="20"/>
                <w:szCs w:val="20"/>
              </w:rPr>
              <w:t>：</w:t>
            </w:r>
            <w:r>
              <w:rPr>
                <w:color w:val="000000"/>
                <w:sz w:val="20"/>
                <w:u w:color="auto"/>
              </w:rPr>
              <w:t>秀山土家族苗族自治县溶溪镇中心卫生院</w:t>
            </w:r>
          </w:p>
        </w:tc>
        <w:tc>
          <w:tcPr>
            <w:tcW w:w="237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单位：</w:t>
            </w:r>
            <w:r>
              <w:rPr>
                <w:rFonts w:cs="宋体"/>
                <w:kern w:val="2"/>
                <w:sz w:val="20"/>
                <w:szCs w:val="20"/>
              </w:rPr>
              <w:t>万元</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预算数</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一、“三公”经费支出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五、机关运行经费</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（一）支出合计</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（一）行政单位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（二）参照公务员法管理事业单位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2．公务用车购置及运行维护费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六、资产信息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（1）公务用车购置费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（一）车辆数合计（辆）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1</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1．副部（省）级及以上领导用车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2．主要领导干部用车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（1）国内接待费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3．机要通信用车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4．应急保障用车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（2）国（境）外接待费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5．执法执勤用车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（二）相关统计数</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6．特种专业技术用车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1</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1．因公出国（境）团组数（个）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7．离退休干部用车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2．因公出国（境）人次数（人）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8．其他用车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3．公务用车购置数（辆）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（二）单价100万元（含）以上设备（不含车辆）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4．公务用车保有量（辆）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七、政府采购支出信息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5．国内公务接待批次（个）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（一）政府采购支出合计</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0.46</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1．政府采购货物支出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0.46</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6．国内公务接待人次（人）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2．政府采购工程支出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3．政府采购服务支出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7．国（境）外公务接待批次（个）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（二）政府采购授予中小企业合同金额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0.46</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8．国（境）外公务接待人次（人）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其中：授予小微企业合同金额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0.46</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86"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二、会议费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三、培训费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sz w:val="16"/>
                <w:szCs w:val="16"/>
              </w:rPr>
            </w:pPr>
            <w:r>
              <w:rPr>
                <w:rFonts w:cs="宋体"/>
                <w:b/>
                <w:bCs/>
                <w:color w:val="000000"/>
                <w:sz w:val="16"/>
                <w:szCs w:val="16"/>
              </w:rPr>
              <w:t>四、差旅费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sz w:val="16"/>
                <w:szCs w:val="16"/>
              </w:rPr>
            </w:pPr>
          </w:p>
        </w:tc>
      </w:tr>
    </w:tbl>
    <w:p>
      <w:pPr>
        <w:rPr>
          <w:rFonts w:hint="default"/>
          <w:sz w:val="18"/>
          <w:szCs w:val="18"/>
        </w:rPr>
      </w:pPr>
      <w:r>
        <w:rPr>
          <w:rFonts w:cs="宋体"/>
          <w:sz w:val="18"/>
          <w:szCs w:val="18"/>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sz w:val="18"/>
          <w:szCs w:val="18"/>
        </w:rPr>
        <w:br w:type="textWrapping"/>
      </w:r>
      <w:r>
        <w:rPr>
          <w:rFonts w:cs="宋体"/>
          <w:sz w:val="18"/>
          <w:szCs w:val="18"/>
        </w:rPr>
        <w:t xml:space="preserve">      2.本套报表金额单位转换时可能存在尾数误差。</w:t>
      </w:r>
      <w:r>
        <w:rPr>
          <w:rFonts w:cs="宋体"/>
          <w:sz w:val="18"/>
          <w:szCs w:val="18"/>
        </w:rPr>
        <w:br w:type="textWrapping"/>
      </w:r>
      <w:r>
        <w:rPr>
          <w:rFonts w:cs="宋体"/>
          <w:sz w:val="18"/>
          <w:szCs w:val="18"/>
        </w:rPr>
        <w:br w:type="textWrapping"/>
      </w:r>
    </w:p>
    <w:sectPr>
      <w:headerReference r:id="rId4" w:type="default"/>
      <w:footerReference r:id="rId5" w:type="default"/>
      <w:pgSz w:w="16783" w:h="11850"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fldChar w:fldCharType="begin"/>
                          </w:r>
                          <w:r>
                            <w:instrText xml:space="preserve"> PAGE  \* MERGEFORMAT </w:instrText>
                          </w:r>
                          <w:r>
                            <w:fldChar w:fldCharType="separate"/>
                          </w:r>
                          <w:r>
                            <w:rPr>
                              <w:rFonts w:hint="default"/>
                            </w:rPr>
                            <w:t>- 23 -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6"/>
                      <w:rPr>
                        <w:rFonts w:hint="default"/>
                      </w:rPr>
                    </w:pPr>
                    <w:r>
                      <w:fldChar w:fldCharType="begin"/>
                    </w:r>
                    <w:r>
                      <w:instrText xml:space="preserve"> PAGE  \* MERGEFORMAT </w:instrText>
                    </w:r>
                    <w:r>
                      <w:fldChar w:fldCharType="separate"/>
                    </w:r>
                    <w:r>
                      <w:rPr>
                        <w:rFonts w:hint="default"/>
                      </w:rPr>
                      <w:t>- 23 -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rPr>
        <w:rFonts w:hint="default"/>
      </w:rPr>
    </w:pPr>
    <w:r>
      <w:rPr>
        <w:rFonts w:hint="default"/>
      </w:rPr>
      <mc:AlternateContent>
        <mc:Choice Requires="wps">
          <w:drawing>
            <wp:anchor distT="0" distB="0" distL="114300" distR="114300" simplePos="0" relativeHeight="251664384"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63360"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6"/>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63360;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6"/>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1758"/>
        <w:tab w:val="clear" w:pos="4153"/>
        <w:tab w:val="clear" w:pos="8306"/>
      </w:tabs>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AFCE0D"/>
    <w:multiLevelType w:val="multilevel"/>
    <w:tmpl w:val="C3AFCE0D"/>
    <w:lvl w:ilvl="0" w:tentative="0">
      <w:start w:val="1"/>
      <w:numFmt w:val="none"/>
      <w:pStyle w:val="4"/>
      <w:suff w:val="space"/>
      <w:lvlText w:val=""/>
      <w:lvlJc w:val="left"/>
      <w:pPr>
        <w:ind w:left="0" w:firstLine="0"/>
      </w:pPr>
      <w:rPr>
        <w:rFonts w:hint="eastAsia"/>
      </w:rPr>
    </w:lvl>
    <w:lvl w:ilvl="1" w:tentative="0">
      <w:start w:val="1"/>
      <w:numFmt w:val="koreanDigital2"/>
      <w:suff w:val="space"/>
      <w:lvlText w:val="第%2节"/>
      <w:lvlJc w:val="left"/>
      <w:pPr>
        <w:ind w:left="0" w:firstLine="0"/>
      </w:pPr>
      <w:rPr>
        <w:rFonts w:hint="eastAsia"/>
      </w:rPr>
    </w:lvl>
    <w:lvl w:ilvl="2" w:tentative="0">
      <w:start w:val="1"/>
      <w:numFmt w:val="chineseCountingThousand"/>
      <w:suff w:val="space"/>
      <w:lvlText w:val="%3、"/>
      <w:lvlJc w:val="left"/>
      <w:pPr>
        <w:ind w:left="0" w:firstLine="0"/>
      </w:pPr>
      <w:rPr>
        <w:rFonts w:hint="eastAsia"/>
      </w:rPr>
    </w:lvl>
    <w:lvl w:ilvl="3" w:tentative="0">
      <w:start w:val="1"/>
      <w:numFmt w:val="chineseCountingThousand"/>
      <w:suff w:val="space"/>
      <w:lvlText w:val="%1%4、"/>
      <w:lvlJc w:val="left"/>
      <w:pPr>
        <w:ind w:left="0" w:firstLine="0"/>
      </w:pPr>
      <w:rPr>
        <w:rFonts w:hint="eastAsia"/>
      </w:rPr>
    </w:lvl>
    <w:lvl w:ilvl="4" w:tentative="0">
      <w:start w:val="1"/>
      <w:numFmt w:val="chineseCountingThousand"/>
      <w:suff w:val="space"/>
      <w:lvlText w:val="%1（%5）"/>
      <w:lvlJc w:val="left"/>
      <w:pPr>
        <w:ind w:left="0" w:firstLine="0"/>
      </w:pPr>
      <w:rPr>
        <w:rFonts w:hint="eastAsia"/>
      </w:rPr>
    </w:lvl>
    <w:lvl w:ilvl="5" w:tentative="0">
      <w:start w:val="1"/>
      <w:numFmt w:val="none"/>
      <w:suff w:val="space"/>
      <w:lvlText w:val=""/>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1">
    <w:nsid w:val="C5339A02"/>
    <w:multiLevelType w:val="singleLevel"/>
    <w:tmpl w:val="C5339A02"/>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0239C6"/>
    <w:rsid w:val="001D3BB7"/>
    <w:rsid w:val="002B254B"/>
    <w:rsid w:val="0034050A"/>
    <w:rsid w:val="0044504F"/>
    <w:rsid w:val="00466C9B"/>
    <w:rsid w:val="00486CFC"/>
    <w:rsid w:val="00491DDD"/>
    <w:rsid w:val="00550ABE"/>
    <w:rsid w:val="005B1480"/>
    <w:rsid w:val="00623A85"/>
    <w:rsid w:val="00770383"/>
    <w:rsid w:val="007819D4"/>
    <w:rsid w:val="007B419D"/>
    <w:rsid w:val="007B7C4B"/>
    <w:rsid w:val="007D3D39"/>
    <w:rsid w:val="00984C6A"/>
    <w:rsid w:val="00994AF7"/>
    <w:rsid w:val="009B67B8"/>
    <w:rsid w:val="009C14C9"/>
    <w:rsid w:val="009D2B67"/>
    <w:rsid w:val="009E1452"/>
    <w:rsid w:val="00A566F9"/>
    <w:rsid w:val="00AF2751"/>
    <w:rsid w:val="00B03CCD"/>
    <w:rsid w:val="00BE2B89"/>
    <w:rsid w:val="00BF0D89"/>
    <w:rsid w:val="00C10E9E"/>
    <w:rsid w:val="00C20C3E"/>
    <w:rsid w:val="00C5163E"/>
    <w:rsid w:val="00CF2ACF"/>
    <w:rsid w:val="00D03AAF"/>
    <w:rsid w:val="00DD0539"/>
    <w:rsid w:val="00E07662"/>
    <w:rsid w:val="00E368E9"/>
    <w:rsid w:val="00EE1E33"/>
    <w:rsid w:val="00F73F90"/>
    <w:rsid w:val="00FB4B3B"/>
    <w:rsid w:val="01474EBF"/>
    <w:rsid w:val="01F3521E"/>
    <w:rsid w:val="036E2DA9"/>
    <w:rsid w:val="03B87EA0"/>
    <w:rsid w:val="03E3214F"/>
    <w:rsid w:val="03E84DD2"/>
    <w:rsid w:val="044C50BA"/>
    <w:rsid w:val="05BC6D49"/>
    <w:rsid w:val="06194FF1"/>
    <w:rsid w:val="06A2550B"/>
    <w:rsid w:val="06F80EE2"/>
    <w:rsid w:val="07001CCA"/>
    <w:rsid w:val="075678DB"/>
    <w:rsid w:val="079D7CC7"/>
    <w:rsid w:val="08051BCA"/>
    <w:rsid w:val="086C12F4"/>
    <w:rsid w:val="08705944"/>
    <w:rsid w:val="08BA052C"/>
    <w:rsid w:val="08CC25FD"/>
    <w:rsid w:val="08DB07BA"/>
    <w:rsid w:val="0969353F"/>
    <w:rsid w:val="098305D0"/>
    <w:rsid w:val="09B1218B"/>
    <w:rsid w:val="0A3317EA"/>
    <w:rsid w:val="0A5C4B69"/>
    <w:rsid w:val="0A86124A"/>
    <w:rsid w:val="0AB54CC0"/>
    <w:rsid w:val="0B4D1AAF"/>
    <w:rsid w:val="0B9335CE"/>
    <w:rsid w:val="0BF2311A"/>
    <w:rsid w:val="0C7927C4"/>
    <w:rsid w:val="0C9B098C"/>
    <w:rsid w:val="0CF91384"/>
    <w:rsid w:val="0D673E11"/>
    <w:rsid w:val="0DDA54E4"/>
    <w:rsid w:val="0E3A5F83"/>
    <w:rsid w:val="0F836721"/>
    <w:rsid w:val="0FA25D96"/>
    <w:rsid w:val="0FBD3C60"/>
    <w:rsid w:val="107B59E5"/>
    <w:rsid w:val="10EC0126"/>
    <w:rsid w:val="10F70B9A"/>
    <w:rsid w:val="111445C7"/>
    <w:rsid w:val="114278C6"/>
    <w:rsid w:val="1158083A"/>
    <w:rsid w:val="11643A4B"/>
    <w:rsid w:val="11ED0F98"/>
    <w:rsid w:val="11F03528"/>
    <w:rsid w:val="12C921C4"/>
    <w:rsid w:val="13871C70"/>
    <w:rsid w:val="13A71CB4"/>
    <w:rsid w:val="13AF1D43"/>
    <w:rsid w:val="13CE1647"/>
    <w:rsid w:val="13FD55AB"/>
    <w:rsid w:val="14200702"/>
    <w:rsid w:val="14370EA1"/>
    <w:rsid w:val="145D6F41"/>
    <w:rsid w:val="163A6CEE"/>
    <w:rsid w:val="173708E3"/>
    <w:rsid w:val="17C374FC"/>
    <w:rsid w:val="182E4AB6"/>
    <w:rsid w:val="189079DC"/>
    <w:rsid w:val="189B0D0B"/>
    <w:rsid w:val="18B43F7C"/>
    <w:rsid w:val="191C433B"/>
    <w:rsid w:val="194A1770"/>
    <w:rsid w:val="19B906A4"/>
    <w:rsid w:val="1B6F15B6"/>
    <w:rsid w:val="1BAA2EDC"/>
    <w:rsid w:val="1CA55E64"/>
    <w:rsid w:val="1D014A01"/>
    <w:rsid w:val="1D022362"/>
    <w:rsid w:val="1D1B04B0"/>
    <w:rsid w:val="1DA52501"/>
    <w:rsid w:val="1DBD6767"/>
    <w:rsid w:val="1DC52125"/>
    <w:rsid w:val="1DD26311"/>
    <w:rsid w:val="1E374ACB"/>
    <w:rsid w:val="1ECF0A66"/>
    <w:rsid w:val="1EF67CA4"/>
    <w:rsid w:val="1F020D3A"/>
    <w:rsid w:val="1F2C5189"/>
    <w:rsid w:val="1F4B0B02"/>
    <w:rsid w:val="1FBB35CD"/>
    <w:rsid w:val="1FCD26AF"/>
    <w:rsid w:val="20642787"/>
    <w:rsid w:val="21556F04"/>
    <w:rsid w:val="22403BD3"/>
    <w:rsid w:val="235417B6"/>
    <w:rsid w:val="24B92327"/>
    <w:rsid w:val="24C14514"/>
    <w:rsid w:val="24F25A92"/>
    <w:rsid w:val="2533755C"/>
    <w:rsid w:val="25656446"/>
    <w:rsid w:val="25791755"/>
    <w:rsid w:val="26396DF4"/>
    <w:rsid w:val="26DF7EF9"/>
    <w:rsid w:val="27167136"/>
    <w:rsid w:val="271B442C"/>
    <w:rsid w:val="27B23302"/>
    <w:rsid w:val="29310A5F"/>
    <w:rsid w:val="29C37A35"/>
    <w:rsid w:val="2A076083"/>
    <w:rsid w:val="2A73162E"/>
    <w:rsid w:val="2B167953"/>
    <w:rsid w:val="2B200583"/>
    <w:rsid w:val="2B8209DE"/>
    <w:rsid w:val="2B821C91"/>
    <w:rsid w:val="2BF81A22"/>
    <w:rsid w:val="2C636760"/>
    <w:rsid w:val="2C6762A3"/>
    <w:rsid w:val="2DF41D09"/>
    <w:rsid w:val="2FCA4B37"/>
    <w:rsid w:val="2FDC1914"/>
    <w:rsid w:val="2FE029D7"/>
    <w:rsid w:val="2FF06E00"/>
    <w:rsid w:val="30586FEC"/>
    <w:rsid w:val="315F0B22"/>
    <w:rsid w:val="31D84415"/>
    <w:rsid w:val="32285F6F"/>
    <w:rsid w:val="32770556"/>
    <w:rsid w:val="329C0913"/>
    <w:rsid w:val="32AA0460"/>
    <w:rsid w:val="3337290D"/>
    <w:rsid w:val="33E31118"/>
    <w:rsid w:val="33EF7674"/>
    <w:rsid w:val="342D7BC6"/>
    <w:rsid w:val="352930DB"/>
    <w:rsid w:val="35573069"/>
    <w:rsid w:val="355F6038"/>
    <w:rsid w:val="358C217E"/>
    <w:rsid w:val="36C9128A"/>
    <w:rsid w:val="37841E99"/>
    <w:rsid w:val="37BF1123"/>
    <w:rsid w:val="383C3F15"/>
    <w:rsid w:val="38BE4696"/>
    <w:rsid w:val="3939115E"/>
    <w:rsid w:val="39AB7AFE"/>
    <w:rsid w:val="39B82A39"/>
    <w:rsid w:val="39C42CA8"/>
    <w:rsid w:val="39DC4FD6"/>
    <w:rsid w:val="39F03D7A"/>
    <w:rsid w:val="39F33306"/>
    <w:rsid w:val="3A2C1C67"/>
    <w:rsid w:val="3A2C6DA1"/>
    <w:rsid w:val="3A6A77C9"/>
    <w:rsid w:val="3ADD7F09"/>
    <w:rsid w:val="3B1705E5"/>
    <w:rsid w:val="3B18334B"/>
    <w:rsid w:val="3B36794F"/>
    <w:rsid w:val="3B6F6EE0"/>
    <w:rsid w:val="3C566AD6"/>
    <w:rsid w:val="3C594871"/>
    <w:rsid w:val="3C6A5B02"/>
    <w:rsid w:val="3D2757A1"/>
    <w:rsid w:val="3D3D4FC4"/>
    <w:rsid w:val="3DDF3AB1"/>
    <w:rsid w:val="3E1D0952"/>
    <w:rsid w:val="3E42660A"/>
    <w:rsid w:val="3E7555B1"/>
    <w:rsid w:val="3E787ED9"/>
    <w:rsid w:val="3F032E93"/>
    <w:rsid w:val="3F0527E5"/>
    <w:rsid w:val="3F4C52C6"/>
    <w:rsid w:val="3F694D83"/>
    <w:rsid w:val="3F885DCC"/>
    <w:rsid w:val="3FCD675E"/>
    <w:rsid w:val="4004000C"/>
    <w:rsid w:val="40BD5482"/>
    <w:rsid w:val="411B6CE5"/>
    <w:rsid w:val="412070D7"/>
    <w:rsid w:val="41314E40"/>
    <w:rsid w:val="41E0734B"/>
    <w:rsid w:val="426C1EA8"/>
    <w:rsid w:val="42736402"/>
    <w:rsid w:val="42E86A87"/>
    <w:rsid w:val="43307B09"/>
    <w:rsid w:val="436D44AF"/>
    <w:rsid w:val="439A3EB9"/>
    <w:rsid w:val="43A2191B"/>
    <w:rsid w:val="43BB152F"/>
    <w:rsid w:val="44C37687"/>
    <w:rsid w:val="45CB699A"/>
    <w:rsid w:val="46423C66"/>
    <w:rsid w:val="465B470D"/>
    <w:rsid w:val="469D6AD4"/>
    <w:rsid w:val="471E6C84"/>
    <w:rsid w:val="4748792B"/>
    <w:rsid w:val="475D719D"/>
    <w:rsid w:val="47674801"/>
    <w:rsid w:val="48225EF7"/>
    <w:rsid w:val="488F422B"/>
    <w:rsid w:val="48E36915"/>
    <w:rsid w:val="48EB6572"/>
    <w:rsid w:val="495C4A24"/>
    <w:rsid w:val="497135DF"/>
    <w:rsid w:val="4A263DF2"/>
    <w:rsid w:val="4A2F278B"/>
    <w:rsid w:val="4A6F6675"/>
    <w:rsid w:val="4B135857"/>
    <w:rsid w:val="4B7951CB"/>
    <w:rsid w:val="4B7C315C"/>
    <w:rsid w:val="4C367B45"/>
    <w:rsid w:val="4C9316A8"/>
    <w:rsid w:val="4D1F53CA"/>
    <w:rsid w:val="4DAC4ACA"/>
    <w:rsid w:val="4DBE01D2"/>
    <w:rsid w:val="4F0C6BA3"/>
    <w:rsid w:val="4F186D58"/>
    <w:rsid w:val="50F06B6E"/>
    <w:rsid w:val="51D21804"/>
    <w:rsid w:val="52234D33"/>
    <w:rsid w:val="522F6E0C"/>
    <w:rsid w:val="52463BA1"/>
    <w:rsid w:val="52F163D4"/>
    <w:rsid w:val="531A2DB4"/>
    <w:rsid w:val="53C0244D"/>
    <w:rsid w:val="53DD4D4E"/>
    <w:rsid w:val="53E578CE"/>
    <w:rsid w:val="541330F0"/>
    <w:rsid w:val="54272666"/>
    <w:rsid w:val="543B029D"/>
    <w:rsid w:val="54861779"/>
    <w:rsid w:val="552256E1"/>
    <w:rsid w:val="554E5773"/>
    <w:rsid w:val="555829E0"/>
    <w:rsid w:val="555A3CBC"/>
    <w:rsid w:val="5582012B"/>
    <w:rsid w:val="558E4E05"/>
    <w:rsid w:val="55BE2E85"/>
    <w:rsid w:val="56530F5D"/>
    <w:rsid w:val="567700D3"/>
    <w:rsid w:val="569E5A73"/>
    <w:rsid w:val="56FF7E9E"/>
    <w:rsid w:val="578867FC"/>
    <w:rsid w:val="5842572D"/>
    <w:rsid w:val="590F2FF0"/>
    <w:rsid w:val="5A3B59D6"/>
    <w:rsid w:val="5AD134D8"/>
    <w:rsid w:val="5BF41F67"/>
    <w:rsid w:val="5C263CE4"/>
    <w:rsid w:val="5C5D2777"/>
    <w:rsid w:val="5CF66BF3"/>
    <w:rsid w:val="5D290C69"/>
    <w:rsid w:val="5D901299"/>
    <w:rsid w:val="5DA80C2C"/>
    <w:rsid w:val="5F230A01"/>
    <w:rsid w:val="5F2D4A41"/>
    <w:rsid w:val="60C74F6C"/>
    <w:rsid w:val="61015958"/>
    <w:rsid w:val="61025A59"/>
    <w:rsid w:val="613D5BBC"/>
    <w:rsid w:val="61536C39"/>
    <w:rsid w:val="61894431"/>
    <w:rsid w:val="627C360F"/>
    <w:rsid w:val="62944DD7"/>
    <w:rsid w:val="6319381F"/>
    <w:rsid w:val="63C25DC5"/>
    <w:rsid w:val="63C62057"/>
    <w:rsid w:val="64571EF5"/>
    <w:rsid w:val="64FB113D"/>
    <w:rsid w:val="656152C6"/>
    <w:rsid w:val="6587477F"/>
    <w:rsid w:val="658C3A08"/>
    <w:rsid w:val="65C031CA"/>
    <w:rsid w:val="65CE6852"/>
    <w:rsid w:val="66267C04"/>
    <w:rsid w:val="663F505A"/>
    <w:rsid w:val="66AF5D7C"/>
    <w:rsid w:val="66EE5541"/>
    <w:rsid w:val="67924660"/>
    <w:rsid w:val="68407834"/>
    <w:rsid w:val="6883293E"/>
    <w:rsid w:val="688412AD"/>
    <w:rsid w:val="68EB1B71"/>
    <w:rsid w:val="696C0310"/>
    <w:rsid w:val="6A6C7940"/>
    <w:rsid w:val="6A9F1565"/>
    <w:rsid w:val="6AAD2300"/>
    <w:rsid w:val="6B474EF5"/>
    <w:rsid w:val="6C0A5AC5"/>
    <w:rsid w:val="6C122E57"/>
    <w:rsid w:val="6C560CAE"/>
    <w:rsid w:val="6C576495"/>
    <w:rsid w:val="6D903FF5"/>
    <w:rsid w:val="6DA955B8"/>
    <w:rsid w:val="6DE346AB"/>
    <w:rsid w:val="6DE5391A"/>
    <w:rsid w:val="6EFD1324"/>
    <w:rsid w:val="6F5A53AC"/>
    <w:rsid w:val="6FAC003D"/>
    <w:rsid w:val="6FD926BF"/>
    <w:rsid w:val="6FE55E12"/>
    <w:rsid w:val="6FFB2E76"/>
    <w:rsid w:val="708F6F7F"/>
    <w:rsid w:val="70D94BD3"/>
    <w:rsid w:val="71574775"/>
    <w:rsid w:val="71C34D91"/>
    <w:rsid w:val="72DB435C"/>
    <w:rsid w:val="72E2613A"/>
    <w:rsid w:val="72F771F4"/>
    <w:rsid w:val="73934AD2"/>
    <w:rsid w:val="750837F0"/>
    <w:rsid w:val="754758CF"/>
    <w:rsid w:val="75595ECD"/>
    <w:rsid w:val="764F62AB"/>
    <w:rsid w:val="765C45EC"/>
    <w:rsid w:val="768A7619"/>
    <w:rsid w:val="772E1EBA"/>
    <w:rsid w:val="781926BC"/>
    <w:rsid w:val="796D60A4"/>
    <w:rsid w:val="797A664A"/>
    <w:rsid w:val="79A031D5"/>
    <w:rsid w:val="79B47FDF"/>
    <w:rsid w:val="79E569A9"/>
    <w:rsid w:val="7A1525F7"/>
    <w:rsid w:val="7B420052"/>
    <w:rsid w:val="7BBE082E"/>
    <w:rsid w:val="7BD06A28"/>
    <w:rsid w:val="7C3A7C0B"/>
    <w:rsid w:val="7C5248E4"/>
    <w:rsid w:val="7C566698"/>
    <w:rsid w:val="7C5866A3"/>
    <w:rsid w:val="7D7406BB"/>
    <w:rsid w:val="7DE94331"/>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paragraph" w:styleId="4">
    <w:name w:val="heading 1"/>
    <w:basedOn w:val="1"/>
    <w:next w:val="1"/>
    <w:qFormat/>
    <w:uiPriority w:val="0"/>
    <w:pPr>
      <w:numPr>
        <w:ilvl w:val="0"/>
        <w:numId w:val="1"/>
      </w:numPr>
      <w:spacing w:line="540" w:lineRule="exact"/>
      <w:jc w:val="center"/>
      <w:outlineLvl w:val="0"/>
    </w:pPr>
    <w:rPr>
      <w:rFonts w:ascii="Times New Roman" w:hAnsi="Times New Roman" w:eastAsia="方正小标宋_GBK" w:cs="Times New Roman"/>
      <w:b/>
      <w:bCs/>
      <w:kern w:val="44"/>
      <w:sz w:val="44"/>
      <w:szCs w:val="44"/>
    </w:rPr>
  </w:style>
  <w:style w:type="character" w:default="1" w:styleId="10">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semiHidden/>
    <w:unhideWhenUsed/>
    <w:qFormat/>
    <w:uiPriority w:val="1"/>
    <w:pPr>
      <w:widowControl w:val="0"/>
      <w:ind w:left="101" w:firstLine="679"/>
    </w:pPr>
    <w:rPr>
      <w:rFonts w:ascii="Arial" w:hAnsi="Arial" w:cstheme="minorBidi"/>
      <w:sz w:val="34"/>
      <w:szCs w:val="34"/>
      <w:lang w:eastAsia="en-US"/>
    </w:rPr>
  </w:style>
  <w:style w:type="paragraph" w:styleId="3">
    <w:name w:val="Date"/>
    <w:basedOn w:val="1"/>
    <w:next w:val="1"/>
    <w:qFormat/>
    <w:uiPriority w:val="0"/>
    <w:pPr>
      <w:ind w:left="100" w:leftChars="2500"/>
    </w:pPr>
  </w:style>
  <w:style w:type="paragraph" w:styleId="5">
    <w:name w:val="Balloon Text"/>
    <w:basedOn w:val="1"/>
    <w:link w:val="18"/>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9">
    <w:name w:val="Normal (Web)"/>
    <w:basedOn w:val="1"/>
    <w:unhideWhenUsed/>
    <w:qFormat/>
    <w:uiPriority w:val="0"/>
    <w:pPr>
      <w:spacing w:before="100" w:beforeAutospacing="1" w:after="100" w:afterAutospacing="1"/>
    </w:pPr>
  </w:style>
  <w:style w:type="character" w:styleId="11">
    <w:name w:val="Strong"/>
    <w:qFormat/>
    <w:uiPriority w:val="0"/>
    <w:rPr>
      <w:b/>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列出段落1"/>
    <w:basedOn w:val="1"/>
    <w:qFormat/>
    <w:uiPriority w:val="99"/>
    <w:pPr>
      <w:ind w:firstLine="420" w:firstLineChars="200"/>
    </w:pPr>
    <w:rPr>
      <w:rFonts w:hint="default"/>
    </w:rPr>
  </w:style>
  <w:style w:type="paragraph" w:customStyle="1" w:styleId="15">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6">
    <w:name w:val="21"/>
    <w:qFormat/>
    <w:uiPriority w:val="0"/>
    <w:rPr>
      <w:rFonts w:hint="default" w:ascii="Wingdings" w:hAnsi="Wingdings" w:cs="Wingdings"/>
      <w:b/>
      <w:bCs/>
    </w:rPr>
  </w:style>
  <w:style w:type="paragraph" w:customStyle="1" w:styleId="17">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8">
    <w:name w:val="批注框文本 Char"/>
    <w:basedOn w:val="10"/>
    <w:link w:val="5"/>
    <w:qFormat/>
    <w:uiPriority w:val="0"/>
    <w:rPr>
      <w:rFonts w:ascii="宋体" w:hAnsi="宋体"/>
      <w:sz w:val="18"/>
      <w:szCs w:val="18"/>
    </w:rPr>
  </w:style>
  <w:style w:type="paragraph" w:customStyle="1" w:styleId="19">
    <w:name w:val="List Paragraph"/>
    <w:basedOn w:val="1"/>
    <w:qFormat/>
    <w:uiPriority w:val="99"/>
    <w:pPr>
      <w:ind w:firstLine="420" w:firstLineChars="200"/>
    </w:pPr>
    <w:rPr>
      <w:rFonts w:hint="default" w:ascii="宋体" w:hAnsi="宋体"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3935</Words>
  <Characters>22430</Characters>
  <Lines>186</Lines>
  <Paragraphs>52</Paragraphs>
  <TotalTime>2</TotalTime>
  <ScaleCrop>false</ScaleCrop>
  <LinksUpToDate>false</LinksUpToDate>
  <CharactersWithSpaces>26313</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龚盼</cp:lastModifiedBy>
  <dcterms:modified xsi:type="dcterms:W3CDTF">2025-10-14T09:02:39Z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