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N/>
        <w:bidi w:val="0"/>
        <w:adjustRightInd/>
        <w:spacing w:before="0" w:beforeAutospacing="0" w:after="0" w:afterAutospacing="0" w:line="560" w:lineRule="exact"/>
        <w:jc w:val="center"/>
        <w:textAlignment w:val="auto"/>
        <w:rPr>
          <w:rFonts w:hint="eastAsia" w:ascii="方正小标宋_GBK" w:hAnsi="方正小标宋_GBK" w:eastAsia="方正小标宋_GBK" w:cs="方正小标宋_GBK"/>
          <w:b w:val="0"/>
          <w:bCs w:val="0"/>
          <w:color w:val="auto"/>
          <w:sz w:val="44"/>
          <w:szCs w:val="44"/>
        </w:rPr>
      </w:pPr>
      <w:r>
        <w:rPr>
          <w:rFonts w:hint="eastAsia" w:ascii="方正小标宋_GBK" w:hAnsi="方正小标宋_GBK" w:eastAsia="方正小标宋_GBK" w:cs="方正小标宋_GBK"/>
          <w:b w:val="0"/>
          <w:bCs w:val="0"/>
          <w:color w:val="auto"/>
          <w:sz w:val="44"/>
          <w:szCs w:val="44"/>
        </w:rPr>
        <w:t>秀山土家族苗族自治县中平乡卫生院</w:t>
      </w:r>
    </w:p>
    <w:p>
      <w:pPr>
        <w:pStyle w:val="11"/>
        <w:keepNext w:val="0"/>
        <w:keepLines w:val="0"/>
        <w:pageBreakBefore w:val="0"/>
        <w:widowControl/>
        <w:kinsoku/>
        <w:wordWrap/>
        <w:overflowPunct/>
        <w:topLinePunct w:val="0"/>
        <w:autoSpaceDN/>
        <w:bidi w:val="0"/>
        <w:adjustRightInd/>
        <w:spacing w:before="0" w:beforeAutospacing="0" w:after="0" w:afterAutospacing="0" w:line="560" w:lineRule="exact"/>
        <w:jc w:val="center"/>
        <w:textAlignment w:val="auto"/>
        <w:rPr>
          <w:rFonts w:hint="eastAsia" w:ascii="方正小标宋_GBK" w:hAnsi="方正小标宋_GBK" w:eastAsia="方正小标宋_GBK" w:cs="方正小标宋_GBK"/>
          <w:b w:val="0"/>
          <w:bCs w:val="0"/>
          <w:color w:val="auto"/>
          <w:sz w:val="44"/>
          <w:szCs w:val="44"/>
          <w:shd w:val="clear" w:color="auto" w:fill="FFFFFF"/>
        </w:rPr>
      </w:pPr>
      <w:r>
        <w:rPr>
          <w:rFonts w:hint="eastAsia" w:ascii="方正小标宋_GBK" w:hAnsi="方正小标宋_GBK" w:eastAsia="方正小标宋_GBK" w:cs="方正小标宋_GBK"/>
          <w:b w:val="0"/>
          <w:bCs w:val="0"/>
          <w:color w:val="auto"/>
          <w:sz w:val="44"/>
          <w:szCs w:val="44"/>
          <w:shd w:val="clear" w:color="auto" w:fill="FFFFFF"/>
        </w:rPr>
        <w:t>2024年度决算公开说明</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仿宋_GBK" w:cs="Times New Roman"/>
          <w:b w:val="0"/>
          <w:bCs w:val="0"/>
          <w:color w:val="auto"/>
          <w:sz w:val="32"/>
          <w:szCs w:val="32"/>
          <w:shd w:val="clear" w:color="auto" w:fill="FFFFFF"/>
        </w:rPr>
      </w:pP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val="0"/>
          <w:color w:val="auto"/>
          <w:sz w:val="32"/>
          <w:szCs w:val="32"/>
          <w:shd w:val="clear" w:color="auto" w:fill="FFFFFF"/>
        </w:rPr>
      </w:pPr>
      <w:r>
        <w:rPr>
          <w:rStyle w:val="13"/>
          <w:rFonts w:hint="eastAsia" w:ascii="方正黑体_GBK" w:hAnsi="方正黑体_GBK" w:eastAsia="方正黑体_GBK" w:cs="方正黑体_GBK"/>
          <w:b w:val="0"/>
          <w:bCs w:val="0"/>
          <w:color w:val="auto"/>
          <w:sz w:val="32"/>
          <w:szCs w:val="32"/>
          <w:shd w:val="clear" w:color="auto" w:fill="FFFFFF"/>
        </w:rPr>
        <w:t>一、</w:t>
      </w:r>
      <w:r>
        <w:rPr>
          <w:rStyle w:val="13"/>
          <w:rFonts w:hint="eastAsia" w:ascii="方正黑体_GBK" w:hAnsi="方正黑体_GBK" w:eastAsia="方正黑体_GBK" w:cs="方正黑体_GBK"/>
          <w:b w:val="0"/>
          <w:bCs w:val="0"/>
          <w:color w:val="auto"/>
          <w:sz w:val="32"/>
          <w:szCs w:val="32"/>
          <w:shd w:val="clear" w:color="auto" w:fill="FFFFFF"/>
          <w:lang w:eastAsia="zh-CN"/>
        </w:rPr>
        <w:t>单位</w:t>
      </w:r>
      <w:r>
        <w:rPr>
          <w:rStyle w:val="13"/>
          <w:rFonts w:hint="eastAsia" w:ascii="方正黑体_GBK" w:hAnsi="方正黑体_GBK" w:eastAsia="方正黑体_GBK" w:cs="方正黑体_GBK"/>
          <w:b w:val="0"/>
          <w:bCs w:val="0"/>
          <w:color w:val="auto"/>
          <w:sz w:val="32"/>
          <w:szCs w:val="32"/>
          <w:shd w:val="clear" w:color="auto" w:fill="FFFFFF"/>
        </w:rPr>
        <w:t>基本情况</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（一）职能职责</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本单位属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1.根据国家和本市规定收集、报送辖区内卫生健康信息，建立和管理居民健康档案，提出改进辖区公共卫生状况的建议；</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2.开展健康教育，普及健康知识；</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3.协助开展传染病以及地方病、寄生虫病的预防控制，配合开展爱国卫生工作；</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4.做好高危人群、重点慢性病患者的筛查和病例管理；</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5.提供心理健康指导服务，实施精神病社区管理；</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6.为妇女、儿童、老年人、残疾人等重点人群提供保健和康复服务；</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7.提供计划生育技术服务，协助处置辖区内突发公共卫生事件等；</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8.按要求提供其他公共卫生服务</w:t>
      </w:r>
      <w:r>
        <w:rPr>
          <w:rFonts w:hint="default" w:ascii="Times New Roman" w:hAnsi="Times New Roman" w:eastAsia="方正仿宋_GBK" w:cs="Times New Roman"/>
          <w:b w:val="0"/>
          <w:bCs w:val="0"/>
          <w:color w:val="auto"/>
          <w:sz w:val="32"/>
          <w:szCs w:val="32"/>
          <w:lang w:eastAsia="zh-CN"/>
        </w:rPr>
        <w:t>。</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val="0"/>
          <w:color w:val="auto"/>
          <w:sz w:val="32"/>
          <w:szCs w:val="32"/>
          <w:shd w:val="clear" w:color="auto" w:fill="FFFFFF"/>
        </w:rPr>
      </w:pPr>
      <w:r>
        <w:rPr>
          <w:rStyle w:val="13"/>
          <w:rFonts w:hint="eastAsia" w:ascii="方正黑体_GBK" w:hAnsi="方正黑体_GBK" w:eastAsia="方正黑体_GBK" w:cs="方正黑体_GBK"/>
          <w:b w:val="0"/>
          <w:bCs w:val="0"/>
          <w:color w:val="auto"/>
          <w:sz w:val="32"/>
          <w:szCs w:val="32"/>
          <w:shd w:val="clear" w:color="auto" w:fill="FFFFFF"/>
        </w:rPr>
        <w:t>二、</w:t>
      </w:r>
      <w:r>
        <w:rPr>
          <w:rStyle w:val="13"/>
          <w:rFonts w:hint="eastAsia" w:ascii="方正黑体_GBK" w:hAnsi="方正黑体_GBK" w:eastAsia="方正黑体_GBK" w:cs="方正黑体_GBK"/>
          <w:b w:val="0"/>
          <w:bCs w:val="0"/>
          <w:color w:val="auto"/>
          <w:sz w:val="32"/>
          <w:szCs w:val="32"/>
          <w:shd w:val="clear" w:color="auto" w:fill="FFFFFF"/>
          <w:lang w:eastAsia="zh-CN"/>
        </w:rPr>
        <w:t>单位</w:t>
      </w:r>
      <w:r>
        <w:rPr>
          <w:rStyle w:val="13"/>
          <w:rFonts w:hint="eastAsia" w:ascii="方正黑体_GBK" w:hAnsi="方正黑体_GBK" w:eastAsia="方正黑体_GBK" w:cs="方正黑体_GBK"/>
          <w:b w:val="0"/>
          <w:bCs w:val="0"/>
          <w:color w:val="auto"/>
          <w:sz w:val="32"/>
          <w:szCs w:val="32"/>
          <w:shd w:val="clear" w:color="auto" w:fill="FFFFFF"/>
        </w:rPr>
        <w:t>决算</w:t>
      </w:r>
      <w:r>
        <w:rPr>
          <w:rStyle w:val="13"/>
          <w:rFonts w:hint="eastAsia" w:ascii="方正黑体_GBK" w:hAnsi="方正黑体_GBK" w:eastAsia="方正黑体_GBK" w:cs="方正黑体_GBK"/>
          <w:b w:val="0"/>
          <w:bCs w:val="0"/>
          <w:color w:val="auto"/>
          <w:sz w:val="32"/>
          <w:szCs w:val="32"/>
          <w:shd w:val="clear" w:color="auto" w:fill="FFFFFF"/>
          <w:lang w:eastAsia="zh-CN"/>
        </w:rPr>
        <w:t>收支</w:t>
      </w:r>
      <w:r>
        <w:rPr>
          <w:rStyle w:val="13"/>
          <w:rFonts w:hint="eastAsia" w:ascii="方正黑体_GBK" w:hAnsi="方正黑体_GBK" w:eastAsia="方正黑体_GBK" w:cs="方正黑体_GBK"/>
          <w:b w:val="0"/>
          <w:bCs w:val="0"/>
          <w:color w:val="auto"/>
          <w:sz w:val="32"/>
          <w:szCs w:val="32"/>
          <w:shd w:val="clear" w:color="auto" w:fill="FFFFFF"/>
        </w:rPr>
        <w:t>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2024年度收</w:t>
      </w:r>
      <w:r>
        <w:rPr>
          <w:rFonts w:hint="default" w:ascii="Times New Roman" w:hAnsi="Times New Roman" w:eastAsia="方正仿宋_GBK" w:cs="Times New Roman"/>
          <w:b w:val="0"/>
          <w:bCs w:val="0"/>
          <w:color w:val="auto"/>
          <w:sz w:val="32"/>
          <w:szCs w:val="32"/>
          <w:lang w:eastAsia="zh-CN"/>
        </w:rPr>
        <w:t>、支</w:t>
      </w:r>
      <w:r>
        <w:rPr>
          <w:rFonts w:hint="default" w:ascii="Times New Roman" w:hAnsi="Times New Roman" w:eastAsia="方正仿宋_GBK" w:cs="Times New Roman"/>
          <w:b w:val="0"/>
          <w:bCs w:val="0"/>
          <w:color w:val="auto"/>
          <w:sz w:val="32"/>
          <w:szCs w:val="32"/>
        </w:rPr>
        <w:t>总计</w:t>
      </w:r>
      <w:r>
        <w:rPr>
          <w:rFonts w:hint="default" w:ascii="Times New Roman" w:hAnsi="Times New Roman" w:eastAsia="方正仿宋_GBK" w:cs="Times New Roman"/>
          <w:b w:val="0"/>
          <w:bCs w:val="0"/>
          <w:color w:val="auto"/>
          <w:sz w:val="32"/>
          <w:szCs w:val="32"/>
          <w:lang w:eastAsia="zh-CN"/>
        </w:rPr>
        <w:t>均为</w:t>
      </w:r>
      <w:r>
        <w:rPr>
          <w:rFonts w:hint="default" w:ascii="Times New Roman" w:hAnsi="Times New Roman" w:eastAsia="方正仿宋_GBK" w:cs="Times New Roman"/>
          <w:b w:val="0"/>
          <w:bCs w:val="0"/>
          <w:color w:val="auto"/>
          <w:sz w:val="32"/>
          <w:szCs w:val="32"/>
        </w:rPr>
        <w:t>414.23万元。收、支与2023年度相比，减少13.47万元，下降3.2%，主要原因是</w:t>
      </w:r>
      <w:r>
        <w:rPr>
          <w:rFonts w:hint="default" w:ascii="Times New Roman" w:hAnsi="Times New Roman" w:eastAsia="方正仿宋_GBK" w:cs="Times New Roman"/>
          <w:b w:val="0"/>
          <w:bCs w:val="0"/>
          <w:color w:val="auto"/>
          <w:sz w:val="32"/>
          <w:szCs w:val="32"/>
          <w:lang w:eastAsia="zh-CN"/>
        </w:rPr>
        <w:t>财政拨款项目投入减少。</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lang w:val="en-US" w:eastAsia="zh-CN"/>
        </w:rPr>
        <w:t>1</w:t>
      </w:r>
      <w:r>
        <w:rPr>
          <w:rFonts w:hint="default" w:ascii="Times New Roman" w:hAnsi="Times New Roman" w:eastAsia="方正仿宋_GBK" w:cs="Times New Roman"/>
          <w:b w:val="0"/>
          <w:bCs w:val="0"/>
          <w:color w:val="auto"/>
          <w:sz w:val="32"/>
          <w:szCs w:val="32"/>
        </w:rPr>
        <w:t>.收入情况。2024年度收入合计399.78万元，与2023年度相比，减少18.94万元，下降4.5%，主要原因是</w:t>
      </w:r>
      <w:r>
        <w:rPr>
          <w:rFonts w:hint="default" w:ascii="Times New Roman" w:hAnsi="Times New Roman" w:eastAsia="方正仿宋_GBK" w:cs="Times New Roman"/>
          <w:b w:val="0"/>
          <w:bCs w:val="0"/>
          <w:color w:val="auto"/>
          <w:sz w:val="32"/>
          <w:szCs w:val="32"/>
          <w:lang w:eastAsia="zh-CN"/>
        </w:rPr>
        <w:t>项目投入减少，</w:t>
      </w:r>
      <w:r>
        <w:rPr>
          <w:rFonts w:hint="default" w:ascii="Times New Roman" w:hAnsi="Times New Roman" w:eastAsia="方正仿宋_GBK" w:cs="Times New Roman"/>
          <w:b w:val="0"/>
          <w:bCs w:val="0"/>
          <w:color w:val="auto"/>
          <w:sz w:val="32"/>
          <w:szCs w:val="32"/>
          <w:lang w:val="en-US" w:eastAsia="zh-CN"/>
        </w:rPr>
        <w:t>2023年度财政项目投入有中医馆建设资金、</w:t>
      </w:r>
      <w:r>
        <w:rPr>
          <w:rFonts w:hint="default" w:ascii="Times New Roman" w:hAnsi="Times New Roman" w:eastAsia="方正仿宋_GBK" w:cs="Times New Roman"/>
          <w:b w:val="0"/>
          <w:bCs w:val="0"/>
          <w:color w:val="auto"/>
          <w:sz w:val="32"/>
          <w:szCs w:val="32"/>
          <w:lang w:eastAsia="zh-CN"/>
        </w:rPr>
        <w:t>医疗卫生机构呼吸机配置项目。</w:t>
      </w:r>
      <w:r>
        <w:rPr>
          <w:rFonts w:hint="default" w:ascii="Times New Roman" w:hAnsi="Times New Roman" w:eastAsia="方正仿宋_GBK" w:cs="Times New Roman"/>
          <w:b w:val="0"/>
          <w:bCs w:val="0"/>
          <w:color w:val="auto"/>
          <w:sz w:val="32"/>
          <w:szCs w:val="32"/>
        </w:rPr>
        <w:t>其中：财政拨款收入200.53万元，占50.2%；事业收入197.77万元，占49.5%；经营收入0.00万元，占0.0%；其他收入1.49万元，占0.4%。此外，使用非财政拨款结余（含专用结余）0.00万元，年初结转和结余14.44万元。</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lang w:val="en-US" w:eastAsia="zh-CN"/>
        </w:rPr>
        <w:t>2</w:t>
      </w:r>
      <w:r>
        <w:rPr>
          <w:rFonts w:hint="default" w:ascii="Times New Roman" w:hAnsi="Times New Roman" w:eastAsia="方正仿宋_GBK" w:cs="Times New Roman"/>
          <w:b w:val="0"/>
          <w:bCs w:val="0"/>
          <w:color w:val="auto"/>
          <w:sz w:val="32"/>
          <w:szCs w:val="32"/>
        </w:rPr>
        <w:t>.支出情况。2024年度支出合计409.38万元，与2023年度相比，减少3.88万元，下降0.9%，主要原因是医疗支出人员工资、办公</w:t>
      </w:r>
      <w:r>
        <w:rPr>
          <w:rFonts w:hint="default" w:ascii="Times New Roman" w:hAnsi="Times New Roman" w:eastAsia="方正仿宋_GBK" w:cs="Times New Roman"/>
          <w:b w:val="0"/>
          <w:bCs w:val="0"/>
          <w:color w:val="auto"/>
          <w:sz w:val="32"/>
          <w:szCs w:val="32"/>
          <w:lang w:eastAsia="zh-CN"/>
        </w:rPr>
        <w:t>费</w:t>
      </w:r>
      <w:r>
        <w:rPr>
          <w:rFonts w:hint="default" w:ascii="Times New Roman" w:hAnsi="Times New Roman" w:eastAsia="方正仿宋_GBK" w:cs="Times New Roman"/>
          <w:b w:val="0"/>
          <w:bCs w:val="0"/>
          <w:color w:val="auto"/>
          <w:sz w:val="32"/>
          <w:szCs w:val="32"/>
        </w:rPr>
        <w:t>等支出减少</w:t>
      </w:r>
      <w:r>
        <w:rPr>
          <w:rFonts w:hint="default" w:ascii="Times New Roman" w:hAnsi="Times New Roman" w:eastAsia="方正仿宋_GBK" w:cs="Times New Roman"/>
          <w:b w:val="0"/>
          <w:bCs w:val="0"/>
          <w:color w:val="auto"/>
          <w:sz w:val="32"/>
          <w:szCs w:val="32"/>
          <w:lang w:eastAsia="zh-CN"/>
        </w:rPr>
        <w:t>。</w:t>
      </w:r>
      <w:r>
        <w:rPr>
          <w:rFonts w:hint="default" w:ascii="Times New Roman" w:hAnsi="Times New Roman" w:eastAsia="方正仿宋_GBK" w:cs="Times New Roman"/>
          <w:b w:val="0"/>
          <w:bCs w:val="0"/>
          <w:color w:val="auto"/>
          <w:sz w:val="32"/>
          <w:szCs w:val="32"/>
        </w:rPr>
        <w:t>其中：基本支出385.49万元，占94.2%；项目支出23.89万元，占5.8%；经营支出0.00万元，占0.0%。此外，结余分配0.00万元。</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lang w:val="en-US" w:eastAsia="zh-CN"/>
        </w:rPr>
        <w:t>3</w:t>
      </w:r>
      <w:r>
        <w:rPr>
          <w:rFonts w:hint="default" w:ascii="Times New Roman" w:hAnsi="Times New Roman" w:eastAsia="方正仿宋_GBK" w:cs="Times New Roman"/>
          <w:b w:val="0"/>
          <w:bCs w:val="0"/>
          <w:color w:val="auto"/>
          <w:sz w:val="32"/>
          <w:szCs w:val="32"/>
        </w:rPr>
        <w:t>.结转结余情况。2024年度年末结转和结余4.85万元，与2023年度相比，减少9.59万元，下降66.4%，主要原因是</w:t>
      </w:r>
      <w:r>
        <w:rPr>
          <w:rFonts w:hint="default" w:ascii="Times New Roman" w:hAnsi="Times New Roman" w:eastAsia="方正仿宋_GBK" w:cs="Times New Roman"/>
          <w:b w:val="0"/>
          <w:bCs w:val="0"/>
          <w:color w:val="auto"/>
          <w:sz w:val="32"/>
          <w:szCs w:val="32"/>
          <w:lang w:val="en-US" w:eastAsia="zh-CN"/>
        </w:rPr>
        <w:t>2024年度无财政拨款</w:t>
      </w:r>
      <w:bookmarkStart w:id="0" w:name="_GoBack"/>
      <w:bookmarkEnd w:id="0"/>
      <w:r>
        <w:rPr>
          <w:rFonts w:hint="default" w:ascii="Times New Roman" w:hAnsi="Times New Roman" w:eastAsia="方正仿宋_GBK" w:cs="Times New Roman"/>
          <w:b w:val="0"/>
          <w:bCs w:val="0"/>
          <w:color w:val="auto"/>
          <w:sz w:val="32"/>
          <w:szCs w:val="32"/>
        </w:rPr>
        <w:t>结余</w:t>
      </w:r>
      <w:r>
        <w:rPr>
          <w:rFonts w:hint="default" w:ascii="Times New Roman" w:hAnsi="Times New Roman" w:eastAsia="方正仿宋_GBK" w:cs="Times New Roman"/>
          <w:b w:val="0"/>
          <w:bCs w:val="0"/>
          <w:color w:val="auto"/>
          <w:sz w:val="32"/>
          <w:szCs w:val="32"/>
          <w:lang w:eastAsia="zh-CN"/>
        </w:rPr>
        <w:t>。</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（二）财政拨款收入支出决算总体情况说明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2024年度财政拨款收、支总计均为209.22万元。与2023年</w:t>
      </w:r>
      <w:r>
        <w:rPr>
          <w:rFonts w:hint="default" w:ascii="Times New Roman" w:hAnsi="Times New Roman" w:eastAsia="方正仿宋_GBK" w:cs="Times New Roman"/>
          <w:b w:val="0"/>
          <w:bCs w:val="0"/>
          <w:color w:val="auto"/>
          <w:sz w:val="32"/>
          <w:szCs w:val="32"/>
          <w:lang w:eastAsia="zh-CN"/>
        </w:rPr>
        <w:t>度</w:t>
      </w:r>
      <w:r>
        <w:rPr>
          <w:rFonts w:hint="default" w:ascii="Times New Roman" w:hAnsi="Times New Roman" w:eastAsia="方正仿宋_GBK" w:cs="Times New Roman"/>
          <w:b w:val="0"/>
          <w:bCs w:val="0"/>
          <w:color w:val="auto"/>
          <w:sz w:val="32"/>
          <w:szCs w:val="32"/>
        </w:rPr>
        <w:t>相比，财政拨款收、支总计各减少27.40万元，下降11.6%。主要原因是</w:t>
      </w:r>
      <w:r>
        <w:rPr>
          <w:rFonts w:hint="default" w:ascii="Times New Roman" w:hAnsi="Times New Roman" w:eastAsia="方正仿宋_GBK" w:cs="Times New Roman"/>
          <w:b w:val="0"/>
          <w:bCs w:val="0"/>
          <w:color w:val="auto"/>
          <w:sz w:val="32"/>
          <w:szCs w:val="32"/>
          <w:lang w:eastAsia="zh-CN"/>
        </w:rPr>
        <w:t>项目投入减少，</w:t>
      </w:r>
      <w:r>
        <w:rPr>
          <w:rFonts w:hint="default" w:ascii="Times New Roman" w:hAnsi="Times New Roman" w:eastAsia="方正仿宋_GBK" w:cs="Times New Roman"/>
          <w:b w:val="0"/>
          <w:bCs w:val="0"/>
          <w:color w:val="auto"/>
          <w:sz w:val="32"/>
          <w:szCs w:val="32"/>
          <w:lang w:val="en-US" w:eastAsia="zh-CN"/>
        </w:rPr>
        <w:t>2023年度财政项目投入有中医馆建设资金、</w:t>
      </w:r>
      <w:r>
        <w:rPr>
          <w:rFonts w:hint="default" w:ascii="Times New Roman" w:hAnsi="Times New Roman" w:eastAsia="方正仿宋_GBK" w:cs="Times New Roman"/>
          <w:b w:val="0"/>
          <w:bCs w:val="0"/>
          <w:color w:val="auto"/>
          <w:sz w:val="32"/>
          <w:szCs w:val="32"/>
          <w:lang w:eastAsia="zh-CN"/>
        </w:rPr>
        <w:t>医疗卫生机构呼吸机配置项目。</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（三）一般公共预算财政拨款收入支出决算情况说明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1.收入情况。2024年度一般公共预算财政拨款收入200.53万元，与2023年度相比，减少36.09万元，下降15.3%。主要原因是</w:t>
      </w:r>
      <w:r>
        <w:rPr>
          <w:rFonts w:hint="default" w:ascii="Times New Roman" w:hAnsi="Times New Roman" w:eastAsia="方正仿宋_GBK" w:cs="Times New Roman"/>
          <w:b w:val="0"/>
          <w:bCs w:val="0"/>
          <w:color w:val="auto"/>
          <w:sz w:val="32"/>
          <w:szCs w:val="32"/>
          <w:lang w:eastAsia="zh-CN"/>
        </w:rPr>
        <w:t>项目投入减少，</w:t>
      </w:r>
      <w:r>
        <w:rPr>
          <w:rFonts w:hint="default" w:ascii="Times New Roman" w:hAnsi="Times New Roman" w:eastAsia="方正仿宋_GBK" w:cs="Times New Roman"/>
          <w:b w:val="0"/>
          <w:bCs w:val="0"/>
          <w:color w:val="auto"/>
          <w:sz w:val="32"/>
          <w:szCs w:val="32"/>
          <w:lang w:val="en-US" w:eastAsia="zh-CN"/>
        </w:rPr>
        <w:t>2023年度财政项目投入有中医馆建设资金、</w:t>
      </w:r>
      <w:r>
        <w:rPr>
          <w:rFonts w:hint="default" w:ascii="Times New Roman" w:hAnsi="Times New Roman" w:eastAsia="方正仿宋_GBK" w:cs="Times New Roman"/>
          <w:b w:val="0"/>
          <w:bCs w:val="0"/>
          <w:color w:val="auto"/>
          <w:sz w:val="32"/>
          <w:szCs w:val="32"/>
          <w:lang w:eastAsia="zh-CN"/>
        </w:rPr>
        <w:t>医疗卫生机构呼吸机配置项目。</w:t>
      </w:r>
      <w:r>
        <w:rPr>
          <w:rFonts w:hint="default" w:ascii="Times New Roman" w:hAnsi="Times New Roman" w:eastAsia="方正仿宋_GBK" w:cs="Times New Roman"/>
          <w:b w:val="0"/>
          <w:bCs w:val="0"/>
          <w:color w:val="auto"/>
          <w:sz w:val="32"/>
          <w:szCs w:val="32"/>
        </w:rPr>
        <w:t>较年初预算数增加72.17万元，增长56.2%。主要原因是年初预算是根据单位情况预估核算，实际财政拨款收入由财政根据资金分配情况统一安排拨款</w:t>
      </w:r>
      <w:r>
        <w:rPr>
          <w:rFonts w:hint="default" w:ascii="Times New Roman" w:hAnsi="Times New Roman" w:eastAsia="方正仿宋_GBK" w:cs="Times New Roman"/>
          <w:b w:val="0"/>
          <w:bCs w:val="0"/>
          <w:color w:val="auto"/>
          <w:sz w:val="32"/>
          <w:szCs w:val="32"/>
          <w:lang w:eastAsia="zh-CN"/>
        </w:rPr>
        <w:t>。</w:t>
      </w:r>
      <w:r>
        <w:rPr>
          <w:rFonts w:hint="default" w:ascii="Times New Roman" w:hAnsi="Times New Roman" w:eastAsia="方正仿宋_GBK" w:cs="Times New Roman"/>
          <w:b w:val="0"/>
          <w:bCs w:val="0"/>
          <w:color w:val="auto"/>
          <w:sz w:val="32"/>
          <w:szCs w:val="32"/>
        </w:rPr>
        <w:t>此外，年初财政拨款结转和结余8.69万元。</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rPr>
        <w:t>2.支出情况。2024年度一般公共预算财政拨款支出209.22万元，与2023年度相比，减少18.71万元，下降8.2%。主要原因是</w:t>
      </w:r>
      <w:r>
        <w:rPr>
          <w:rFonts w:hint="default" w:ascii="Times New Roman" w:hAnsi="Times New Roman" w:eastAsia="方正仿宋_GBK" w:cs="Times New Roman"/>
          <w:b w:val="0"/>
          <w:bCs w:val="0"/>
          <w:color w:val="auto"/>
          <w:sz w:val="32"/>
          <w:szCs w:val="32"/>
          <w:lang w:eastAsia="zh-CN"/>
        </w:rPr>
        <w:t>人员支出、项目支出等减少。</w:t>
      </w:r>
      <w:r>
        <w:rPr>
          <w:rFonts w:hint="default" w:ascii="Times New Roman" w:hAnsi="Times New Roman" w:eastAsia="方正仿宋_GBK" w:cs="Times New Roman"/>
          <w:b w:val="0"/>
          <w:bCs w:val="0"/>
          <w:color w:val="auto"/>
          <w:sz w:val="32"/>
          <w:szCs w:val="32"/>
        </w:rPr>
        <w:t>较年初预算数增加80.86万元，增长63.0%。主要原因是年初预算是根据单位情况预估核算，实际财政拨款收入由财政根据资金分配情况统一安排拨款</w:t>
      </w:r>
      <w:r>
        <w:rPr>
          <w:rFonts w:hint="default" w:ascii="Times New Roman" w:hAnsi="Times New Roman" w:eastAsia="方正仿宋_GBK" w:cs="Times New Roman"/>
          <w:b w:val="0"/>
          <w:bCs w:val="0"/>
          <w:color w:val="auto"/>
          <w:sz w:val="32"/>
          <w:szCs w:val="32"/>
          <w:lang w:eastAsia="zh-CN"/>
        </w:rPr>
        <w:t>，</w:t>
      </w:r>
      <w:r>
        <w:rPr>
          <w:rFonts w:hint="default" w:ascii="Times New Roman" w:hAnsi="Times New Roman" w:eastAsia="方正仿宋_GBK" w:cs="Times New Roman"/>
          <w:b w:val="0"/>
          <w:bCs w:val="0"/>
          <w:color w:val="auto"/>
          <w:sz w:val="32"/>
          <w:szCs w:val="32"/>
        </w:rPr>
        <w:t>因此财政拨款支出与年初预算有相应差异</w:t>
      </w:r>
      <w:r>
        <w:rPr>
          <w:rFonts w:hint="default" w:ascii="Times New Roman" w:hAnsi="Times New Roman" w:eastAsia="方正仿宋_GBK" w:cs="Times New Roman"/>
          <w:b w:val="0"/>
          <w:bCs w:val="0"/>
          <w:color w:val="auto"/>
          <w:sz w:val="32"/>
          <w:szCs w:val="32"/>
          <w:lang w:eastAsia="zh-CN"/>
        </w:rPr>
        <w:t>。</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一般公共预算财政拨款支出主要</w:t>
      </w:r>
      <w:r>
        <w:rPr>
          <w:rFonts w:hint="default" w:ascii="Times New Roman" w:hAnsi="Times New Roman" w:eastAsia="方正仿宋_GBK" w:cs="Times New Roman"/>
          <w:b w:val="0"/>
          <w:bCs w:val="0"/>
          <w:color w:val="auto"/>
          <w:sz w:val="32"/>
          <w:szCs w:val="32"/>
          <w:lang w:eastAsia="zh-CN"/>
        </w:rPr>
        <w:t>用途如下</w:t>
      </w:r>
      <w:r>
        <w:rPr>
          <w:rFonts w:hint="default" w:ascii="Times New Roman" w:hAnsi="Times New Roman" w:eastAsia="方正仿宋_GBK" w:cs="Times New Roman"/>
          <w:b w:val="0"/>
          <w:bCs w:val="0"/>
          <w:color w:val="auto"/>
          <w:sz w:val="32"/>
          <w:szCs w:val="32"/>
        </w:rPr>
        <w:t>：</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（1）社会保障</w:t>
      </w:r>
      <w:r>
        <w:rPr>
          <w:rFonts w:hint="default" w:ascii="Times New Roman" w:hAnsi="Times New Roman" w:eastAsia="方正仿宋_GBK" w:cs="Times New Roman"/>
          <w:b w:val="0"/>
          <w:bCs w:val="0"/>
          <w:color w:val="auto"/>
          <w:sz w:val="32"/>
          <w:szCs w:val="32"/>
          <w:lang w:eastAsia="zh-CN"/>
        </w:rPr>
        <w:t>和</w:t>
      </w:r>
      <w:r>
        <w:rPr>
          <w:rFonts w:hint="default" w:ascii="Times New Roman" w:hAnsi="Times New Roman" w:eastAsia="方正仿宋_GBK" w:cs="Times New Roman"/>
          <w:b w:val="0"/>
          <w:bCs w:val="0"/>
          <w:color w:val="auto"/>
          <w:sz w:val="32"/>
          <w:szCs w:val="32"/>
        </w:rPr>
        <w:t>就业支出19.92万元，占9.5%，较年初预算数增加4.82万元，增长31.9%，主要原因是根据单位情况预估核算，实际财政拨款收入由财政根据资金分配情况统一安排拨款。</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w:t>
      </w:r>
      <w:r>
        <w:rPr>
          <w:rFonts w:hint="default" w:ascii="Times New Roman" w:hAnsi="Times New Roman" w:eastAsia="方正仿宋_GBK" w:cs="Times New Roman"/>
          <w:b w:val="0"/>
          <w:bCs w:val="0"/>
          <w:color w:val="auto"/>
          <w:sz w:val="32"/>
          <w:szCs w:val="32"/>
          <w:lang w:val="en-US" w:eastAsia="zh-CN"/>
        </w:rPr>
        <w:t>2</w:t>
      </w:r>
      <w:r>
        <w:rPr>
          <w:rFonts w:hint="default" w:ascii="Times New Roman" w:hAnsi="Times New Roman" w:eastAsia="方正仿宋_GBK" w:cs="Times New Roman"/>
          <w:b w:val="0"/>
          <w:bCs w:val="0"/>
          <w:color w:val="auto"/>
          <w:sz w:val="32"/>
          <w:szCs w:val="32"/>
        </w:rPr>
        <w:t>）卫生健康支出163.30万元，占78.1%，较年初预算数增加76.05万元，增长87.2%，主要原因是根据单位情况预估核算，实际财政拨款收入由财政根据资金分配情况统一安排拨款。</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w:t>
      </w:r>
      <w:r>
        <w:rPr>
          <w:rFonts w:hint="default" w:ascii="Times New Roman" w:hAnsi="Times New Roman" w:eastAsia="方正仿宋_GBK" w:cs="Times New Roman"/>
          <w:b w:val="0"/>
          <w:bCs w:val="0"/>
          <w:color w:val="auto"/>
          <w:sz w:val="32"/>
          <w:szCs w:val="32"/>
          <w:lang w:val="en-US" w:eastAsia="zh-CN"/>
        </w:rPr>
        <w:t>3</w:t>
      </w:r>
      <w:r>
        <w:rPr>
          <w:rFonts w:hint="default" w:ascii="Times New Roman" w:hAnsi="Times New Roman" w:eastAsia="方正仿宋_GBK" w:cs="Times New Roman"/>
          <w:b w:val="0"/>
          <w:bCs w:val="0"/>
          <w:color w:val="auto"/>
          <w:sz w:val="32"/>
          <w:szCs w:val="32"/>
        </w:rPr>
        <w:t>）住房保障支出6.00万元，占2.9%，较年初预算数无增减，主要原因是本单位2024年度一般公共预算财政拨款决算支出与预算相比，执行情况良好。</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3.结转结余情况。2024年度年末一般公共预算财政拨款结转和结余0.00万元，与2023年度相比，减少8.69万元，下降100.0%，主要原因是</w:t>
      </w:r>
      <w:r>
        <w:rPr>
          <w:rFonts w:hint="default" w:ascii="Times New Roman" w:hAnsi="Times New Roman" w:eastAsia="方正仿宋_GBK" w:cs="Times New Roman"/>
          <w:b w:val="0"/>
          <w:bCs w:val="0"/>
          <w:color w:val="auto"/>
          <w:sz w:val="32"/>
          <w:szCs w:val="32"/>
          <w:lang w:val="en-US" w:eastAsia="zh-CN"/>
        </w:rPr>
        <w:t>2023年度</w:t>
      </w:r>
      <w:r>
        <w:rPr>
          <w:rFonts w:hint="default" w:ascii="Times New Roman" w:hAnsi="Times New Roman" w:eastAsia="方正仿宋_GBK" w:cs="Times New Roman"/>
          <w:b w:val="0"/>
          <w:bCs w:val="0"/>
          <w:color w:val="auto"/>
          <w:sz w:val="32"/>
          <w:szCs w:val="32"/>
        </w:rPr>
        <w:t>财政拨款</w:t>
      </w:r>
      <w:r>
        <w:rPr>
          <w:rFonts w:hint="default" w:ascii="Times New Roman" w:hAnsi="Times New Roman" w:eastAsia="方正仿宋_GBK" w:cs="Times New Roman"/>
          <w:b w:val="0"/>
          <w:bCs w:val="0"/>
          <w:color w:val="auto"/>
          <w:sz w:val="32"/>
          <w:szCs w:val="32"/>
          <w:lang w:eastAsia="zh-CN"/>
        </w:rPr>
        <w:t>超额绩效</w:t>
      </w:r>
      <w:r>
        <w:rPr>
          <w:rFonts w:hint="default" w:ascii="Times New Roman" w:hAnsi="Times New Roman" w:eastAsia="方正仿宋_GBK" w:cs="Times New Roman"/>
          <w:b w:val="0"/>
          <w:bCs w:val="0"/>
          <w:color w:val="auto"/>
          <w:sz w:val="32"/>
          <w:szCs w:val="32"/>
        </w:rPr>
        <w:t>结转</w:t>
      </w:r>
      <w:r>
        <w:rPr>
          <w:rFonts w:hint="default" w:ascii="Times New Roman" w:hAnsi="Times New Roman" w:eastAsia="方正仿宋_GBK" w:cs="Times New Roman"/>
          <w:b w:val="0"/>
          <w:bCs w:val="0"/>
          <w:color w:val="auto"/>
          <w:sz w:val="32"/>
          <w:szCs w:val="32"/>
          <w:lang w:eastAsia="zh-CN"/>
        </w:rPr>
        <w:t>于次年发放</w:t>
      </w:r>
      <w:r>
        <w:rPr>
          <w:rFonts w:hint="default" w:ascii="Times New Roman" w:hAnsi="Times New Roman" w:eastAsia="方正仿宋_GBK" w:cs="Times New Roman"/>
          <w:b w:val="0"/>
          <w:bCs w:val="0"/>
          <w:color w:val="auto"/>
          <w:sz w:val="32"/>
          <w:szCs w:val="32"/>
        </w:rPr>
        <w:t>。</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（四）一般公共预算财政拨款基本支出决算情况说明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2024年度一般公共财政拨款基本支出185.33万元。</w:t>
      </w:r>
    </w:p>
    <w:p>
      <w:pPr>
        <w:keepNext w:val="0"/>
        <w:keepLines w:val="0"/>
        <w:pageBreakBefore w:val="0"/>
        <w:widowControl/>
        <w:kinsoku/>
        <w:wordWrap/>
        <w:overflowPunct/>
        <w:topLinePunct w:val="0"/>
        <w:autoSpaceDE/>
        <w:autoSpaceDN/>
        <w:bidi w:val="0"/>
        <w:adjustRightInd/>
        <w:snapToGrid/>
        <w:spacing w:afterAutospacing="0" w:line="560" w:lineRule="exact"/>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其中：</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人员经费185.33万元，与2023年度相比，减少2.28万元，下降1.2%，主要原因是</w:t>
      </w:r>
      <w:r>
        <w:rPr>
          <w:rFonts w:hint="default" w:ascii="Times New Roman" w:hAnsi="Times New Roman" w:eastAsia="方正仿宋_GBK" w:cs="Times New Roman"/>
          <w:b w:val="0"/>
          <w:bCs w:val="0"/>
          <w:color w:val="auto"/>
          <w:sz w:val="32"/>
          <w:szCs w:val="32"/>
          <w:lang w:eastAsia="zh-CN"/>
        </w:rPr>
        <w:t>人员岗位有变动</w:t>
      </w:r>
      <w:r>
        <w:rPr>
          <w:rFonts w:hint="default" w:ascii="Times New Roman" w:hAnsi="Times New Roman" w:eastAsia="方正仿宋_GBK" w:cs="Times New Roman"/>
          <w:b w:val="0"/>
          <w:bCs w:val="0"/>
          <w:color w:val="auto"/>
          <w:sz w:val="32"/>
          <w:szCs w:val="32"/>
        </w:rPr>
        <w:t>。人员经费用途主要包括人员社会保障、工资、绩效、津补贴支出等。</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公用经费0.00万元，与2023年度相比，无增减，主要原因是本单位属于差额拨款单位，财政未保障本单位“</w:t>
      </w:r>
      <w:r>
        <w:rPr>
          <w:rFonts w:hint="default" w:ascii="Times New Roman" w:hAnsi="Times New Roman" w:eastAsia="方正仿宋_GBK" w:cs="Times New Roman"/>
          <w:b w:val="0"/>
          <w:bCs w:val="0"/>
          <w:color w:val="auto"/>
          <w:sz w:val="32"/>
          <w:szCs w:val="32"/>
          <w:lang w:eastAsia="zh-CN"/>
        </w:rPr>
        <w:t>公用</w:t>
      </w:r>
      <w:r>
        <w:rPr>
          <w:rFonts w:hint="default" w:ascii="Times New Roman" w:hAnsi="Times New Roman" w:eastAsia="方正仿宋_GBK" w:cs="Times New Roman"/>
          <w:b w:val="0"/>
          <w:bCs w:val="0"/>
          <w:color w:val="auto"/>
          <w:sz w:val="32"/>
          <w:szCs w:val="32"/>
        </w:rPr>
        <w:t>”经费。公用经费用途主要包括培训支出、差旅支出、水电支出等。</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（五）政府性基金预算收支决算情况说明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rPr>
        <w:t>本单位202</w:t>
      </w:r>
      <w:r>
        <w:rPr>
          <w:rFonts w:hint="default" w:ascii="Times New Roman" w:hAnsi="Times New Roman" w:eastAsia="方正仿宋_GBK" w:cs="Times New Roman"/>
          <w:b w:val="0"/>
          <w:bCs w:val="0"/>
          <w:color w:val="auto"/>
          <w:sz w:val="32"/>
          <w:szCs w:val="32"/>
          <w:lang w:val="en-US" w:eastAsia="zh-CN"/>
        </w:rPr>
        <w:t>4</w:t>
      </w:r>
      <w:r>
        <w:rPr>
          <w:rFonts w:hint="default" w:ascii="Times New Roman" w:hAnsi="Times New Roman" w:eastAsia="方正仿宋_GBK" w:cs="Times New Roman"/>
          <w:b w:val="0"/>
          <w:bCs w:val="0"/>
          <w:color w:val="auto"/>
          <w:sz w:val="32"/>
          <w:szCs w:val="32"/>
        </w:rPr>
        <w:t>年度无政府性基金预算财政拨款收支</w:t>
      </w:r>
      <w:r>
        <w:rPr>
          <w:rFonts w:hint="default" w:ascii="Times New Roman" w:hAnsi="Times New Roman" w:eastAsia="方正仿宋_GBK" w:cs="Times New Roman"/>
          <w:b w:val="0"/>
          <w:bCs w:val="0"/>
          <w:color w:val="auto"/>
          <w:sz w:val="32"/>
          <w:szCs w:val="32"/>
          <w:lang w:eastAsia="zh-CN"/>
        </w:rPr>
        <w:t>。</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（六）国有资本经营预算财政拨款支出决算情况说明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本单位202</w:t>
      </w:r>
      <w:r>
        <w:rPr>
          <w:rFonts w:hint="default" w:ascii="Times New Roman" w:hAnsi="Times New Roman" w:eastAsia="方正仿宋_GBK" w:cs="Times New Roman"/>
          <w:b w:val="0"/>
          <w:bCs w:val="0"/>
          <w:color w:val="auto"/>
          <w:sz w:val="32"/>
          <w:szCs w:val="32"/>
          <w:lang w:val="en-US" w:eastAsia="zh-CN"/>
        </w:rPr>
        <w:t>4</w:t>
      </w:r>
      <w:r>
        <w:rPr>
          <w:rFonts w:hint="default" w:ascii="Times New Roman" w:hAnsi="Times New Roman" w:eastAsia="方正仿宋_GBK" w:cs="Times New Roman"/>
          <w:b w:val="0"/>
          <w:bCs w:val="0"/>
          <w:color w:val="auto"/>
          <w:sz w:val="32"/>
          <w:szCs w:val="32"/>
        </w:rPr>
        <w:t>年度无国有资本经营预算财政拨款支出。</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val="0"/>
          <w:color w:val="auto"/>
          <w:sz w:val="32"/>
          <w:szCs w:val="32"/>
          <w:shd w:val="clear" w:color="auto" w:fill="FFFFFF"/>
        </w:rPr>
      </w:pPr>
      <w:r>
        <w:rPr>
          <w:rStyle w:val="13"/>
          <w:rFonts w:hint="eastAsia" w:ascii="方正黑体_GBK" w:hAnsi="方正黑体_GBK" w:eastAsia="方正黑体_GBK" w:cs="方正黑体_GBK"/>
          <w:b w:val="0"/>
          <w:bCs w:val="0"/>
          <w:color w:val="auto"/>
          <w:sz w:val="32"/>
          <w:szCs w:val="32"/>
          <w:shd w:val="clear" w:color="auto" w:fill="FFFFFF"/>
        </w:rPr>
        <w:t>三、</w:t>
      </w:r>
      <w:r>
        <w:rPr>
          <w:rStyle w:val="13"/>
          <w:rFonts w:hint="eastAsia" w:ascii="方正黑体_GBK" w:hAnsi="方正黑体_GBK" w:eastAsia="方正黑体_GBK" w:cs="方正黑体_GBK"/>
          <w:b w:val="0"/>
          <w:bCs w:val="0"/>
          <w:color w:val="auto"/>
          <w:sz w:val="32"/>
          <w:szCs w:val="32"/>
          <w:shd w:val="clear" w:color="auto" w:fill="FFFFFF"/>
          <w:lang w:eastAsia="zh-CN"/>
        </w:rPr>
        <w:t>财政拨款</w:t>
      </w:r>
      <w:r>
        <w:rPr>
          <w:rStyle w:val="13"/>
          <w:rFonts w:hint="eastAsia" w:ascii="方正黑体_GBK" w:hAnsi="方正黑体_GBK" w:eastAsia="方正黑体_GBK" w:cs="方正黑体_GBK"/>
          <w:b w:val="0"/>
          <w:bCs w:val="0"/>
          <w:color w:val="auto"/>
          <w:sz w:val="32"/>
          <w:szCs w:val="32"/>
          <w:shd w:val="clear" w:color="auto" w:fill="FFFFFF"/>
        </w:rPr>
        <w:t>“三公”经费情况说明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（一）“三公”经费支出总体情况说明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lang w:eastAsia="zh-CN"/>
        </w:rPr>
        <w:t>本单位</w:t>
      </w:r>
      <w:r>
        <w:rPr>
          <w:rFonts w:hint="default" w:ascii="Times New Roman" w:hAnsi="Times New Roman" w:eastAsia="方正仿宋_GBK" w:cs="Times New Roman"/>
          <w:b w:val="0"/>
          <w:bCs w:val="0"/>
          <w:color w:val="auto"/>
          <w:sz w:val="32"/>
          <w:szCs w:val="32"/>
        </w:rPr>
        <w:t>属于差额拨款事业单位，</w:t>
      </w:r>
      <w:r>
        <w:rPr>
          <w:rFonts w:hint="default" w:ascii="Times New Roman" w:hAnsi="Times New Roman" w:eastAsia="方正仿宋_GBK" w:cs="Times New Roman"/>
          <w:b w:val="0"/>
          <w:bCs w:val="0"/>
          <w:color w:val="auto"/>
          <w:sz w:val="32"/>
          <w:szCs w:val="32"/>
          <w:lang w:eastAsia="zh-CN"/>
        </w:rPr>
        <w:t>未使用</w:t>
      </w:r>
      <w:r>
        <w:rPr>
          <w:rFonts w:hint="default" w:ascii="Times New Roman" w:hAnsi="Times New Roman" w:eastAsia="方正仿宋_GBK" w:cs="Times New Roman"/>
          <w:b w:val="0"/>
          <w:bCs w:val="0"/>
          <w:color w:val="auto"/>
          <w:sz w:val="32"/>
          <w:szCs w:val="32"/>
        </w:rPr>
        <w:t>财政</w:t>
      </w:r>
      <w:r>
        <w:rPr>
          <w:rFonts w:hint="default" w:ascii="Times New Roman" w:hAnsi="Times New Roman" w:eastAsia="方正仿宋_GBK" w:cs="Times New Roman"/>
          <w:b w:val="0"/>
          <w:bCs w:val="0"/>
          <w:color w:val="auto"/>
          <w:sz w:val="32"/>
          <w:szCs w:val="32"/>
          <w:lang w:eastAsia="zh-CN"/>
        </w:rPr>
        <w:t>资金</w:t>
      </w:r>
      <w:r>
        <w:rPr>
          <w:rFonts w:hint="default" w:ascii="Times New Roman" w:hAnsi="Times New Roman" w:eastAsia="方正仿宋_GBK" w:cs="Times New Roman"/>
          <w:b w:val="0"/>
          <w:bCs w:val="0"/>
          <w:color w:val="auto"/>
          <w:sz w:val="32"/>
          <w:szCs w:val="32"/>
        </w:rPr>
        <w:t>保障“三公”经费。</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（二）“三公”经费分项支出情况</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rPr>
        <w:t>202</w:t>
      </w:r>
      <w:r>
        <w:rPr>
          <w:rFonts w:hint="default" w:ascii="Times New Roman" w:hAnsi="Times New Roman" w:eastAsia="方正仿宋_GBK" w:cs="Times New Roman"/>
          <w:b w:val="0"/>
          <w:bCs w:val="0"/>
          <w:color w:val="auto"/>
          <w:sz w:val="32"/>
          <w:szCs w:val="32"/>
          <w:lang w:val="en-US" w:eastAsia="zh-CN"/>
        </w:rPr>
        <w:t>4</w:t>
      </w:r>
      <w:r>
        <w:rPr>
          <w:rFonts w:hint="default" w:ascii="Times New Roman" w:hAnsi="Times New Roman" w:eastAsia="方正仿宋_GBK" w:cs="Times New Roman"/>
          <w:b w:val="0"/>
          <w:bCs w:val="0"/>
          <w:color w:val="auto"/>
          <w:sz w:val="32"/>
          <w:szCs w:val="32"/>
        </w:rPr>
        <w:t>年度本单位</w:t>
      </w:r>
      <w:r>
        <w:rPr>
          <w:rFonts w:hint="default" w:ascii="Times New Roman" w:hAnsi="Times New Roman" w:eastAsia="方正仿宋_GBK" w:cs="Times New Roman"/>
          <w:b w:val="0"/>
          <w:bCs w:val="0"/>
          <w:color w:val="auto"/>
          <w:sz w:val="32"/>
          <w:szCs w:val="32"/>
          <w:lang w:eastAsia="zh-CN"/>
        </w:rPr>
        <w:t>无</w:t>
      </w:r>
      <w:r>
        <w:rPr>
          <w:rFonts w:hint="default" w:ascii="Times New Roman" w:hAnsi="Times New Roman" w:eastAsia="方正仿宋_GBK" w:cs="Times New Roman"/>
          <w:b w:val="0"/>
          <w:bCs w:val="0"/>
          <w:color w:val="auto"/>
          <w:sz w:val="32"/>
          <w:szCs w:val="32"/>
        </w:rPr>
        <w:t>因公出国（境）费用</w:t>
      </w:r>
      <w:r>
        <w:rPr>
          <w:rFonts w:hint="default" w:ascii="Times New Roman" w:hAnsi="Times New Roman" w:eastAsia="方正仿宋_GBK" w:cs="Times New Roman"/>
          <w:b w:val="0"/>
          <w:bCs w:val="0"/>
          <w:color w:val="auto"/>
          <w:sz w:val="32"/>
          <w:szCs w:val="32"/>
          <w:lang w:eastAsia="zh-CN"/>
        </w:rPr>
        <w:t>，较年初预算数无增减，较上年支出数无增减。</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rPr>
        <w:t>202</w:t>
      </w:r>
      <w:r>
        <w:rPr>
          <w:rFonts w:hint="default" w:ascii="Times New Roman" w:hAnsi="Times New Roman" w:eastAsia="方正仿宋_GBK" w:cs="Times New Roman"/>
          <w:b w:val="0"/>
          <w:bCs w:val="0"/>
          <w:color w:val="auto"/>
          <w:sz w:val="32"/>
          <w:szCs w:val="32"/>
          <w:lang w:val="en-US" w:eastAsia="zh-CN"/>
        </w:rPr>
        <w:t>4</w:t>
      </w:r>
      <w:r>
        <w:rPr>
          <w:rFonts w:hint="default" w:ascii="Times New Roman" w:hAnsi="Times New Roman" w:eastAsia="方正仿宋_GBK" w:cs="Times New Roman"/>
          <w:b w:val="0"/>
          <w:bCs w:val="0"/>
          <w:color w:val="auto"/>
          <w:sz w:val="32"/>
          <w:szCs w:val="32"/>
        </w:rPr>
        <w:t>年度本单位</w:t>
      </w:r>
      <w:r>
        <w:rPr>
          <w:rFonts w:hint="default" w:ascii="Times New Roman" w:hAnsi="Times New Roman" w:eastAsia="方正仿宋_GBK" w:cs="Times New Roman"/>
          <w:b w:val="0"/>
          <w:bCs w:val="0"/>
          <w:color w:val="auto"/>
          <w:sz w:val="32"/>
          <w:szCs w:val="32"/>
          <w:lang w:eastAsia="zh-CN"/>
        </w:rPr>
        <w:t>无公务车购置费，较年初预算数无增减，较上年支出数无增减。</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rPr>
        <w:t>202</w:t>
      </w:r>
      <w:r>
        <w:rPr>
          <w:rFonts w:hint="default" w:ascii="Times New Roman" w:hAnsi="Times New Roman" w:eastAsia="方正仿宋_GBK" w:cs="Times New Roman"/>
          <w:b w:val="0"/>
          <w:bCs w:val="0"/>
          <w:color w:val="auto"/>
          <w:sz w:val="32"/>
          <w:szCs w:val="32"/>
          <w:lang w:val="en-US" w:eastAsia="zh-CN"/>
        </w:rPr>
        <w:t>4</w:t>
      </w:r>
      <w:r>
        <w:rPr>
          <w:rFonts w:hint="default" w:ascii="Times New Roman" w:hAnsi="Times New Roman" w:eastAsia="方正仿宋_GBK" w:cs="Times New Roman"/>
          <w:b w:val="0"/>
          <w:bCs w:val="0"/>
          <w:color w:val="auto"/>
          <w:sz w:val="32"/>
          <w:szCs w:val="32"/>
        </w:rPr>
        <w:t>年度本单位</w:t>
      </w:r>
      <w:r>
        <w:rPr>
          <w:rFonts w:hint="default" w:ascii="Times New Roman" w:hAnsi="Times New Roman" w:eastAsia="方正仿宋_GBK" w:cs="Times New Roman"/>
          <w:b w:val="0"/>
          <w:bCs w:val="0"/>
          <w:color w:val="auto"/>
          <w:sz w:val="32"/>
          <w:szCs w:val="32"/>
          <w:lang w:eastAsia="zh-CN"/>
        </w:rPr>
        <w:t>无公务车运行维护费，较年初预算数无增减，较上年支出数无增减。</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202</w:t>
      </w:r>
      <w:r>
        <w:rPr>
          <w:rFonts w:hint="default" w:ascii="Times New Roman" w:hAnsi="Times New Roman" w:eastAsia="方正仿宋_GBK" w:cs="Times New Roman"/>
          <w:b w:val="0"/>
          <w:bCs w:val="0"/>
          <w:color w:val="auto"/>
          <w:sz w:val="32"/>
          <w:szCs w:val="32"/>
          <w:lang w:val="en-US" w:eastAsia="zh-CN"/>
        </w:rPr>
        <w:t>4</w:t>
      </w:r>
      <w:r>
        <w:rPr>
          <w:rFonts w:hint="default" w:ascii="Times New Roman" w:hAnsi="Times New Roman" w:eastAsia="方正仿宋_GBK" w:cs="Times New Roman"/>
          <w:b w:val="0"/>
          <w:bCs w:val="0"/>
          <w:color w:val="auto"/>
          <w:sz w:val="32"/>
          <w:szCs w:val="32"/>
        </w:rPr>
        <w:t>年度本单位</w:t>
      </w:r>
      <w:r>
        <w:rPr>
          <w:rFonts w:hint="default" w:ascii="Times New Roman" w:hAnsi="Times New Roman" w:eastAsia="方正仿宋_GBK" w:cs="Times New Roman"/>
          <w:b w:val="0"/>
          <w:bCs w:val="0"/>
          <w:color w:val="auto"/>
          <w:sz w:val="32"/>
          <w:szCs w:val="32"/>
          <w:lang w:eastAsia="zh-CN"/>
        </w:rPr>
        <w:t>无公务接待费，较年初预算数无增减，较上年支出数无增减。</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（三）“三公”经费实物量情况</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2024年度本</w:t>
      </w:r>
      <w:r>
        <w:rPr>
          <w:rFonts w:hint="default" w:ascii="Times New Roman" w:hAnsi="Times New Roman" w:eastAsia="方正仿宋_GBK" w:cs="Times New Roman"/>
          <w:b w:val="0"/>
          <w:bCs w:val="0"/>
          <w:color w:val="auto"/>
          <w:sz w:val="32"/>
          <w:szCs w:val="32"/>
          <w:lang w:eastAsia="zh-CN"/>
        </w:rPr>
        <w:t>单位</w:t>
      </w:r>
      <w:r>
        <w:rPr>
          <w:rFonts w:hint="default" w:ascii="Times New Roman" w:hAnsi="Times New Roman" w:eastAsia="方正仿宋_GBK" w:cs="Times New Roman"/>
          <w:b w:val="0"/>
          <w:bCs w:val="0"/>
          <w:color w:val="auto"/>
          <w:sz w:val="32"/>
          <w:szCs w:val="32"/>
        </w:rPr>
        <w:t>因公出国（境）共计0个团组，0人；公务用车购置0辆，公务车保有量为0辆；国内公务接待0批次0人，其中：国内外事接待0批次，0人；国（境）外公务接待0批次，0人。2024年本</w:t>
      </w:r>
      <w:r>
        <w:rPr>
          <w:rFonts w:hint="default" w:ascii="Times New Roman" w:hAnsi="Times New Roman" w:eastAsia="方正仿宋_GBK" w:cs="Times New Roman"/>
          <w:b w:val="0"/>
          <w:bCs w:val="0"/>
          <w:color w:val="auto"/>
          <w:sz w:val="32"/>
          <w:szCs w:val="32"/>
          <w:lang w:eastAsia="zh-CN"/>
        </w:rPr>
        <w:t>单位</w:t>
      </w:r>
      <w:r>
        <w:rPr>
          <w:rFonts w:hint="default" w:ascii="Times New Roman" w:hAnsi="Times New Roman" w:eastAsia="方正仿宋_GBK" w:cs="Times New Roman"/>
          <w:b w:val="0"/>
          <w:bCs w:val="0"/>
          <w:color w:val="auto"/>
          <w:sz w:val="32"/>
          <w:szCs w:val="32"/>
        </w:rPr>
        <w:t>人均接待费0元，车均购置费0万元，车均维护费0万元。</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val="0"/>
          <w:color w:val="auto"/>
          <w:sz w:val="32"/>
          <w:szCs w:val="32"/>
          <w:shd w:val="clear" w:color="auto" w:fill="FFFFFF"/>
        </w:rPr>
      </w:pPr>
      <w:r>
        <w:rPr>
          <w:rStyle w:val="13"/>
          <w:rFonts w:hint="eastAsia" w:ascii="方正黑体_GBK" w:hAnsi="方正黑体_GBK" w:eastAsia="方正黑体_GBK" w:cs="方正黑体_GBK"/>
          <w:b w:val="0"/>
          <w:bCs w:val="0"/>
          <w:color w:val="auto"/>
          <w:sz w:val="32"/>
          <w:szCs w:val="32"/>
          <w:shd w:val="clear" w:color="auto" w:fill="FFFFFF"/>
        </w:rPr>
        <w:t>四、其他需要说明的事项</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（一）财政拨款会议费、培训费和差旅费情况说明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因本单位为差额拨款单位，</w:t>
      </w:r>
      <w:r>
        <w:rPr>
          <w:rFonts w:hint="default" w:ascii="Times New Roman" w:hAnsi="Times New Roman" w:eastAsia="方正仿宋_GBK" w:cs="Times New Roman"/>
          <w:b w:val="0"/>
          <w:bCs w:val="0"/>
          <w:color w:val="auto"/>
          <w:sz w:val="32"/>
          <w:szCs w:val="32"/>
          <w:lang w:eastAsia="zh-CN"/>
        </w:rPr>
        <w:t>未使用</w:t>
      </w:r>
      <w:r>
        <w:rPr>
          <w:rFonts w:hint="default" w:ascii="Times New Roman" w:hAnsi="Times New Roman" w:eastAsia="方正仿宋_GBK" w:cs="Times New Roman"/>
          <w:b w:val="0"/>
          <w:bCs w:val="0"/>
          <w:color w:val="auto"/>
          <w:sz w:val="32"/>
          <w:szCs w:val="32"/>
        </w:rPr>
        <w:t>财政</w:t>
      </w:r>
      <w:r>
        <w:rPr>
          <w:rFonts w:hint="default" w:ascii="Times New Roman" w:hAnsi="Times New Roman" w:eastAsia="方正仿宋_GBK" w:cs="Times New Roman"/>
          <w:b w:val="0"/>
          <w:bCs w:val="0"/>
          <w:color w:val="auto"/>
          <w:sz w:val="32"/>
          <w:szCs w:val="32"/>
          <w:lang w:eastAsia="zh-CN"/>
        </w:rPr>
        <w:t>资金</w:t>
      </w:r>
      <w:r>
        <w:rPr>
          <w:rFonts w:hint="default" w:ascii="Times New Roman" w:hAnsi="Times New Roman" w:eastAsia="方正仿宋_GBK" w:cs="Times New Roman"/>
          <w:b w:val="0"/>
          <w:bCs w:val="0"/>
          <w:color w:val="auto"/>
          <w:sz w:val="32"/>
          <w:szCs w:val="32"/>
        </w:rPr>
        <w:t>保障会议费</w:t>
      </w:r>
      <w:r>
        <w:rPr>
          <w:rFonts w:hint="default" w:ascii="Times New Roman" w:hAnsi="Times New Roman" w:eastAsia="方正仿宋_GBK" w:cs="Times New Roman"/>
          <w:b w:val="0"/>
          <w:bCs w:val="0"/>
          <w:color w:val="auto"/>
          <w:sz w:val="32"/>
          <w:szCs w:val="32"/>
          <w:lang w:eastAsia="zh-CN"/>
        </w:rPr>
        <w:t>、</w:t>
      </w:r>
      <w:r>
        <w:rPr>
          <w:rFonts w:hint="default" w:ascii="Times New Roman" w:hAnsi="Times New Roman" w:eastAsia="方正仿宋_GBK" w:cs="Times New Roman"/>
          <w:b w:val="0"/>
          <w:bCs w:val="0"/>
          <w:color w:val="auto"/>
          <w:sz w:val="32"/>
          <w:szCs w:val="32"/>
        </w:rPr>
        <w:t>培训费</w:t>
      </w:r>
      <w:r>
        <w:rPr>
          <w:rFonts w:hint="default" w:ascii="Times New Roman" w:hAnsi="Times New Roman" w:eastAsia="方正仿宋_GBK" w:cs="Times New Roman"/>
          <w:b w:val="0"/>
          <w:bCs w:val="0"/>
          <w:color w:val="auto"/>
          <w:sz w:val="32"/>
          <w:szCs w:val="32"/>
          <w:lang w:eastAsia="zh-CN"/>
        </w:rPr>
        <w:t>和差旅费</w:t>
      </w:r>
      <w:r>
        <w:rPr>
          <w:rFonts w:hint="default" w:ascii="Times New Roman" w:hAnsi="Times New Roman" w:eastAsia="方正仿宋_GBK" w:cs="Times New Roman"/>
          <w:b w:val="0"/>
          <w:bCs w:val="0"/>
          <w:color w:val="auto"/>
          <w:sz w:val="32"/>
          <w:szCs w:val="32"/>
        </w:rPr>
        <w:t>。</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（二）机关运行经费情况说明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按照部门决算列报口径，</w:t>
      </w:r>
      <w:r>
        <w:rPr>
          <w:rFonts w:hint="default" w:ascii="Times New Roman" w:hAnsi="Times New Roman" w:eastAsia="方正仿宋_GBK" w:cs="Times New Roman"/>
          <w:b w:val="0"/>
          <w:bCs w:val="0"/>
          <w:color w:val="auto"/>
          <w:sz w:val="32"/>
          <w:szCs w:val="32"/>
          <w:lang w:eastAsia="zh-CN"/>
        </w:rPr>
        <w:t>本单位不在机关运行经费统计范围</w:t>
      </w:r>
      <w:r>
        <w:rPr>
          <w:rFonts w:hint="default" w:ascii="Times New Roman" w:hAnsi="Times New Roman" w:eastAsia="方正仿宋_GBK" w:cs="Times New Roman"/>
          <w:b w:val="0"/>
          <w:bCs w:val="0"/>
          <w:color w:val="auto"/>
          <w:sz w:val="32"/>
          <w:szCs w:val="32"/>
        </w:rPr>
        <w:t>之内。</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截至2024年12月31日，本</w:t>
      </w:r>
      <w:r>
        <w:rPr>
          <w:rFonts w:hint="default" w:ascii="Times New Roman" w:hAnsi="Times New Roman" w:eastAsia="方正仿宋_GBK" w:cs="Times New Roman"/>
          <w:b w:val="0"/>
          <w:bCs w:val="0"/>
          <w:color w:val="auto"/>
          <w:sz w:val="32"/>
          <w:szCs w:val="32"/>
          <w:lang w:eastAsia="zh-CN"/>
        </w:rPr>
        <w:t>单位</w:t>
      </w:r>
      <w:r>
        <w:rPr>
          <w:rFonts w:hint="default" w:ascii="Times New Roman" w:hAnsi="Times New Roman" w:eastAsia="方正仿宋_GBK" w:cs="Times New Roman"/>
          <w:b w:val="0"/>
          <w:bCs w:val="0"/>
          <w:color w:val="auto"/>
          <w:sz w:val="32"/>
          <w:szCs w:val="32"/>
        </w:rPr>
        <w:t>共有车辆2辆，其中，副部（省）级及以上领导用车0辆、主要负责人用车0辆、机要通信用车0辆、应急保障用车0辆、执法执勤用车0辆，特种专业技术用车2辆，离退休干部用车0辆。单价100万元（含）以上专用设备0台（套）。</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（四）政府采购支出情况说明</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highlight w:val="yellow"/>
        </w:rPr>
      </w:pPr>
      <w:r>
        <w:rPr>
          <w:rFonts w:hint="default" w:ascii="Times New Roman" w:hAnsi="Times New Roman" w:eastAsia="方正仿宋_GBK" w:cs="Times New Roman"/>
          <w:b w:val="0"/>
          <w:bCs w:val="0"/>
          <w:color w:val="auto"/>
          <w:sz w:val="32"/>
          <w:szCs w:val="32"/>
        </w:rPr>
        <w:t>2024年度本</w:t>
      </w:r>
      <w:r>
        <w:rPr>
          <w:rFonts w:hint="default" w:ascii="Times New Roman" w:hAnsi="Times New Roman" w:eastAsia="方正仿宋_GBK" w:cs="Times New Roman"/>
          <w:b w:val="0"/>
          <w:bCs w:val="0"/>
          <w:color w:val="auto"/>
          <w:sz w:val="32"/>
          <w:szCs w:val="32"/>
          <w:lang w:eastAsia="zh-CN"/>
        </w:rPr>
        <w:t>单位未发生</w:t>
      </w:r>
      <w:r>
        <w:rPr>
          <w:rFonts w:hint="default" w:ascii="Times New Roman" w:hAnsi="Times New Roman" w:eastAsia="方正仿宋_GBK" w:cs="Times New Roman"/>
          <w:b w:val="0"/>
          <w:bCs w:val="0"/>
          <w:color w:val="auto"/>
          <w:sz w:val="32"/>
          <w:szCs w:val="32"/>
        </w:rPr>
        <w:t>政府采购</w:t>
      </w:r>
      <w:r>
        <w:rPr>
          <w:rFonts w:hint="default" w:ascii="Times New Roman" w:hAnsi="Times New Roman" w:eastAsia="方正仿宋_GBK" w:cs="Times New Roman"/>
          <w:b w:val="0"/>
          <w:bCs w:val="0"/>
          <w:color w:val="auto"/>
          <w:sz w:val="32"/>
          <w:szCs w:val="32"/>
          <w:lang w:eastAsia="zh-CN"/>
        </w:rPr>
        <w:t>事项，无相关经费支出。</w:t>
      </w:r>
    </w:p>
    <w:p>
      <w:pPr>
        <w:pStyle w:val="16"/>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Style w:val="13"/>
          <w:rFonts w:hint="eastAsia" w:ascii="方正黑体_GBK" w:hAnsi="方正黑体_GBK" w:eastAsia="方正黑体_GBK" w:cs="方正黑体_GBK"/>
          <w:b w:val="0"/>
          <w:bCs w:val="0"/>
          <w:color w:val="auto"/>
          <w:sz w:val="32"/>
          <w:szCs w:val="32"/>
          <w:shd w:val="clear" w:color="auto" w:fill="FFFFFF"/>
          <w:lang w:val="en-US" w:eastAsia="zh-CN" w:bidi="ar-SA"/>
        </w:rPr>
      </w:pPr>
      <w:r>
        <w:rPr>
          <w:rStyle w:val="13"/>
          <w:rFonts w:hint="eastAsia" w:ascii="方正黑体_GBK" w:hAnsi="方正黑体_GBK" w:eastAsia="方正黑体_GBK" w:cs="方正黑体_GBK"/>
          <w:b w:val="0"/>
          <w:bCs w:val="0"/>
          <w:color w:val="auto"/>
          <w:sz w:val="32"/>
          <w:szCs w:val="32"/>
          <w:shd w:val="clear" w:color="auto" w:fill="FFFFFF"/>
        </w:rPr>
        <w:t>五、</w:t>
      </w:r>
      <w:r>
        <w:rPr>
          <w:rStyle w:val="13"/>
          <w:rFonts w:hint="eastAsia" w:ascii="方正黑体_GBK" w:hAnsi="方正黑体_GBK" w:eastAsia="方正黑体_GBK" w:cs="方正黑体_GBK"/>
          <w:b w:val="0"/>
          <w:bCs w:val="0"/>
          <w:color w:val="auto"/>
          <w:sz w:val="32"/>
          <w:szCs w:val="32"/>
          <w:shd w:val="clear" w:color="auto" w:fill="FFFFFF"/>
          <w:lang w:eastAsia="zh-CN"/>
        </w:rPr>
        <w:t>预算</w:t>
      </w:r>
      <w:r>
        <w:rPr>
          <w:rStyle w:val="13"/>
          <w:rFonts w:hint="eastAsia" w:ascii="方正黑体_GBK" w:hAnsi="方正黑体_GBK" w:eastAsia="方正黑体_GBK" w:cs="方正黑体_GBK"/>
          <w:b w:val="0"/>
          <w:bCs w:val="0"/>
          <w:color w:val="auto"/>
          <w:sz w:val="32"/>
          <w:szCs w:val="32"/>
          <w:shd w:val="clear" w:color="auto" w:fill="FFFFFF"/>
          <w:lang w:val="en-US" w:eastAsia="zh-CN" w:bidi="ar-SA"/>
        </w:rPr>
        <w:t>绩效管理情况说明</w:t>
      </w:r>
    </w:p>
    <w:p>
      <w:pPr>
        <w:pStyle w:val="16"/>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（一）单位自评情况</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lang w:val="en-US" w:eastAsia="zh-CN"/>
        </w:rPr>
      </w:pPr>
      <w:r>
        <w:rPr>
          <w:rFonts w:hint="default" w:ascii="Times New Roman" w:hAnsi="Times New Roman" w:eastAsia="方正仿宋_GBK" w:cs="Times New Roman"/>
          <w:b w:val="0"/>
          <w:bCs w:val="0"/>
          <w:sz w:val="32"/>
          <w:szCs w:val="32"/>
          <w:shd w:val="clear" w:color="auto" w:fill="FFFFFF"/>
          <w:lang w:eastAsia="zh-CN"/>
        </w:rPr>
        <w:t>本单位为秀山土家族苗族自治县卫生健康委员会二级预算单位，由主管部门统一开展项目支出绩效自评。</w:t>
      </w:r>
    </w:p>
    <w:tbl>
      <w:tblPr>
        <w:tblStyle w:val="14"/>
        <w:tblpPr w:leftFromText="180" w:rightFromText="180" w:vertAnchor="text" w:horzAnchor="page" w:tblpX="1693" w:tblpY="236"/>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pageBreakBefore w:val="0"/>
              <w:widowControl/>
              <w:suppressLineNumbers w:val="0"/>
              <w:kinsoku/>
              <w:wordWrap/>
              <w:overflowPunct/>
              <w:topLinePunct w:val="0"/>
              <w:autoSpaceDN/>
              <w:bidi w:val="0"/>
              <w:adjustRightInd/>
              <w:snapToGrid/>
              <w:spacing w:line="560" w:lineRule="exact"/>
              <w:ind w:firstLine="1285" w:firstLineChars="400"/>
              <w:jc w:val="both"/>
              <w:textAlignment w:val="center"/>
              <w:rPr>
                <w:rFonts w:hint="default" w:ascii="Times New Roman" w:hAnsi="Times New Roman" w:cs="Times New Roman"/>
                <w:b/>
                <w:bCs w:val="0"/>
                <w:i w:val="0"/>
                <w:color w:val="auto"/>
                <w:kern w:val="0"/>
                <w:sz w:val="32"/>
                <w:szCs w:val="32"/>
                <w:highlight w:val="none"/>
                <w:u w:val="none"/>
                <w:lang w:val="en-US" w:eastAsia="zh-CN" w:bidi="ar"/>
              </w:rPr>
            </w:pPr>
            <w:r>
              <w:rPr>
                <w:rFonts w:hint="default" w:ascii="Times New Roman" w:hAnsi="Times New Roman" w:cs="Times New Roman"/>
                <w:b/>
                <w:bCs w:val="0"/>
                <w:i w:val="0"/>
                <w:color w:val="auto"/>
                <w:kern w:val="0"/>
                <w:sz w:val="32"/>
                <w:szCs w:val="32"/>
                <w:highlight w:val="none"/>
                <w:u w:val="none"/>
                <w:lang w:val="en-US" w:eastAsia="zh-CN" w:bidi="ar"/>
              </w:rPr>
              <w:t>秀山土家族苗族自治县卫生健康委员会</w:t>
            </w:r>
          </w:p>
          <w:p>
            <w:pPr>
              <w:keepNext w:val="0"/>
              <w:keepLines w:val="0"/>
              <w:pageBreakBefore w:val="0"/>
              <w:widowControl/>
              <w:suppressLineNumbers w:val="0"/>
              <w:kinsoku/>
              <w:wordWrap/>
              <w:overflowPunct/>
              <w:topLinePunct w:val="0"/>
              <w:autoSpaceDN/>
              <w:bidi w:val="0"/>
              <w:adjustRightInd/>
              <w:snapToGrid/>
              <w:spacing w:line="560" w:lineRule="exact"/>
              <w:jc w:val="both"/>
              <w:textAlignment w:val="center"/>
              <w:rPr>
                <w:rFonts w:hint="default" w:ascii="Times New Roman" w:hAnsi="Times New Roman" w:eastAsia="宋体" w:cs="Times New Roman"/>
                <w:b/>
                <w:i w:val="0"/>
                <w:color w:val="auto"/>
                <w:sz w:val="32"/>
                <w:szCs w:val="32"/>
                <w:highlight w:val="none"/>
                <w:u w:val="none"/>
              </w:rPr>
            </w:pPr>
            <w:r>
              <w:rPr>
                <w:rFonts w:hint="default" w:ascii="Times New Roman" w:hAnsi="Times New Roman" w:eastAsia="宋体" w:cs="Times New Roman"/>
                <w:b/>
                <w:bCs w:val="0"/>
                <w:i w:val="0"/>
                <w:color w:val="auto"/>
                <w:kern w:val="0"/>
                <w:sz w:val="32"/>
                <w:szCs w:val="32"/>
                <w:highlight w:val="none"/>
                <w:u w:val="none"/>
                <w:lang w:val="en-US" w:eastAsia="zh-CN" w:bidi="ar"/>
              </w:rPr>
              <w:t>202</w:t>
            </w:r>
            <w:r>
              <w:rPr>
                <w:rFonts w:hint="default" w:ascii="Times New Roman" w:hAnsi="Times New Roman" w:cs="Times New Roman"/>
                <w:b/>
                <w:bCs w:val="0"/>
                <w:i w:val="0"/>
                <w:color w:val="auto"/>
                <w:kern w:val="0"/>
                <w:sz w:val="32"/>
                <w:szCs w:val="32"/>
                <w:highlight w:val="none"/>
                <w:u w:val="none"/>
                <w:lang w:val="en-US" w:eastAsia="zh-CN" w:bidi="ar"/>
              </w:rPr>
              <w:t>4</w:t>
            </w:r>
            <w:r>
              <w:rPr>
                <w:rFonts w:hint="default" w:ascii="Times New Roman" w:hAnsi="Times New Roman" w:eastAsia="宋体" w:cs="Times New Roman"/>
                <w:b/>
                <w:bCs w:val="0"/>
                <w:i w:val="0"/>
                <w:color w:val="auto"/>
                <w:kern w:val="0"/>
                <w:sz w:val="32"/>
                <w:szCs w:val="32"/>
                <w:highlight w:val="none"/>
                <w:u w:val="none"/>
                <w:lang w:val="en-US" w:eastAsia="zh-CN" w:bidi="ar"/>
              </w:rPr>
              <w:t>年度项目支出绩效自评情况表（</w:t>
            </w:r>
            <w:r>
              <w:rPr>
                <w:rFonts w:hint="default" w:ascii="Times New Roman" w:hAnsi="Times New Roman" w:cs="Times New Roman"/>
                <w:b/>
                <w:bCs w:val="0"/>
                <w:i w:val="0"/>
                <w:color w:val="auto"/>
                <w:kern w:val="0"/>
                <w:sz w:val="32"/>
                <w:szCs w:val="32"/>
                <w:highlight w:val="none"/>
                <w:u w:val="none"/>
                <w:lang w:val="en-US" w:eastAsia="zh-CN" w:bidi="ar"/>
              </w:rPr>
              <w:t>二级项目</w:t>
            </w:r>
            <w:r>
              <w:rPr>
                <w:rFonts w:hint="default" w:ascii="Times New Roman" w:hAnsi="Times New Roman" w:eastAsia="宋体" w:cs="Times New Roman"/>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国家</w:t>
            </w:r>
            <w:r>
              <w:rPr>
                <w:rFonts w:hint="default" w:ascii="Times New Roman" w:hAnsi="Times New Roman" w:eastAsia="方正仿宋_GBK" w:cs="Times New Roman"/>
                <w:i w:val="0"/>
                <w:color w:val="auto"/>
                <w:kern w:val="0"/>
                <w:sz w:val="24"/>
                <w:szCs w:val="24"/>
                <w:highlight w:val="none"/>
                <w:u w:val="none"/>
                <w:lang w:val="en-US" w:eastAsia="zh-CN" w:bidi="ar"/>
              </w:rPr>
              <w:t>基本公共卫生服务</w:t>
            </w:r>
            <w:r>
              <w:rPr>
                <w:rFonts w:hint="eastAsia" w:ascii="Times New Roman" w:hAnsi="Times New Roman" w:eastAsia="方正仿宋_GBK" w:cs="Times New Roman"/>
                <w:i w:val="0"/>
                <w:color w:val="auto"/>
                <w:kern w:val="0"/>
                <w:sz w:val="24"/>
                <w:szCs w:val="24"/>
                <w:highlight w:val="none"/>
                <w:u w:val="none"/>
                <w:lang w:val="en-US" w:eastAsia="zh-CN" w:bidi="ar"/>
              </w:rPr>
              <w:t>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8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sz w:val="24"/>
                <w:szCs w:val="24"/>
                <w:lang w:val="en-US"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r>
    </w:tbl>
    <w:p>
      <w:pPr>
        <w:pStyle w:val="16"/>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lang w:eastAsia="zh-CN"/>
        </w:rPr>
        <w:t>（</w:t>
      </w:r>
      <w:r>
        <w:rPr>
          <w:rFonts w:hint="default" w:ascii="Times New Roman" w:hAnsi="Times New Roman" w:eastAsia="方正楷体_GBK" w:cs="Times New Roman"/>
          <w:b w:val="0"/>
          <w:bCs w:val="0"/>
          <w:sz w:val="32"/>
          <w:szCs w:val="32"/>
          <w:shd w:val="clear" w:color="auto" w:fill="FFFFFF"/>
          <w:lang w:val="en-US" w:eastAsia="zh-CN"/>
        </w:rPr>
        <w:t>二）</w:t>
      </w:r>
      <w:r>
        <w:rPr>
          <w:rFonts w:hint="default" w:ascii="Times New Roman" w:hAnsi="Times New Roman" w:eastAsia="方正楷体_GBK" w:cs="Times New Roman"/>
          <w:b w:val="0"/>
          <w:bCs w:val="0"/>
          <w:sz w:val="32"/>
          <w:szCs w:val="32"/>
          <w:shd w:val="clear" w:color="auto" w:fill="FFFFFF"/>
        </w:rPr>
        <w:t>单位绩效评价情况</w:t>
      </w:r>
    </w:p>
    <w:p>
      <w:pPr>
        <w:pStyle w:val="16"/>
        <w:keepNext w:val="0"/>
        <w:keepLines w:val="0"/>
        <w:pageBreakBefore w:val="0"/>
        <w:widowControl/>
        <w:numPr>
          <w:ilvl w:val="0"/>
          <w:numId w:val="0"/>
        </w:numPr>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default" w:ascii="Times New Roman" w:hAnsi="Times New Roman" w:eastAsia="方正仿宋_GBK" w:cs="Times New Roman"/>
          <w:b w:val="0"/>
          <w:bCs w:val="0"/>
          <w:kern w:val="0"/>
          <w:sz w:val="32"/>
          <w:szCs w:val="32"/>
          <w:lang w:val="en-US" w:eastAsia="zh-CN" w:bidi="ar-SA"/>
        </w:rPr>
        <w:t>本单位未组织开展绩效评价。</w:t>
      </w:r>
    </w:p>
    <w:p>
      <w:pPr>
        <w:pStyle w:val="11"/>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val="0"/>
          <w:color w:val="auto"/>
          <w:sz w:val="32"/>
          <w:szCs w:val="32"/>
          <w:shd w:val="clear" w:color="auto" w:fill="FFFFFF"/>
        </w:rPr>
      </w:pPr>
      <w:r>
        <w:rPr>
          <w:rStyle w:val="13"/>
          <w:rFonts w:hint="eastAsia" w:ascii="方正黑体_GBK" w:hAnsi="方正黑体_GBK" w:eastAsia="方正黑体_GBK" w:cs="方正黑体_GBK"/>
          <w:b w:val="0"/>
          <w:bCs w:val="0"/>
          <w:color w:val="auto"/>
          <w:sz w:val="32"/>
          <w:szCs w:val="32"/>
          <w:shd w:val="clear" w:color="auto" w:fill="FFFFFF"/>
          <w:lang w:eastAsia="zh-CN"/>
        </w:rPr>
        <w:t>六</w:t>
      </w:r>
      <w:r>
        <w:rPr>
          <w:rStyle w:val="13"/>
          <w:rFonts w:hint="eastAsia" w:ascii="方正黑体_GBK" w:hAnsi="方正黑体_GBK" w:eastAsia="方正黑体_GBK" w:cs="方正黑体_GBK"/>
          <w:b w:val="0"/>
          <w:bCs w:val="0"/>
          <w:color w:val="auto"/>
          <w:sz w:val="32"/>
          <w:szCs w:val="32"/>
          <w:shd w:val="clear" w:color="auto" w:fill="FFFFFF"/>
        </w:rPr>
        <w:t>、专业名词解释</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Fonts w:hint="eastAsia" w:ascii="方正楷体_GBK" w:hAnsi="方正楷体_GBK" w:eastAsia="方正楷体_GBK" w:cs="方正楷体_GBK"/>
          <w:b w:val="0"/>
          <w:bCs w:val="0"/>
          <w:color w:val="auto"/>
          <w:sz w:val="32"/>
          <w:szCs w:val="32"/>
          <w:shd w:val="clear" w:color="auto" w:fill="FFFFFF"/>
        </w:rPr>
        <w:t>（一）财政拨款收入：</w:t>
      </w:r>
      <w:r>
        <w:rPr>
          <w:rFonts w:hint="default" w:ascii="Times New Roman" w:hAnsi="Times New Roman" w:eastAsia="方正仿宋_GBK" w:cs="Times New Roman"/>
          <w:b w:val="0"/>
          <w:bCs w:val="0"/>
          <w:color w:val="auto"/>
          <w:sz w:val="32"/>
          <w:szCs w:val="32"/>
          <w:shd w:val="clear" w:color="auto" w:fill="FFFFFF"/>
        </w:rPr>
        <w:t>指本年度从本级财政部门取得的财政拨款。</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（二）事业收入</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指事业单位开展专业业务活动及其辅助活动取得的</w:t>
      </w:r>
      <w:r>
        <w:rPr>
          <w:rFonts w:hint="default" w:ascii="Times New Roman" w:hAnsi="Times New Roman" w:eastAsia="方正仿宋_GBK" w:cs="Times New Roman"/>
          <w:b w:val="0"/>
          <w:bCs w:val="0"/>
          <w:color w:val="auto"/>
          <w:sz w:val="32"/>
          <w:szCs w:val="32"/>
          <w:shd w:val="clear" w:color="auto" w:fill="FFFFFF"/>
          <w:lang w:eastAsia="zh-CN"/>
        </w:rPr>
        <w:t>收入</w:t>
      </w:r>
      <w:r>
        <w:rPr>
          <w:rFonts w:hint="default" w:ascii="Times New Roman" w:hAnsi="Times New Roman" w:eastAsia="方正仿宋_GBK" w:cs="Times New Roman"/>
          <w:b w:val="0"/>
          <w:bCs w:val="0"/>
          <w:color w:val="auto"/>
          <w:sz w:val="32"/>
          <w:szCs w:val="32"/>
          <w:shd w:val="clear" w:color="auto" w:fill="FFFFFF"/>
        </w:rPr>
        <w:t>。</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（三）经营收入</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指事业单位在专业业务活动及其辅助活动之外开展非独立核算经营活动取得的</w:t>
      </w:r>
      <w:r>
        <w:rPr>
          <w:rFonts w:hint="default" w:ascii="Times New Roman" w:hAnsi="Times New Roman" w:eastAsia="方正仿宋_GBK" w:cs="Times New Roman"/>
          <w:b w:val="0"/>
          <w:bCs w:val="0"/>
          <w:color w:val="auto"/>
          <w:sz w:val="32"/>
          <w:szCs w:val="32"/>
          <w:shd w:val="clear" w:color="auto" w:fill="FFFFFF"/>
          <w:lang w:eastAsia="zh-CN"/>
        </w:rPr>
        <w:t>收入</w:t>
      </w:r>
      <w:r>
        <w:rPr>
          <w:rFonts w:hint="default" w:ascii="Times New Roman" w:hAnsi="Times New Roman" w:eastAsia="方正仿宋_GBK" w:cs="Times New Roman"/>
          <w:b w:val="0"/>
          <w:bCs w:val="0"/>
          <w:color w:val="auto"/>
          <w:sz w:val="32"/>
          <w:szCs w:val="32"/>
          <w:shd w:val="clear" w:color="auto" w:fill="FFFFFF"/>
        </w:rPr>
        <w:t>。</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（四）其他收入</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11"/>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（五）使用非财政拨款结余</w:t>
      </w:r>
      <w:r>
        <w:rPr>
          <w:rStyle w:val="13"/>
          <w:rFonts w:hint="eastAsia" w:ascii="方正楷体_GBK" w:hAnsi="方正楷体_GBK" w:eastAsia="方正楷体_GBK" w:cs="方正楷体_GBK"/>
          <w:b w:val="0"/>
          <w:bCs w:val="0"/>
          <w:color w:val="auto"/>
          <w:sz w:val="32"/>
          <w:szCs w:val="32"/>
          <w:shd w:val="clear" w:color="auto" w:fill="FFFFFF"/>
          <w:lang w:eastAsia="zh-CN"/>
        </w:rPr>
        <w:t>（含专用结余）</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w:t>
      </w:r>
      <w:r>
        <w:rPr>
          <w:rFonts w:hint="default" w:ascii="Times New Roman" w:hAnsi="Times New Roman" w:eastAsia="方正仿宋_GBK" w:cs="Times New Roman"/>
          <w:b w:val="0"/>
          <w:bCs w:val="0"/>
          <w:color w:val="auto"/>
          <w:sz w:val="32"/>
          <w:szCs w:val="32"/>
          <w:shd w:val="clear" w:color="auto" w:fill="FFFFFF"/>
          <w:lang w:eastAsia="zh-CN"/>
        </w:rPr>
        <w:t>事业单位按照预算管理要求使用非财政拨款结余弥补收支差额的金额，以及使用专用结余安排支出的金额。</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（六）年初结转和结余</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指单位上年结转本年使用的基本支出结转、项目支出结转和结余、经营结余。</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（七）结余分配</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指单位按照国家有关规定，缴纳所得税、提取专用基金、转入非财政拨款结余等当年结余的分配情况。</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（八）年末结转和结余</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指单位结转下年的基本支出结转、项目支出结转和结余、经营结余。</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（九）基本支出</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（十）项目支出</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指在基本支出之外为完成特定行政任务和事业发展目标所发生的支出。</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（十一）经营支出</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指事业单位在专业业务活动及其辅助活动之外开展非独立核算经营活动发生的支出。</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（十二）“三公”经费</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（十三）机关运行经费</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（十四）工资福利支出（支出经济分类科目类级）</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反映单位开支的在职职工和编制外长期聘用人员的各类劳动报酬，以及为上述人员缴纳的各项社会保险费等。</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（十五）商品和服务支出（支出经济分类科目类级）</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反映单位购买商品和服务的支出（不包括用于购置固定资产的支出、战略性和应急储备支出）。</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（十六）对个人和家庭的补助（支出经济分类科目类级）</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反映用于对个人和家庭的补助支出。</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shd w:val="clear" w:color="auto" w:fill="FFFFFF"/>
        </w:rPr>
      </w:pPr>
      <w:r>
        <w:rPr>
          <w:rStyle w:val="13"/>
          <w:rFonts w:hint="eastAsia" w:ascii="方正楷体_GBK" w:hAnsi="方正楷体_GBK" w:eastAsia="方正楷体_GBK" w:cs="方正楷体_GBK"/>
          <w:b w:val="0"/>
          <w:bCs w:val="0"/>
          <w:color w:val="auto"/>
          <w:sz w:val="32"/>
          <w:szCs w:val="32"/>
          <w:shd w:val="clear" w:color="auto" w:fill="FFFFFF"/>
        </w:rPr>
        <w:t>（十七）其他资本性支出（支出经济分类科目类级）</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11"/>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val="0"/>
          <w:color w:val="auto"/>
          <w:sz w:val="32"/>
          <w:szCs w:val="32"/>
          <w:shd w:val="clear" w:color="auto" w:fill="FFFFFF"/>
        </w:rPr>
      </w:pPr>
      <w:r>
        <w:rPr>
          <w:rStyle w:val="13"/>
          <w:rFonts w:hint="eastAsia" w:ascii="方正黑体_GBK" w:hAnsi="方正黑体_GBK" w:eastAsia="方正黑体_GBK" w:cs="方正黑体_GBK"/>
          <w:b w:val="0"/>
          <w:bCs w:val="0"/>
          <w:color w:val="auto"/>
          <w:sz w:val="32"/>
          <w:szCs w:val="32"/>
          <w:shd w:val="clear" w:color="auto" w:fill="FFFFFF"/>
          <w:lang w:eastAsia="zh-CN"/>
        </w:rPr>
        <w:t>七</w:t>
      </w:r>
      <w:r>
        <w:rPr>
          <w:rStyle w:val="13"/>
          <w:rFonts w:hint="eastAsia" w:ascii="方正黑体_GBK" w:hAnsi="方正黑体_GBK" w:eastAsia="方正黑体_GBK" w:cs="方正黑体_GBK"/>
          <w:b w:val="0"/>
          <w:bCs w:val="0"/>
          <w:color w:val="auto"/>
          <w:sz w:val="32"/>
          <w:szCs w:val="32"/>
          <w:shd w:val="clear" w:color="auto" w:fill="FFFFFF"/>
        </w:rPr>
        <w:t>、决算公开联系方式及信息反馈渠道</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rPr>
        <w:t>本</w:t>
      </w:r>
      <w:r>
        <w:rPr>
          <w:rFonts w:hint="default" w:ascii="Times New Roman" w:hAnsi="Times New Roman" w:eastAsia="方正仿宋_GBK" w:cs="Times New Roman"/>
          <w:b w:val="0"/>
          <w:bCs w:val="0"/>
          <w:color w:val="auto"/>
          <w:sz w:val="32"/>
          <w:szCs w:val="32"/>
          <w:shd w:val="clear" w:color="auto" w:fill="FFFFFF"/>
          <w:lang w:eastAsia="zh-CN"/>
        </w:rPr>
        <w:t>单位</w:t>
      </w:r>
      <w:r>
        <w:rPr>
          <w:rFonts w:hint="default" w:ascii="Times New Roman" w:hAnsi="Times New Roman" w:eastAsia="方正仿宋_GBK" w:cs="Times New Roman"/>
          <w:b w:val="0"/>
          <w:bCs w:val="0"/>
          <w:color w:val="auto"/>
          <w:sz w:val="32"/>
          <w:szCs w:val="32"/>
          <w:shd w:val="clear" w:color="auto" w:fill="FFFFFF"/>
        </w:rPr>
        <w:t>决算公开信息反馈和联系方式：</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shd w:val="clear" w:color="auto" w:fill="FFFFFF"/>
          <w:lang w:eastAsia="zh-CN"/>
        </w:rPr>
        <w:t>张洪奎</w:t>
      </w:r>
      <w:r>
        <w:rPr>
          <w:rFonts w:hint="default" w:ascii="Times New Roman" w:hAnsi="Times New Roman" w:eastAsia="方正仿宋_GBK" w:cs="Times New Roman"/>
          <w:b w:val="0"/>
          <w:bCs w:val="0"/>
          <w:color w:val="auto"/>
          <w:sz w:val="32"/>
          <w:szCs w:val="32"/>
          <w:shd w:val="clear" w:color="auto" w:fill="FFFFFF"/>
          <w:lang w:val="en-US" w:eastAsia="zh-CN"/>
        </w:rPr>
        <w:t xml:space="preserve"> 023-76624442</w:t>
      </w:r>
    </w:p>
    <w:p>
      <w:pPr>
        <w:pStyle w:val="16"/>
        <w:keepNext w:val="0"/>
        <w:keepLines w:val="0"/>
        <w:pageBreakBefore w:val="0"/>
        <w:widowControl/>
        <w:kinsoku/>
        <w:wordWrap/>
        <w:overflowPunct/>
        <w:topLinePunct w:val="0"/>
        <w:autoSpaceDE w:val="0"/>
        <w:autoSpaceDN/>
        <w:bidi w:val="0"/>
        <w:adjustRightInd/>
        <w:spacing w:beforeAutospacing="0" w:afterAutospacing="0" w:line="596" w:lineRule="exact"/>
        <w:ind w:firstLine="640"/>
        <w:jc w:val="both"/>
        <w:textAlignment w:val="auto"/>
        <w:rPr>
          <w:rStyle w:val="13"/>
          <w:rFonts w:ascii="方正仿宋_GBK" w:hAnsi="方正仿宋_GBK" w:eastAsia="方正仿宋_GBK" w:cs="方正仿宋_GBK"/>
          <w:sz w:val="32"/>
          <w:szCs w:val="32"/>
          <w:shd w:val="clear" w:color="auto" w:fill="FFFF00"/>
        </w:rPr>
        <w:sectPr>
          <w:footerReference r:id="rId3" w:type="default"/>
          <w:pgSz w:w="11915" w:h="16840"/>
          <w:pgMar w:top="2098" w:right="1474" w:bottom="1984" w:left="1587" w:header="851" w:footer="992" w:gutter="0"/>
          <w:pgNumType w:fmt="numberInDash"/>
          <w:cols w:space="720" w:num="1"/>
          <w:docGrid w:type="lines" w:linePitch="312" w:charSpace="0"/>
        </w:sectPr>
      </w:pPr>
    </w:p>
    <w:tbl>
      <w:tblPr>
        <w:tblStyle w:val="14"/>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秀山土家族苗族自治县中平乡卫生院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200.53</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197.77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1.49</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19.92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363.46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399.78</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409.38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414.23</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414.23</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4"/>
        <w:tblW w:w="15045"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173"/>
      </w:tblGrid>
      <w:tr>
        <w:tblPrEx>
          <w:tblLayout w:type="fixed"/>
          <w:tblCellMar>
            <w:top w:w="0" w:type="dxa"/>
            <w:left w:w="0" w:type="dxa"/>
            <w:bottom w:w="0" w:type="dxa"/>
            <w:right w:w="0" w:type="dxa"/>
          </w:tblCellMar>
        </w:tblPrEx>
        <w:trPr>
          <w:trHeight w:val="417" w:hRule="atLeast"/>
        </w:trPr>
        <w:tc>
          <w:tcPr>
            <w:tcW w:w="15045"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u w:color="auto"/>
              </w:rPr>
              <w:t>秀山土家族苗族自治县中平乡卫生院</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7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7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17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399.78</w:t>
            </w:r>
            <w:r>
              <w:rPr>
                <w:rFonts w:ascii="Times New Roman" w:hAnsi="Times New Roman"/>
                <w:b/>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200.53</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197.77</w:t>
            </w:r>
            <w:r>
              <w:rPr>
                <w:rFonts w:ascii="Times New Roman" w:hAnsi="Times New Roman"/>
                <w:b/>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1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1.49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11.17</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11.17</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5.65</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5.65</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353.86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154.61</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197.77</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283.41</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84.16</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197.77</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281.73</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82.48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197.77</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1.49</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63.72</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63.72</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63.19</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63.19</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6.73</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6.73</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1.73</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1.73</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075"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130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075" w:type="dxa"/>
            <w:tcBorders>
              <w:top w:val="single" w:color="auto" w:sz="4" w:space="0"/>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1308"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4"/>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秀山土家族苗族自治县中平乡卫生院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409.38</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385.49</w:t>
            </w:r>
            <w:r>
              <w:rPr>
                <w:rFonts w:ascii="Times New Roman" w:hAnsi="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23.89</w:t>
            </w:r>
            <w:r>
              <w:rPr>
                <w:rFonts w:ascii="Times New Roman" w:hAnsi="Times New Roman"/>
                <w:b/>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11.17</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11.17</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5.65</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5.65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363.46</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359.57</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3.89</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293.01</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289.65</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3.36</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291.33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289.65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63.72</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63.19</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63.19</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63.19</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6.73</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6.73</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1.73</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530"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164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530" w:type="dxa"/>
            <w:tcBorders>
              <w:top w:val="single" w:color="auto" w:sz="4" w:space="0"/>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164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4"/>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秀山土家族苗族自治县中平乡卫生院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200.53</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19.92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19.92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163.30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163.30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20.00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20.00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6.00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6.00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200.53</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209.22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209.22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8.69</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8.69</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209.22</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209.22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209.22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4"/>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秀山土家族苗族自治县中平乡卫生院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209.22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185.33</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23.89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11.17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11.17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5.65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5.65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163.30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159.41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3.89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92.85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89.49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3.36</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91.17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89.49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63.72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63.19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63.19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63.19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6.73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6.73</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5.00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1.73</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4"/>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秀山土家族苗族自治县中平乡卫生院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182.23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46.15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9.14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97.39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11.17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5.65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5.00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6.00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0.34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185.33</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4"/>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秀山土家族苗族自治县中平乡卫生院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4"/>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秀山土家族苗族自治县中平乡卫生院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4"/>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秀山土家族苗族自治县中平乡卫生院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both"/>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20"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default"/>
                            </w:rPr>
                          </w:pPr>
                          <w:r>
                            <w:fldChar w:fldCharType="begin"/>
                          </w:r>
                          <w:r>
                            <w:instrText xml:space="preserve"> PAGE  \* MERGEFORMAT </w:instrText>
                          </w:r>
                          <w:r>
                            <w:fldChar w:fldCharType="separate"/>
                          </w:r>
                          <w:r>
                            <w:rPr>
                              <w:rFonts w:hint="default"/>
                            </w:rP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7"/>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rPr>
        <w:rFonts w:hint="default"/>
      </w:rPr>
    </w:pPr>
    <w:r>
      <w:rPr>
        <w:rFonts w:hint="default"/>
      </w:rPr>
      <mc:AlternateContent>
        <mc:Choice Requires="wps">
          <w:drawing>
            <wp:anchor distT="0" distB="0" distL="114300" distR="114300" simplePos="0" relativeHeight="251664384"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7"/>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3360"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7"/>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7"/>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225332B"/>
    <w:rsid w:val="036E2DA9"/>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CEF4C2B"/>
    <w:rsid w:val="0D673E11"/>
    <w:rsid w:val="0DDA54E4"/>
    <w:rsid w:val="0E3A5F83"/>
    <w:rsid w:val="0F836721"/>
    <w:rsid w:val="0FA25D96"/>
    <w:rsid w:val="0FBD3C60"/>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45D6F41"/>
    <w:rsid w:val="163A6CEE"/>
    <w:rsid w:val="173708E3"/>
    <w:rsid w:val="17C374FC"/>
    <w:rsid w:val="182E4AB6"/>
    <w:rsid w:val="189079DC"/>
    <w:rsid w:val="189B0D0B"/>
    <w:rsid w:val="18B43F7C"/>
    <w:rsid w:val="191C433B"/>
    <w:rsid w:val="194A1770"/>
    <w:rsid w:val="19B906A4"/>
    <w:rsid w:val="1B6F15B6"/>
    <w:rsid w:val="1BAA2EDC"/>
    <w:rsid w:val="1CA55E64"/>
    <w:rsid w:val="1CE90647"/>
    <w:rsid w:val="1D014A01"/>
    <w:rsid w:val="1D022362"/>
    <w:rsid w:val="1D1B04B0"/>
    <w:rsid w:val="1DA52501"/>
    <w:rsid w:val="1DBD6767"/>
    <w:rsid w:val="1DC52125"/>
    <w:rsid w:val="1DD26311"/>
    <w:rsid w:val="1E374ACB"/>
    <w:rsid w:val="1ECF0A66"/>
    <w:rsid w:val="1EE50E5B"/>
    <w:rsid w:val="1EF67CA4"/>
    <w:rsid w:val="1F020D3A"/>
    <w:rsid w:val="1F2C5189"/>
    <w:rsid w:val="1F4B0B02"/>
    <w:rsid w:val="1FBB35CD"/>
    <w:rsid w:val="1FCD26AF"/>
    <w:rsid w:val="20642787"/>
    <w:rsid w:val="206B4E85"/>
    <w:rsid w:val="2135066C"/>
    <w:rsid w:val="21556F04"/>
    <w:rsid w:val="21725D1F"/>
    <w:rsid w:val="22403BD3"/>
    <w:rsid w:val="235417B6"/>
    <w:rsid w:val="24B92327"/>
    <w:rsid w:val="24C14514"/>
    <w:rsid w:val="24E65159"/>
    <w:rsid w:val="2533755C"/>
    <w:rsid w:val="25791755"/>
    <w:rsid w:val="25C874BE"/>
    <w:rsid w:val="262B3BCD"/>
    <w:rsid w:val="26396DF4"/>
    <w:rsid w:val="27167136"/>
    <w:rsid w:val="271B442C"/>
    <w:rsid w:val="27B23302"/>
    <w:rsid w:val="29310A5F"/>
    <w:rsid w:val="29C37A35"/>
    <w:rsid w:val="2A076083"/>
    <w:rsid w:val="2A73162E"/>
    <w:rsid w:val="2B167953"/>
    <w:rsid w:val="2B200583"/>
    <w:rsid w:val="2B8209DE"/>
    <w:rsid w:val="2B821C91"/>
    <w:rsid w:val="2BF81A22"/>
    <w:rsid w:val="2C636760"/>
    <w:rsid w:val="2C6762A3"/>
    <w:rsid w:val="2DF41D09"/>
    <w:rsid w:val="2F832F86"/>
    <w:rsid w:val="2FCA4B37"/>
    <w:rsid w:val="2FD6037F"/>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173A04"/>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E0734B"/>
    <w:rsid w:val="426C1EA8"/>
    <w:rsid w:val="42736402"/>
    <w:rsid w:val="42E86A87"/>
    <w:rsid w:val="43307B09"/>
    <w:rsid w:val="436D44AF"/>
    <w:rsid w:val="43811770"/>
    <w:rsid w:val="439A3EB9"/>
    <w:rsid w:val="43A2191B"/>
    <w:rsid w:val="43BA382C"/>
    <w:rsid w:val="43BB152F"/>
    <w:rsid w:val="44C37687"/>
    <w:rsid w:val="45CB699A"/>
    <w:rsid w:val="46423C66"/>
    <w:rsid w:val="465B470D"/>
    <w:rsid w:val="469D6AD4"/>
    <w:rsid w:val="471E6C84"/>
    <w:rsid w:val="4748792B"/>
    <w:rsid w:val="475D719D"/>
    <w:rsid w:val="47674801"/>
    <w:rsid w:val="48225EF7"/>
    <w:rsid w:val="488F422B"/>
    <w:rsid w:val="48E36915"/>
    <w:rsid w:val="48EB6572"/>
    <w:rsid w:val="495C4A24"/>
    <w:rsid w:val="497135DF"/>
    <w:rsid w:val="4A263DF2"/>
    <w:rsid w:val="4A2F278B"/>
    <w:rsid w:val="4A6F6675"/>
    <w:rsid w:val="4B135857"/>
    <w:rsid w:val="4B7951CB"/>
    <w:rsid w:val="4B7C315C"/>
    <w:rsid w:val="4C9316A8"/>
    <w:rsid w:val="4D1F53CA"/>
    <w:rsid w:val="4DAC4ACA"/>
    <w:rsid w:val="4DBE01D2"/>
    <w:rsid w:val="4F0C6BA3"/>
    <w:rsid w:val="4F186D58"/>
    <w:rsid w:val="4F534BC4"/>
    <w:rsid w:val="50F06B6E"/>
    <w:rsid w:val="51D21804"/>
    <w:rsid w:val="52234D33"/>
    <w:rsid w:val="522F6E0C"/>
    <w:rsid w:val="52463BA1"/>
    <w:rsid w:val="52F163D4"/>
    <w:rsid w:val="531A2DB4"/>
    <w:rsid w:val="53674FF7"/>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7906F88"/>
    <w:rsid w:val="5842572D"/>
    <w:rsid w:val="59542ED7"/>
    <w:rsid w:val="5A3B59D6"/>
    <w:rsid w:val="5AD134D8"/>
    <w:rsid w:val="5BF41F67"/>
    <w:rsid w:val="5C263CE4"/>
    <w:rsid w:val="5C5D2777"/>
    <w:rsid w:val="5CF66BF3"/>
    <w:rsid w:val="5D052DE4"/>
    <w:rsid w:val="5D290C69"/>
    <w:rsid w:val="5DA80C2C"/>
    <w:rsid w:val="5F2D4A41"/>
    <w:rsid w:val="60C74F6C"/>
    <w:rsid w:val="61015958"/>
    <w:rsid w:val="61025A59"/>
    <w:rsid w:val="613D5BBC"/>
    <w:rsid w:val="61536C39"/>
    <w:rsid w:val="61894431"/>
    <w:rsid w:val="62944DD7"/>
    <w:rsid w:val="6319381F"/>
    <w:rsid w:val="63C25DC5"/>
    <w:rsid w:val="63C62057"/>
    <w:rsid w:val="64571EF5"/>
    <w:rsid w:val="64647816"/>
    <w:rsid w:val="64FB113D"/>
    <w:rsid w:val="650107BB"/>
    <w:rsid w:val="656152C6"/>
    <w:rsid w:val="6587477F"/>
    <w:rsid w:val="658C3A08"/>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C0A5AC5"/>
    <w:rsid w:val="6C560CAE"/>
    <w:rsid w:val="6C576495"/>
    <w:rsid w:val="6D903FF5"/>
    <w:rsid w:val="6DA955B8"/>
    <w:rsid w:val="6DE346AB"/>
    <w:rsid w:val="6DE5391A"/>
    <w:rsid w:val="6ECF2A00"/>
    <w:rsid w:val="6EFD1324"/>
    <w:rsid w:val="6EFE1C0C"/>
    <w:rsid w:val="6F5A53AC"/>
    <w:rsid w:val="6FAC003D"/>
    <w:rsid w:val="6FD926BF"/>
    <w:rsid w:val="6FE55E12"/>
    <w:rsid w:val="6FFB2E76"/>
    <w:rsid w:val="708F6F7F"/>
    <w:rsid w:val="70D94BD3"/>
    <w:rsid w:val="711A1443"/>
    <w:rsid w:val="71574775"/>
    <w:rsid w:val="71C34D91"/>
    <w:rsid w:val="724D14D0"/>
    <w:rsid w:val="729E02B0"/>
    <w:rsid w:val="72DB435C"/>
    <w:rsid w:val="72E2613A"/>
    <w:rsid w:val="72F771F4"/>
    <w:rsid w:val="73934AD2"/>
    <w:rsid w:val="746372E2"/>
    <w:rsid w:val="750837F0"/>
    <w:rsid w:val="7538251F"/>
    <w:rsid w:val="754758CF"/>
    <w:rsid w:val="75595ECD"/>
    <w:rsid w:val="764F62AB"/>
    <w:rsid w:val="765C45EC"/>
    <w:rsid w:val="768A7619"/>
    <w:rsid w:val="772E1EBA"/>
    <w:rsid w:val="781926BC"/>
    <w:rsid w:val="79635810"/>
    <w:rsid w:val="796D60A4"/>
    <w:rsid w:val="797A664A"/>
    <w:rsid w:val="79A031D5"/>
    <w:rsid w:val="79B47FDF"/>
    <w:rsid w:val="79E569A9"/>
    <w:rsid w:val="7A1525F7"/>
    <w:rsid w:val="7AF6692E"/>
    <w:rsid w:val="7B330D8E"/>
    <w:rsid w:val="7B420052"/>
    <w:rsid w:val="7BB6608C"/>
    <w:rsid w:val="7BD06A28"/>
    <w:rsid w:val="7C3A7C0B"/>
    <w:rsid w:val="7C5248E4"/>
    <w:rsid w:val="7C566698"/>
    <w:rsid w:val="7C5866A3"/>
    <w:rsid w:val="7D7406BB"/>
    <w:rsid w:val="7DE94331"/>
    <w:rsid w:val="7E023E25"/>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rPr>
      <w:rFonts w:hint="eastAsia" w:ascii="宋体" w:hAnsi="宋体" w:eastAsia="宋体" w:cs="Times New Roman"/>
      <w:sz w:val="24"/>
      <w:szCs w:val="24"/>
      <w:lang w:val="en-US" w:eastAsia="zh-CN" w:bidi="ar-SA"/>
    </w:rPr>
  </w:style>
  <w:style w:type="character" w:default="1" w:styleId="12">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Indent"/>
    <w:basedOn w:val="1"/>
    <w:next w:val="5"/>
    <w:unhideWhenUsed/>
    <w:qFormat/>
    <w:uiPriority w:val="99"/>
    <w:pPr>
      <w:widowControl/>
      <w:spacing w:after="120"/>
      <w:ind w:left="420" w:leftChars="200"/>
      <w:jc w:val="left"/>
    </w:pPr>
    <w:rPr>
      <w:rFonts w:ascii="宋体" w:hAnsi="宋体" w:eastAsia="宋体" w:cs="宋体"/>
      <w:kern w:val="0"/>
      <w:sz w:val="24"/>
    </w:rPr>
  </w:style>
  <w:style w:type="paragraph" w:styleId="5">
    <w:name w:val="Body Text First Indent 2"/>
    <w:basedOn w:val="4"/>
    <w:next w:val="1"/>
    <w:unhideWhenUsed/>
    <w:qFormat/>
    <w:uiPriority w:val="99"/>
    <w:pPr>
      <w:ind w:firstLine="420" w:firstLineChars="200"/>
    </w:pPr>
  </w:style>
  <w:style w:type="paragraph" w:styleId="6">
    <w:name w:val="Balloon Text"/>
    <w:basedOn w:val="1"/>
    <w:link w:val="20"/>
    <w:qFormat/>
    <w:uiPriority w:val="0"/>
    <w:rPr>
      <w:sz w:val="18"/>
      <w:szCs w:val="18"/>
    </w:rPr>
  </w:style>
  <w:style w:type="paragraph" w:styleId="7">
    <w:name w:val="footer"/>
    <w:basedOn w:val="1"/>
    <w:qFormat/>
    <w:uiPriority w:val="0"/>
    <w:pPr>
      <w:tabs>
        <w:tab w:val="center" w:pos="4153"/>
        <w:tab w:val="right" w:pos="8306"/>
      </w:tabs>
      <w:snapToGrid w:val="0"/>
    </w:pPr>
    <w:rPr>
      <w:sz w:val="18"/>
      <w:szCs w:val="18"/>
    </w:rPr>
  </w:style>
  <w:style w:type="paragraph" w:styleId="8">
    <w:name w:val="header"/>
    <w:basedOn w:val="1"/>
    <w:qFormat/>
    <w:uiPriority w:val="0"/>
    <w:pPr>
      <w:tabs>
        <w:tab w:val="center" w:pos="4153"/>
        <w:tab w:val="right" w:pos="8306"/>
      </w:tabs>
      <w:snapToGrid w:val="0"/>
      <w:jc w:val="center"/>
    </w:pPr>
    <w:rPr>
      <w:sz w:val="18"/>
      <w:szCs w:val="18"/>
    </w:rPr>
  </w:style>
  <w:style w:type="paragraph" w:styleId="9">
    <w:name w:val="footnote text"/>
    <w:basedOn w:val="1"/>
    <w:next w:val="5"/>
    <w:semiHidden/>
    <w:qFormat/>
    <w:uiPriority w:val="0"/>
    <w:pPr>
      <w:snapToGrid w:val="0"/>
      <w:jc w:val="left"/>
    </w:pPr>
    <w:rPr>
      <w:sz w:val="18"/>
      <w:szCs w:val="18"/>
    </w:r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11">
    <w:name w:val="Normal (Web)"/>
    <w:basedOn w:val="1"/>
    <w:unhideWhenUsed/>
    <w:qFormat/>
    <w:uiPriority w:val="0"/>
    <w:pPr>
      <w:spacing w:before="100" w:beforeAutospacing="1" w:after="100" w:afterAutospacing="1"/>
    </w:pPr>
  </w:style>
  <w:style w:type="character" w:styleId="13">
    <w:name w:val="Strong"/>
    <w:qFormat/>
    <w:uiPriority w:val="0"/>
    <w:rPr>
      <w:b/>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6">
    <w:name w:val="列出段落1"/>
    <w:basedOn w:val="1"/>
    <w:qFormat/>
    <w:uiPriority w:val="99"/>
    <w:pPr>
      <w:ind w:firstLine="420" w:firstLineChars="200"/>
    </w:pPr>
    <w:rPr>
      <w:rFonts w:hint="default"/>
    </w:rPr>
  </w:style>
  <w:style w:type="paragraph" w:customStyle="1" w:styleId="17">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8">
    <w:name w:val="21"/>
    <w:qFormat/>
    <w:uiPriority w:val="0"/>
    <w:rPr>
      <w:rFonts w:hint="default" w:ascii="Wingdings" w:hAnsi="Wingdings" w:cs="Wingdings"/>
      <w:b/>
      <w:bCs/>
    </w:rPr>
  </w:style>
  <w:style w:type="paragraph" w:customStyle="1" w:styleId="19">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20">
    <w:name w:val="批注框文本 Char"/>
    <w:basedOn w:val="12"/>
    <w:link w:val="6"/>
    <w:qFormat/>
    <w:uiPriority w:val="0"/>
    <w:rPr>
      <w:rFonts w:ascii="宋体" w:hAnsi="宋体"/>
      <w:sz w:val="18"/>
      <w:szCs w:val="18"/>
    </w:rPr>
  </w:style>
  <w:style w:type="paragraph" w:customStyle="1" w:styleId="21">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0</TotalTime>
  <ScaleCrop>false</ScaleCrop>
  <LinksUpToDate>false</LinksUpToDate>
  <CharactersWithSpaces>26313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国库科</cp:lastModifiedBy>
  <dcterms:modified xsi:type="dcterms:W3CDTF">2025-10-27T06:17:36Z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