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秀山土家族苗族自治县龙凤坝镇卫生院</w:t>
      </w:r>
    </w:p>
    <w:p>
      <w:pPr>
        <w:pStyle w:val="11"/>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hint="eastAsia" w:ascii="方正小标宋_GBK" w:hAnsi="方正小标宋_GBK" w:eastAsia="方正小标宋_GBK" w:cs="方正小标宋_GBK"/>
          <w:sz w:val="44"/>
          <w:szCs w:val="44"/>
          <w:shd w:val="clear" w:color="auto" w:fill="FFFFFF"/>
        </w:rPr>
        <w:t>年度决算公开说明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9"/>
        <w:rPr>
          <w:rStyle w:val="13"/>
          <w:rFonts w:hint="eastAsia" w:ascii="方正黑体_GBK" w:hAnsi="方正黑体_GBK" w:eastAsia="方正黑体_GBK" w:cs="方正黑体_GBK"/>
          <w:sz w:val="32"/>
          <w:szCs w:val="32"/>
          <w:shd w:val="clear" w:color="auto" w:fill="FFFFFF"/>
        </w:rPr>
      </w:pP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eastAsia" w:ascii="方正黑体_GBK" w:hAnsi="方正黑体_GBK" w:eastAsia="方正黑体_GBK" w:cs="方正黑体_GBK"/>
          <w:b w:val="0"/>
          <w:bCs/>
          <w:sz w:val="32"/>
          <w:szCs w:val="32"/>
          <w:shd w:val="clear" w:color="auto" w:fill="FFFFFF"/>
        </w:rPr>
      </w:pPr>
      <w:r>
        <w:rPr>
          <w:rStyle w:val="13"/>
          <w:rFonts w:hint="eastAsia" w:ascii="方正黑体_GBK" w:hAnsi="方正黑体_GBK" w:eastAsia="方正黑体_GBK" w:cs="方正黑体_GBK"/>
          <w:b w:val="0"/>
          <w:bCs/>
          <w:sz w:val="32"/>
          <w:szCs w:val="32"/>
          <w:shd w:val="clear" w:color="auto" w:fill="FFFFFF"/>
        </w:rPr>
        <w:t>一、</w:t>
      </w:r>
      <w:r>
        <w:rPr>
          <w:rStyle w:val="13"/>
          <w:rFonts w:hint="eastAsia" w:ascii="方正黑体_GBK" w:hAnsi="方正黑体_GBK" w:eastAsia="方正黑体_GBK" w:cs="方正黑体_GBK"/>
          <w:b w:val="0"/>
          <w:bCs/>
          <w:sz w:val="32"/>
          <w:szCs w:val="32"/>
          <w:shd w:val="clear" w:color="auto" w:fill="FFFFFF"/>
          <w:lang w:eastAsia="zh-CN"/>
        </w:rPr>
        <w:t>单位</w:t>
      </w:r>
      <w:r>
        <w:rPr>
          <w:rStyle w:val="13"/>
          <w:rFonts w:hint="eastAsia" w:ascii="方正黑体_GBK" w:hAnsi="方正黑体_GBK" w:eastAsia="方正黑体_GBK" w:cs="方正黑体_GBK"/>
          <w:b w:val="0"/>
          <w:bCs/>
          <w:sz w:val="32"/>
          <w:szCs w:val="32"/>
          <w:shd w:val="clear" w:color="auto" w:fill="FFFFFF"/>
        </w:rPr>
        <w:t>基本情况</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方正楷体_GBK" w:hAnsi="方正楷体_GBK" w:eastAsia="方正楷体_GBK" w:cs="方正楷体_GBK"/>
          <w:b w:val="0"/>
          <w:bCs/>
          <w:sz w:val="32"/>
          <w:szCs w:val="32"/>
        </w:rPr>
      </w:pPr>
      <w:r>
        <w:rPr>
          <w:rStyle w:val="13"/>
          <w:rFonts w:hint="eastAsia" w:ascii="方正楷体_GBK" w:hAnsi="方正楷体_GBK" w:eastAsia="方正楷体_GBK" w:cs="方正楷体_GBK"/>
          <w:b w:val="0"/>
          <w:bCs/>
          <w:sz w:val="32"/>
          <w:szCs w:val="32"/>
          <w:shd w:val="clear" w:color="auto" w:fill="FFFFFF"/>
        </w:rPr>
        <w:t>（一）职能职责</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i w:val="0"/>
          <w:caps w:val="0"/>
          <w:color w:val="333333"/>
          <w:spacing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护理，提供双向转诊、现场急诊急救等医疗服务。本单位为乡镇卫生院，应当履行以下公共卫生职责：</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1.</w:t>
      </w:r>
      <w:r>
        <w:rPr>
          <w:rFonts w:hint="eastAsia" w:ascii="方正仿宋_GBK" w:hAnsi="方正仿宋_GBK" w:eastAsia="方正仿宋_GBK" w:cs="方正仿宋_GBK"/>
          <w:b w:val="0"/>
          <w:bCs/>
          <w:i w:val="0"/>
          <w:caps w:val="0"/>
          <w:color w:val="333333"/>
          <w:spacing w:val="0"/>
          <w:sz w:val="32"/>
          <w:szCs w:val="32"/>
          <w:shd w:val="clear" w:fill="FFFFFF"/>
        </w:rPr>
        <w:t>根据国家和本市规定收集、报送辖区内卫生健康信息，建立和管理居民健康档案，提出改进辖区公共卫生状况的建议；</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2.开</w:t>
      </w:r>
      <w:r>
        <w:rPr>
          <w:rFonts w:hint="eastAsia" w:ascii="方正仿宋_GBK" w:hAnsi="方正仿宋_GBK" w:eastAsia="方正仿宋_GBK" w:cs="方正仿宋_GBK"/>
          <w:b w:val="0"/>
          <w:bCs/>
          <w:i w:val="0"/>
          <w:caps w:val="0"/>
          <w:color w:val="333333"/>
          <w:spacing w:val="0"/>
          <w:sz w:val="32"/>
          <w:szCs w:val="32"/>
          <w:shd w:val="clear" w:fill="FFFFFF"/>
        </w:rPr>
        <w:t>展健康教育，普及健康知识；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3.</w:t>
      </w:r>
      <w:r>
        <w:rPr>
          <w:rFonts w:hint="eastAsia" w:ascii="方正仿宋_GBK" w:hAnsi="方正仿宋_GBK" w:eastAsia="方正仿宋_GBK" w:cs="方正仿宋_GBK"/>
          <w:b w:val="0"/>
          <w:bCs/>
          <w:i w:val="0"/>
          <w:caps w:val="0"/>
          <w:color w:val="333333"/>
          <w:spacing w:val="0"/>
          <w:sz w:val="32"/>
          <w:szCs w:val="32"/>
          <w:shd w:val="clear" w:fill="FFFFFF"/>
        </w:rPr>
        <w:t>协助开展传染病以及地方病、寄生虫病的预防控制， 配合开展爱国卫生工作；</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4.</w:t>
      </w:r>
      <w:r>
        <w:rPr>
          <w:rFonts w:hint="eastAsia" w:ascii="方正仿宋_GBK" w:hAnsi="方正仿宋_GBK" w:eastAsia="方正仿宋_GBK" w:cs="方正仿宋_GBK"/>
          <w:b w:val="0"/>
          <w:bCs/>
          <w:i w:val="0"/>
          <w:caps w:val="0"/>
          <w:color w:val="333333"/>
          <w:spacing w:val="0"/>
          <w:sz w:val="32"/>
          <w:szCs w:val="32"/>
          <w:shd w:val="clear" w:fill="FFFFFF"/>
        </w:rPr>
        <w:t>做好高危人群、重点慢性病患者的筛查和病例管理；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5.</w:t>
      </w:r>
      <w:r>
        <w:rPr>
          <w:rFonts w:hint="eastAsia" w:ascii="方正仿宋_GBK" w:hAnsi="方正仿宋_GBK" w:eastAsia="方正仿宋_GBK" w:cs="方正仿宋_GBK"/>
          <w:b w:val="0"/>
          <w:bCs/>
          <w:i w:val="0"/>
          <w:caps w:val="0"/>
          <w:color w:val="333333"/>
          <w:spacing w:val="0"/>
          <w:sz w:val="32"/>
          <w:szCs w:val="32"/>
          <w:shd w:val="clear" w:fill="FFFFFF"/>
        </w:rPr>
        <w:t>提供心理健康指导服务，实施精神病社区管理；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6.</w:t>
      </w:r>
      <w:r>
        <w:rPr>
          <w:rFonts w:hint="eastAsia" w:ascii="方正仿宋_GBK" w:hAnsi="方正仿宋_GBK" w:eastAsia="方正仿宋_GBK" w:cs="方正仿宋_GBK"/>
          <w:b w:val="0"/>
          <w:bCs/>
          <w:i w:val="0"/>
          <w:caps w:val="0"/>
          <w:color w:val="333333"/>
          <w:spacing w:val="0"/>
          <w:sz w:val="32"/>
          <w:szCs w:val="32"/>
          <w:shd w:val="clear" w:fill="FFFFFF"/>
        </w:rPr>
        <w:t>为妇女、儿童、老年人、残疾人等重点人群提供保健和康复服务；</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7.</w:t>
      </w:r>
      <w:r>
        <w:rPr>
          <w:rFonts w:hint="eastAsia" w:ascii="方正仿宋_GBK" w:hAnsi="方正仿宋_GBK" w:eastAsia="方正仿宋_GBK" w:cs="方正仿宋_GBK"/>
          <w:b w:val="0"/>
          <w:bCs/>
          <w:i w:val="0"/>
          <w:caps w:val="0"/>
          <w:color w:val="333333"/>
          <w:spacing w:val="0"/>
          <w:sz w:val="32"/>
          <w:szCs w:val="32"/>
          <w:shd w:val="clear" w:fill="FFFFFF"/>
        </w:rPr>
        <w:t>提供计划生育技术服务，协助处置辖区内突发公共卫生事件等；</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default" w:ascii="Times New Roman" w:hAnsi="Times New Roman" w:eastAsia="方正仿宋_GBK" w:cs="Times New Roman"/>
          <w:b w:val="0"/>
          <w:bCs/>
          <w:i w:val="0"/>
          <w:caps w:val="0"/>
          <w:color w:val="333333"/>
          <w:spacing w:val="0"/>
          <w:sz w:val="32"/>
          <w:szCs w:val="32"/>
          <w:shd w:val="clear" w:fill="FFFFFF"/>
        </w:rPr>
        <w:t>8.</w:t>
      </w:r>
      <w:r>
        <w:rPr>
          <w:rFonts w:hint="eastAsia" w:ascii="方正仿宋_GBK" w:hAnsi="方正仿宋_GBK" w:eastAsia="方正仿宋_GBK" w:cs="方正仿宋_GBK"/>
          <w:b w:val="0"/>
          <w:bCs/>
          <w:i w:val="0"/>
          <w:caps w:val="0"/>
          <w:color w:val="333333"/>
          <w:spacing w:val="0"/>
          <w:sz w:val="32"/>
          <w:szCs w:val="32"/>
          <w:shd w:val="clear" w:fill="FFFFFF"/>
        </w:rPr>
        <w:t>按要求提供其他公共卫生服务。</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方正楷体_GBK" w:hAnsi="方正楷体_GBK" w:eastAsia="方正楷体_GBK" w:cs="方正楷体_GBK"/>
          <w:b w:val="0"/>
          <w:bCs/>
          <w:i w:val="0"/>
          <w:caps w:val="0"/>
          <w:color w:val="333333"/>
          <w:spacing w:val="0"/>
          <w:sz w:val="32"/>
          <w:szCs w:val="32"/>
          <w:shd w:val="clear" w:fill="FFFFFF"/>
        </w:rPr>
      </w:pPr>
      <w:r>
        <w:rPr>
          <w:rStyle w:val="13"/>
          <w:rFonts w:hint="eastAsia" w:ascii="方正楷体_GBK" w:hAnsi="方正楷体_GBK" w:eastAsia="方正楷体_GBK" w:cs="方正楷体_GBK"/>
          <w:b w:val="0"/>
          <w:bCs/>
          <w:sz w:val="32"/>
          <w:szCs w:val="32"/>
          <w:shd w:val="clear" w:color="auto" w:fill="FFFFFF"/>
        </w:rPr>
        <w:t>（二）机构设置</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方正仿宋_GBK" w:hAnsi="方正仿宋_GBK" w:eastAsia="方正仿宋_GBK" w:cs="方正仿宋_GBK"/>
          <w:b w:val="0"/>
          <w:bCs/>
          <w:i w:val="0"/>
          <w:caps w:val="0"/>
          <w:color w:val="FF0000"/>
          <w:spacing w:val="0"/>
          <w:sz w:val="32"/>
          <w:szCs w:val="32"/>
          <w:shd w:val="clear" w:fill="FFFFFF"/>
        </w:rPr>
      </w:pPr>
      <w:r>
        <w:rPr>
          <w:rFonts w:hint="eastAsia" w:ascii="方正仿宋_GBK" w:hAnsi="方正仿宋_GBK" w:eastAsia="方正仿宋_GBK" w:cs="方正仿宋_GBK"/>
          <w:b w:val="0"/>
          <w:bCs/>
          <w:i w:val="0"/>
          <w:caps w:val="0"/>
          <w:color w:val="333333"/>
          <w:spacing w:val="0"/>
          <w:sz w:val="32"/>
          <w:szCs w:val="32"/>
          <w:shd w:val="clear" w:fill="FFFFFF"/>
        </w:rPr>
        <w:t>本单位为秀山县卫生健康委员会二级预算单位，无下级预算单位。</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i w:val="0"/>
          <w:caps w:val="0"/>
          <w:color w:val="333333"/>
          <w:spacing w:val="0"/>
          <w:sz w:val="32"/>
          <w:szCs w:val="32"/>
          <w:shd w:val="clear" w:fill="FFFFFF"/>
        </w:rPr>
        <w:t>本单位下设综合门诊、综合住院、西药房、收费室、公卫科。</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default" w:ascii="Times New Roman" w:hAnsi="Times New Roman" w:eastAsia="方正黑体_GBK" w:cs="Times New Roman"/>
          <w:b w:val="0"/>
          <w:bCs/>
          <w:sz w:val="32"/>
          <w:szCs w:val="32"/>
          <w:shd w:val="clear" w:color="auto" w:fill="FFFFFF"/>
        </w:rPr>
      </w:pPr>
      <w:r>
        <w:rPr>
          <w:rStyle w:val="13"/>
          <w:rFonts w:hint="eastAsia" w:ascii="Times New Roman" w:hAnsi="Times New Roman" w:eastAsia="方正黑体_GBK" w:cs="Times New Roman"/>
          <w:b w:val="0"/>
          <w:bCs/>
          <w:sz w:val="32"/>
          <w:szCs w:val="32"/>
          <w:shd w:val="clear" w:color="auto" w:fill="FFFFFF"/>
          <w:lang w:eastAsia="zh-CN"/>
        </w:rPr>
        <w:t>二</w:t>
      </w:r>
      <w:r>
        <w:rPr>
          <w:rStyle w:val="13"/>
          <w:rFonts w:hint="default" w:ascii="Times New Roman" w:hAnsi="Times New Roman" w:eastAsia="方正黑体_GBK" w:cs="Times New Roman"/>
          <w:b w:val="0"/>
          <w:bCs/>
          <w:sz w:val="32"/>
          <w:szCs w:val="32"/>
          <w:shd w:val="clear" w:color="auto" w:fill="FFFFFF"/>
        </w:rPr>
        <w:t>、</w:t>
      </w:r>
      <w:r>
        <w:rPr>
          <w:rStyle w:val="13"/>
          <w:rFonts w:hint="default" w:ascii="Times New Roman" w:hAnsi="Times New Roman" w:eastAsia="方正黑体_GBK" w:cs="Times New Roman"/>
          <w:b w:val="0"/>
          <w:bCs/>
          <w:sz w:val="32"/>
          <w:szCs w:val="32"/>
          <w:shd w:val="clear" w:color="auto" w:fill="FFFFFF"/>
          <w:lang w:eastAsia="zh-CN"/>
        </w:rPr>
        <w:t>单位</w:t>
      </w:r>
      <w:r>
        <w:rPr>
          <w:rStyle w:val="13"/>
          <w:rFonts w:hint="default" w:ascii="Times New Roman" w:hAnsi="Times New Roman" w:eastAsia="方正黑体_GBK" w:cs="Times New Roman"/>
          <w:b w:val="0"/>
          <w:bCs/>
          <w:sz w:val="32"/>
          <w:szCs w:val="32"/>
          <w:shd w:val="clear" w:color="auto" w:fill="FFFFFF"/>
        </w:rPr>
        <w:t>决算</w:t>
      </w:r>
      <w:r>
        <w:rPr>
          <w:rStyle w:val="13"/>
          <w:rFonts w:hint="default" w:ascii="Times New Roman" w:hAnsi="Times New Roman" w:eastAsia="方正黑体_GBK" w:cs="Times New Roman"/>
          <w:b w:val="0"/>
          <w:bCs/>
          <w:sz w:val="32"/>
          <w:szCs w:val="32"/>
          <w:shd w:val="clear" w:color="auto" w:fill="FFFFFF"/>
          <w:lang w:eastAsia="zh-CN"/>
        </w:rPr>
        <w:t>收支</w:t>
      </w:r>
      <w:r>
        <w:rPr>
          <w:rStyle w:val="13"/>
          <w:rFonts w:hint="default" w:ascii="Times New Roman" w:hAnsi="Times New Roman" w:eastAsia="方正黑体_GBK" w:cs="Times New Roman"/>
          <w:b w:val="0"/>
          <w:bCs/>
          <w:sz w:val="32"/>
          <w:szCs w:val="32"/>
          <w:shd w:val="clear" w:color="auto" w:fill="FFFFFF"/>
        </w:rPr>
        <w:t>情况说明</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bookmarkStart w:id="0" w:name="_GoBack"/>
      <w:r>
        <w:rPr>
          <w:rFonts w:hint="default" w:ascii="Times New Roman" w:hAnsi="Times New Roman" w:eastAsia="方正楷体_GBK" w:cs="Times New Roman"/>
          <w:b w:val="0"/>
          <w:bCs/>
          <w:sz w:val="32"/>
          <w:szCs w:val="32"/>
          <w:shd w:val="clear" w:color="auto" w:fill="FFFFFF"/>
        </w:rPr>
        <w:t>（一）收入支出决算总体情况说明</w:t>
      </w:r>
    </w:p>
    <w:bookmarkEnd w:id="0"/>
    <w:p>
      <w:pPr>
        <w:pStyle w:val="11"/>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2024年度收</w:t>
      </w:r>
      <w:r>
        <w:rPr>
          <w:rFonts w:hint="default" w:ascii="Times New Roman" w:hAnsi="Times New Roman" w:eastAsia="方正仿宋_GBK" w:cs="Times New Roman"/>
          <w:b w:val="0"/>
          <w:bCs/>
          <w:sz w:val="32"/>
          <w:szCs w:val="32"/>
          <w:shd w:val="clear" w:color="auto" w:fill="FFFFFF"/>
          <w:lang w:eastAsia="zh-CN"/>
        </w:rPr>
        <w:t>、支</w:t>
      </w:r>
      <w:r>
        <w:rPr>
          <w:rFonts w:hint="default" w:ascii="Times New Roman" w:hAnsi="Times New Roman" w:eastAsia="方正仿宋_GBK" w:cs="Times New Roman"/>
          <w:b w:val="0"/>
          <w:bCs/>
          <w:sz w:val="32"/>
          <w:szCs w:val="32"/>
          <w:shd w:val="clear" w:color="auto" w:fill="FFFFFF"/>
        </w:rPr>
        <w:t>总计</w:t>
      </w:r>
      <w:r>
        <w:rPr>
          <w:rFonts w:hint="default" w:ascii="Times New Roman" w:hAnsi="Times New Roman" w:eastAsia="方正仿宋_GBK" w:cs="Times New Roman"/>
          <w:b w:val="0"/>
          <w:bCs/>
          <w:sz w:val="32"/>
          <w:szCs w:val="32"/>
          <w:shd w:val="clear" w:color="auto" w:fill="FFFFFF"/>
          <w:lang w:eastAsia="zh-CN"/>
        </w:rPr>
        <w:t>均为</w:t>
      </w:r>
      <w:r>
        <w:rPr>
          <w:rFonts w:hint="default" w:ascii="Times New Roman" w:hAnsi="Times New Roman" w:eastAsia="方正仿宋_GBK" w:cs="Times New Roman"/>
          <w:b w:val="0"/>
          <w:bCs/>
          <w:sz w:val="32"/>
          <w:szCs w:val="32"/>
          <w:shd w:val="clear" w:color="auto" w:fill="FFFFFF"/>
        </w:rPr>
        <w:t>209.58万元。收、支与2023年度相比，增加55.20万元，增长35.8%，主要原因是</w:t>
      </w:r>
      <w:r>
        <w:rPr>
          <w:rFonts w:hint="default" w:ascii="Times New Roman" w:hAnsi="Times New Roman" w:eastAsia="方正仿宋_GBK" w:cs="Times New Roman"/>
          <w:b w:val="0"/>
          <w:bCs/>
          <w:sz w:val="32"/>
          <w:szCs w:val="32"/>
          <w:shd w:val="clear" w:color="auto" w:fill="FFFFFF"/>
          <w:lang w:eastAsia="zh-CN"/>
        </w:rPr>
        <w:t>人员的增加、社保、公积金缴费基数增加及基本工资增加等。</w:t>
      </w:r>
    </w:p>
    <w:p>
      <w:pPr>
        <w:pStyle w:val="11"/>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lang w:val="en-US" w:eastAsia="zh-CN"/>
        </w:rPr>
        <w:t>1</w:t>
      </w:r>
      <w:r>
        <w:rPr>
          <w:rStyle w:val="13"/>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b w:val="0"/>
          <w:bCs/>
          <w:sz w:val="32"/>
          <w:szCs w:val="32"/>
          <w:shd w:val="clear" w:color="auto" w:fill="FFFFFF"/>
        </w:rPr>
        <w:t>2024年度收入合计200.52万元，与2023年度相比，增加46.14万元，增长29.9%，主要原因是</w:t>
      </w:r>
      <w:r>
        <w:rPr>
          <w:rFonts w:hint="default" w:ascii="Times New Roman" w:hAnsi="Times New Roman" w:eastAsia="方正仿宋_GBK" w:cs="Times New Roman"/>
          <w:b w:val="0"/>
          <w:bCs/>
          <w:sz w:val="32"/>
          <w:szCs w:val="32"/>
          <w:shd w:val="clear" w:color="auto" w:fill="FFFFFF"/>
          <w:lang w:eastAsia="zh-CN"/>
        </w:rPr>
        <w:t>人员的增加、社保、公积金缴费基数增加及基本工资增加等</w:t>
      </w:r>
      <w:r>
        <w:rPr>
          <w:rFonts w:hint="default" w:ascii="Times New Roman" w:hAnsi="Times New Roman" w:eastAsia="方正仿宋_GBK" w:cs="Times New Roman"/>
          <w:b w:val="0"/>
          <w:bCs/>
          <w:color w:val="0000FF"/>
          <w:sz w:val="32"/>
          <w:szCs w:val="32"/>
          <w:shd w:val="clear" w:color="auto" w:fill="FFFFFF"/>
        </w:rPr>
        <w:t>。</w:t>
      </w:r>
      <w:r>
        <w:rPr>
          <w:rFonts w:hint="default" w:ascii="Times New Roman" w:hAnsi="Times New Roman" w:eastAsia="方正仿宋_GBK" w:cs="Times New Roman"/>
          <w:b w:val="0"/>
          <w:bCs/>
          <w:sz w:val="32"/>
          <w:szCs w:val="32"/>
          <w:shd w:val="clear" w:color="auto" w:fill="FFFFFF"/>
        </w:rPr>
        <w:t>其中：财政拨款收入166.90万元，占83.2%；事业收入33.59万元，占16.8%；经营收入0.00万元，占0.0%；其他收入0.03万元，占0.0%。此外，使用非财政拨款结余（含专用结余）0.00万元，年初结转和结余9.06万元。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lang w:val="en-US" w:eastAsia="zh-CN"/>
        </w:rPr>
        <w:t>2</w:t>
      </w:r>
      <w:r>
        <w:rPr>
          <w:rStyle w:val="13"/>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b w:val="0"/>
          <w:bCs/>
          <w:sz w:val="32"/>
          <w:szCs w:val="32"/>
          <w:shd w:val="clear" w:color="auto" w:fill="FFFFFF"/>
        </w:rPr>
        <w:t>2024年度支出合计209.58万元，与2023年度相比，增加64.26万元，增长44.2%，主要原因是</w:t>
      </w:r>
      <w:r>
        <w:rPr>
          <w:rFonts w:hint="default" w:ascii="Times New Roman" w:hAnsi="Times New Roman" w:eastAsia="方正仿宋_GBK" w:cs="Times New Roman"/>
          <w:b w:val="0"/>
          <w:bCs/>
          <w:sz w:val="32"/>
          <w:szCs w:val="32"/>
          <w:shd w:val="clear" w:color="auto" w:fill="FFFFFF"/>
          <w:lang w:eastAsia="zh-CN"/>
        </w:rPr>
        <w:t>人员的增加、社保、公积金缴费基数增加及基本工资增加等。</w:t>
      </w:r>
      <w:r>
        <w:rPr>
          <w:rFonts w:hint="default" w:ascii="Times New Roman" w:hAnsi="Times New Roman" w:eastAsia="方正仿宋_GBK" w:cs="Times New Roman"/>
          <w:b w:val="0"/>
          <w:bCs/>
          <w:sz w:val="32"/>
          <w:szCs w:val="32"/>
          <w:shd w:val="clear" w:color="auto" w:fill="FFFFFF"/>
        </w:rPr>
        <w:t>其中：基本支出199.98万元，占95.4%；项目支出9.60万元，占4.6%；经营支出</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万元，占0.0%。此外，结余分配0.00万元。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val="en-US" w:eastAsia="zh-CN"/>
        </w:rPr>
      </w:pPr>
      <w:r>
        <w:rPr>
          <w:rStyle w:val="13"/>
          <w:rFonts w:hint="default" w:ascii="Times New Roman" w:hAnsi="Times New Roman" w:eastAsia="方正仿宋_GBK" w:cs="Times New Roman"/>
          <w:b w:val="0"/>
          <w:bCs/>
          <w:sz w:val="32"/>
          <w:szCs w:val="32"/>
          <w:shd w:val="clear" w:color="auto" w:fill="FFFFFF"/>
          <w:lang w:val="en-US" w:eastAsia="zh-CN"/>
        </w:rPr>
        <w:t>3</w:t>
      </w:r>
      <w:r>
        <w:rPr>
          <w:rStyle w:val="13"/>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b w:val="0"/>
          <w:bCs/>
          <w:sz w:val="32"/>
          <w:szCs w:val="32"/>
          <w:shd w:val="clear" w:color="auto" w:fill="FFFFFF"/>
        </w:rPr>
        <w:t>2024年度年末结转和结余0.00万元，与2023年度相比，减少9.06万元，下降100.0%，主要原因是</w:t>
      </w:r>
      <w:r>
        <w:rPr>
          <w:rFonts w:hint="eastAsia" w:ascii="Times New Roman" w:hAnsi="Times New Roman" w:eastAsia="方正仿宋_GBK" w:cs="Times New Roman"/>
          <w:b w:val="0"/>
          <w:bCs/>
          <w:sz w:val="32"/>
          <w:szCs w:val="32"/>
          <w:shd w:val="clear" w:color="auto" w:fill="FFFFFF"/>
          <w:lang w:val="en-US" w:eastAsia="zh-CN"/>
        </w:rPr>
        <w:t>绩效清算未及时拨付</w:t>
      </w:r>
      <w:r>
        <w:rPr>
          <w:rFonts w:hint="default" w:ascii="Times New Roman" w:hAnsi="Times New Roman" w:eastAsia="方正仿宋_GBK" w:cs="Times New Roman"/>
          <w:b w:val="0"/>
          <w:bCs/>
          <w:sz w:val="32"/>
          <w:szCs w:val="32"/>
          <w:shd w:val="clear" w:color="auto" w:fill="FFFFFF"/>
          <w:lang w:val="en-US" w:eastAsia="zh-CN"/>
        </w:rPr>
        <w:t>导致的。</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（二）财政拨款收入支出决算总体情况说明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2024年度财政拨款收、支总计均为175.97万元。与2023年</w:t>
      </w:r>
      <w:r>
        <w:rPr>
          <w:rFonts w:hint="default" w:ascii="Times New Roman" w:hAnsi="Times New Roman" w:eastAsia="方正仿宋_GBK" w:cs="Times New Roman"/>
          <w:b w:val="0"/>
          <w:bCs/>
          <w:sz w:val="32"/>
          <w:szCs w:val="32"/>
          <w:shd w:val="clear" w:color="auto" w:fill="FFFFFF"/>
          <w:lang w:eastAsia="zh-CN"/>
        </w:rPr>
        <w:t>度</w:t>
      </w:r>
      <w:r>
        <w:rPr>
          <w:rFonts w:hint="default" w:ascii="Times New Roman" w:hAnsi="Times New Roman" w:eastAsia="方正仿宋_GBK" w:cs="Times New Roman"/>
          <w:b w:val="0"/>
          <w:bCs/>
          <w:sz w:val="32"/>
          <w:szCs w:val="32"/>
          <w:shd w:val="clear" w:color="auto" w:fill="FFFFFF"/>
        </w:rPr>
        <w:t>相比，财政拨款收、支总计各增加36.15万元，增长25.9%。主要原因是</w:t>
      </w:r>
      <w:r>
        <w:rPr>
          <w:rFonts w:hint="default" w:ascii="Times New Roman" w:hAnsi="Times New Roman" w:eastAsia="方正仿宋_GBK" w:cs="Times New Roman"/>
          <w:b w:val="0"/>
          <w:bCs/>
          <w:sz w:val="32"/>
          <w:szCs w:val="32"/>
          <w:shd w:val="clear" w:color="auto" w:fill="FFFFFF"/>
          <w:lang w:eastAsia="zh-CN"/>
        </w:rPr>
        <w:t>人员的增加、社保、公积金缴费基数增加及基本工资增加等。</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Style w:val="13"/>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b w:val="0"/>
          <w:bCs/>
          <w:sz w:val="32"/>
          <w:szCs w:val="32"/>
          <w:shd w:val="clear" w:color="auto" w:fill="FFFFFF"/>
        </w:rPr>
        <w:t>2024年度一般公共预算财政拨款收入166.90万元，与2023年度相比，增加27.08万元，增长19.4%。主要原因是</w:t>
      </w:r>
      <w:r>
        <w:rPr>
          <w:rFonts w:hint="default" w:ascii="Times New Roman" w:hAnsi="Times New Roman" w:eastAsia="方正仿宋_GBK" w:cs="Times New Roman"/>
          <w:b w:val="0"/>
          <w:bCs/>
          <w:sz w:val="32"/>
          <w:szCs w:val="32"/>
          <w:shd w:val="clear" w:color="auto" w:fill="FFFFFF"/>
          <w:lang w:eastAsia="zh-CN"/>
        </w:rPr>
        <w:t>人员的增加、社保、公积金缴费基数增加及基本工资增加等。</w:t>
      </w:r>
      <w:r>
        <w:rPr>
          <w:rFonts w:hint="default" w:ascii="Times New Roman" w:hAnsi="Times New Roman" w:eastAsia="方正仿宋_GBK" w:cs="Times New Roman"/>
          <w:b w:val="0"/>
          <w:bCs/>
          <w:sz w:val="32"/>
          <w:szCs w:val="32"/>
          <w:shd w:val="clear" w:color="auto" w:fill="FFFFFF"/>
        </w:rPr>
        <w:t>较年初预算数增加35.95万元，增长27.5%。主要原因是</w:t>
      </w:r>
      <w:r>
        <w:rPr>
          <w:rFonts w:hint="eastAsia" w:ascii="Times New Roman" w:hAnsi="Times New Roman" w:eastAsia="方正仿宋_GBK" w:cs="Times New Roman"/>
          <w:b w:val="0"/>
          <w:bCs/>
          <w:sz w:val="32"/>
          <w:szCs w:val="32"/>
          <w:shd w:val="clear" w:color="auto" w:fill="FFFFFF"/>
          <w:lang w:val="en-US" w:eastAsia="zh-CN"/>
        </w:rPr>
        <w:t>2024年中途增加3名财政供养人员，人员</w:t>
      </w:r>
      <w:r>
        <w:rPr>
          <w:rFonts w:hint="default" w:ascii="Times New Roman" w:hAnsi="Times New Roman" w:eastAsia="方正仿宋_GBK" w:cs="Times New Roman"/>
          <w:b w:val="0"/>
          <w:bCs/>
          <w:sz w:val="32"/>
          <w:szCs w:val="32"/>
          <w:shd w:val="clear" w:color="auto" w:fill="FFFFFF"/>
          <w:lang w:eastAsia="zh-CN"/>
        </w:rPr>
        <w:t>基本工资中的薪级增加及岗位的变动</w:t>
      </w:r>
      <w:r>
        <w:rPr>
          <w:rFonts w:hint="eastAsia" w:ascii="Times New Roman" w:hAnsi="Times New Roman" w:eastAsia="方正仿宋_GBK" w:cs="Times New Roman"/>
          <w:b w:val="0"/>
          <w:bCs/>
          <w:sz w:val="32"/>
          <w:szCs w:val="32"/>
          <w:shd w:val="clear" w:color="auto" w:fill="FFFFFF"/>
          <w:lang w:eastAsia="zh-CN"/>
        </w:rPr>
        <w:t>等原因</w:t>
      </w:r>
      <w:r>
        <w:rPr>
          <w:rFonts w:hint="default" w:ascii="Times New Roman" w:hAnsi="Times New Roman" w:eastAsia="方正仿宋_GBK" w:cs="Times New Roman"/>
          <w:b w:val="0"/>
          <w:bCs/>
          <w:sz w:val="32"/>
          <w:szCs w:val="32"/>
          <w:shd w:val="clear" w:color="auto" w:fill="FFFFFF"/>
          <w:lang w:eastAsia="zh-CN"/>
        </w:rPr>
        <w:t>。</w:t>
      </w:r>
      <w:r>
        <w:rPr>
          <w:rFonts w:hint="default" w:ascii="Times New Roman" w:hAnsi="Times New Roman" w:eastAsia="方正仿宋_GBK" w:cs="Times New Roman"/>
          <w:b w:val="0"/>
          <w:bCs/>
          <w:sz w:val="32"/>
          <w:szCs w:val="32"/>
          <w:shd w:val="clear" w:color="auto" w:fill="FFFFFF"/>
        </w:rPr>
        <w:t>此外，年初财政拨款结转和结余9.06万元。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b w:val="0"/>
          <w:bCs/>
          <w:sz w:val="32"/>
          <w:szCs w:val="32"/>
          <w:shd w:val="clear" w:color="auto" w:fill="FFFFFF"/>
        </w:rPr>
        <w:t>2024年度一般公共预算财政拨款支出175.97万元，与2023年度相比，增加45.21万元，增长34.6%。主要原因是</w:t>
      </w:r>
      <w:r>
        <w:rPr>
          <w:rFonts w:hint="default" w:ascii="Times New Roman" w:hAnsi="Times New Roman" w:eastAsia="方正仿宋_GBK" w:cs="Times New Roman"/>
          <w:b w:val="0"/>
          <w:bCs/>
          <w:sz w:val="32"/>
          <w:szCs w:val="32"/>
          <w:shd w:val="clear" w:color="auto" w:fill="FFFFFF"/>
          <w:lang w:eastAsia="zh-CN"/>
        </w:rPr>
        <w:t>人员的增加、社保、公积金缴费基数增加及基本工资增加等。</w:t>
      </w:r>
      <w:r>
        <w:rPr>
          <w:rFonts w:hint="default" w:ascii="Times New Roman" w:hAnsi="Times New Roman" w:eastAsia="方正仿宋_GBK" w:cs="Times New Roman"/>
          <w:b w:val="0"/>
          <w:bCs/>
          <w:sz w:val="32"/>
          <w:szCs w:val="32"/>
          <w:shd w:val="clear" w:color="auto" w:fill="FFFFFF"/>
        </w:rPr>
        <w:t>较年初预算数增加45.02万元，增长34.4%。主要原因是</w:t>
      </w:r>
      <w:r>
        <w:rPr>
          <w:rFonts w:hint="eastAsia" w:ascii="Times New Roman" w:hAnsi="Times New Roman" w:eastAsia="方正仿宋_GBK" w:cs="Times New Roman"/>
          <w:b w:val="0"/>
          <w:bCs/>
          <w:sz w:val="32"/>
          <w:szCs w:val="32"/>
          <w:shd w:val="clear" w:color="auto" w:fill="FFFFFF"/>
          <w:lang w:val="en-US" w:eastAsia="zh-CN"/>
        </w:rPr>
        <w:t>2024年中途增加3名财政供养人员，人员</w:t>
      </w:r>
      <w:r>
        <w:rPr>
          <w:rFonts w:hint="default" w:ascii="Times New Roman" w:hAnsi="Times New Roman" w:eastAsia="方正仿宋_GBK" w:cs="Times New Roman"/>
          <w:b w:val="0"/>
          <w:bCs/>
          <w:sz w:val="32"/>
          <w:szCs w:val="32"/>
          <w:shd w:val="clear" w:color="auto" w:fill="FFFFFF"/>
          <w:lang w:eastAsia="zh-CN"/>
        </w:rPr>
        <w:t>基本工资中的薪级增加及岗位的变动</w:t>
      </w:r>
      <w:r>
        <w:rPr>
          <w:rFonts w:hint="eastAsia" w:ascii="Times New Roman" w:hAnsi="Times New Roman" w:eastAsia="方正仿宋_GBK" w:cs="Times New Roman"/>
          <w:b w:val="0"/>
          <w:bCs/>
          <w:sz w:val="32"/>
          <w:szCs w:val="32"/>
          <w:shd w:val="clear" w:color="auto" w:fill="FFFFFF"/>
          <w:lang w:eastAsia="zh-CN"/>
        </w:rPr>
        <w:t>等原因</w:t>
      </w:r>
      <w:r>
        <w:rPr>
          <w:rFonts w:hint="default" w:ascii="Times New Roman" w:hAnsi="Times New Roman" w:eastAsia="方正仿宋_GBK" w:cs="Times New Roman"/>
          <w:b w:val="0"/>
          <w:bCs/>
          <w:sz w:val="32"/>
          <w:szCs w:val="32"/>
          <w:shd w:val="clear" w:color="auto" w:fill="FFFFFF"/>
          <w:lang w:eastAsia="zh-CN"/>
        </w:rPr>
        <w:t>。</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一般公共预算财政拨款支出主要</w:t>
      </w:r>
      <w:r>
        <w:rPr>
          <w:rFonts w:hint="default" w:ascii="Times New Roman" w:hAnsi="Times New Roman" w:eastAsia="方正仿宋_GBK" w:cs="Times New Roman"/>
          <w:b w:val="0"/>
          <w:bCs/>
          <w:sz w:val="32"/>
          <w:szCs w:val="32"/>
          <w:highlight w:val="none"/>
          <w:shd w:val="clear" w:color="auto" w:fill="FFFFFF"/>
          <w:lang w:eastAsia="zh-CN"/>
        </w:rPr>
        <w:t>用途如下</w:t>
      </w:r>
      <w:r>
        <w:rPr>
          <w:rFonts w:hint="default" w:ascii="Times New Roman" w:hAnsi="Times New Roman" w:eastAsia="方正仿宋_GBK" w:cs="Times New Roman"/>
          <w:b w:val="0"/>
          <w:bCs/>
          <w:sz w:val="32"/>
          <w:szCs w:val="32"/>
          <w:highlight w:val="none"/>
          <w:shd w:val="clear" w:color="auto" w:fill="FFFFFF"/>
        </w:rPr>
        <w:t>：</w:t>
      </w:r>
    </w:p>
    <w:p>
      <w:pPr>
        <w:pStyle w:val="11"/>
        <w:keepNext w:val="0"/>
        <w:keepLines w:val="0"/>
        <w:pageBreakBefore w:val="0"/>
        <w:widowControl/>
        <w:numPr>
          <w:ilvl w:val="0"/>
          <w:numId w:val="1"/>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社会保障</w:t>
      </w:r>
      <w:r>
        <w:rPr>
          <w:rFonts w:hint="default" w:ascii="Times New Roman" w:hAnsi="Times New Roman" w:eastAsia="方正仿宋_GBK" w:cs="Times New Roman"/>
          <w:b w:val="0"/>
          <w:bCs/>
          <w:sz w:val="32"/>
          <w:szCs w:val="32"/>
          <w:shd w:val="clear" w:color="auto" w:fill="FFFFFF"/>
          <w:lang w:eastAsia="zh-CN"/>
        </w:rPr>
        <w:t>和</w:t>
      </w:r>
      <w:r>
        <w:rPr>
          <w:rFonts w:hint="default" w:ascii="Times New Roman" w:hAnsi="Times New Roman" w:eastAsia="方正仿宋_GBK" w:cs="Times New Roman"/>
          <w:b w:val="0"/>
          <w:bCs/>
          <w:sz w:val="32"/>
          <w:szCs w:val="32"/>
          <w:shd w:val="clear" w:color="auto" w:fill="FFFFFF"/>
        </w:rPr>
        <w:t>就业支出27.90万元，占15.9%，较年初预算数增加7.27万元，增长35.2%，主要原因是</w:t>
      </w:r>
      <w:r>
        <w:rPr>
          <w:rFonts w:hint="default" w:ascii="Times New Roman" w:hAnsi="Times New Roman" w:eastAsia="方正仿宋_GBK" w:cs="Times New Roman"/>
          <w:b w:val="0"/>
          <w:bCs/>
          <w:sz w:val="32"/>
          <w:szCs w:val="32"/>
          <w:shd w:val="clear" w:color="auto" w:fill="FFFFFF"/>
          <w:lang w:eastAsia="zh-CN"/>
        </w:rPr>
        <w:t>实际缴费基数大于年初预算缴费基数</w:t>
      </w:r>
      <w:r>
        <w:rPr>
          <w:rFonts w:hint="eastAsia" w:ascii="Times New Roman" w:hAnsi="Times New Roman" w:eastAsia="方正仿宋_GBK" w:cs="Times New Roman"/>
          <w:b w:val="0"/>
          <w:bCs/>
          <w:sz w:val="32"/>
          <w:szCs w:val="32"/>
          <w:shd w:val="clear" w:color="auto" w:fill="FFFFFF"/>
          <w:lang w:eastAsia="zh-CN"/>
        </w:rPr>
        <w:t>及人员的增加</w:t>
      </w:r>
      <w:r>
        <w:rPr>
          <w:rFonts w:hint="default" w:ascii="Times New Roman" w:hAnsi="Times New Roman" w:eastAsia="方正仿宋_GBK" w:cs="Times New Roman"/>
          <w:b w:val="0"/>
          <w:bCs/>
          <w:sz w:val="32"/>
          <w:szCs w:val="32"/>
          <w:shd w:val="clear" w:color="auto" w:fill="FFFFFF"/>
          <w:lang w:eastAsia="zh-CN"/>
        </w:rPr>
        <w:t>。</w:t>
      </w:r>
    </w:p>
    <w:p>
      <w:pPr>
        <w:pStyle w:val="11"/>
        <w:keepNext w:val="0"/>
        <w:keepLines w:val="0"/>
        <w:pageBreakBefore w:val="0"/>
        <w:widowControl/>
        <w:numPr>
          <w:ilvl w:val="0"/>
          <w:numId w:val="0"/>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）卫生健康支出140.85万元，占80.0%，较年初预算数增加37.75万元，增长36.6%，主要原因是</w:t>
      </w:r>
      <w:r>
        <w:rPr>
          <w:rFonts w:hint="default" w:ascii="Times New Roman" w:hAnsi="Times New Roman" w:eastAsia="方正仿宋_GBK" w:cs="Times New Roman"/>
          <w:b w:val="0"/>
          <w:bCs/>
          <w:sz w:val="32"/>
          <w:szCs w:val="32"/>
          <w:shd w:val="clear" w:color="auto" w:fill="FFFFFF"/>
          <w:lang w:eastAsia="zh-CN"/>
        </w:rPr>
        <w:t>年初预算的工资</w:t>
      </w:r>
      <w:r>
        <w:rPr>
          <w:rFonts w:hint="eastAsia" w:ascii="Times New Roman" w:hAnsi="Times New Roman" w:eastAsia="方正仿宋_GBK" w:cs="Times New Roman"/>
          <w:b w:val="0"/>
          <w:bCs/>
          <w:sz w:val="32"/>
          <w:szCs w:val="32"/>
          <w:shd w:val="clear" w:color="auto" w:fill="FFFFFF"/>
          <w:lang w:eastAsia="zh-CN"/>
        </w:rPr>
        <w:t>人数</w:t>
      </w:r>
      <w:r>
        <w:rPr>
          <w:rFonts w:hint="default" w:ascii="Times New Roman" w:hAnsi="Times New Roman" w:eastAsia="方正仿宋_GBK" w:cs="Times New Roman"/>
          <w:b w:val="0"/>
          <w:bCs/>
          <w:sz w:val="32"/>
          <w:szCs w:val="32"/>
          <w:shd w:val="clear" w:color="auto" w:fill="FFFFFF"/>
          <w:lang w:eastAsia="zh-CN"/>
        </w:rPr>
        <w:t>小于实际发放的工资</w:t>
      </w:r>
      <w:r>
        <w:rPr>
          <w:rFonts w:hint="eastAsia" w:ascii="Times New Roman" w:hAnsi="Times New Roman" w:eastAsia="方正仿宋_GBK" w:cs="Times New Roman"/>
          <w:b w:val="0"/>
          <w:bCs/>
          <w:sz w:val="32"/>
          <w:szCs w:val="32"/>
          <w:shd w:val="clear" w:color="auto" w:fill="FFFFFF"/>
          <w:lang w:eastAsia="zh-CN"/>
        </w:rPr>
        <w:t>人数</w:t>
      </w:r>
      <w:r>
        <w:rPr>
          <w:rFonts w:hint="default" w:ascii="Times New Roman" w:hAnsi="Times New Roman" w:eastAsia="方正仿宋_GBK" w:cs="Times New Roman"/>
          <w:b w:val="0"/>
          <w:bCs/>
          <w:sz w:val="32"/>
          <w:szCs w:val="32"/>
          <w:shd w:val="clear" w:color="auto" w:fill="FFFFFF"/>
          <w:lang w:eastAsia="zh-CN"/>
        </w:rPr>
        <w:t>，实际发放的人员工资薪级增加及岗位变动等。</w:t>
      </w:r>
    </w:p>
    <w:p>
      <w:pPr>
        <w:pStyle w:val="11"/>
        <w:keepNext w:val="0"/>
        <w:keepLines w:val="0"/>
        <w:pageBreakBefore w:val="0"/>
        <w:widowControl/>
        <w:numPr>
          <w:ilvl w:val="0"/>
          <w:numId w:val="0"/>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w:t>
      </w:r>
      <w:r>
        <w:rPr>
          <w:rFonts w:hint="default" w:ascii="Times New Roman" w:hAnsi="Times New Roman" w:eastAsia="方正仿宋_GBK" w:cs="Times New Roman"/>
          <w:b w:val="0"/>
          <w:bCs/>
          <w:sz w:val="32"/>
          <w:szCs w:val="32"/>
          <w:shd w:val="clear" w:color="auto" w:fill="FFFFFF"/>
        </w:rPr>
        <w:t>7.22万元，占4.1%，较年初预算数无增减，主要原因是</w:t>
      </w:r>
      <w:r>
        <w:rPr>
          <w:rFonts w:hint="default" w:ascii="Times New Roman" w:hAnsi="Times New Roman" w:eastAsia="方正仿宋_GBK" w:cs="Times New Roman"/>
          <w:b w:val="0"/>
          <w:bCs/>
          <w:sz w:val="32"/>
          <w:szCs w:val="32"/>
          <w:shd w:val="clear" w:color="auto" w:fill="FFFFFF"/>
          <w:lang w:eastAsia="zh-CN"/>
        </w:rPr>
        <w:t>实际缴费基数</w:t>
      </w:r>
      <w:r>
        <w:rPr>
          <w:rFonts w:hint="eastAsia" w:ascii="Times New Roman" w:hAnsi="Times New Roman" w:eastAsia="方正仿宋_GBK" w:cs="Times New Roman"/>
          <w:b w:val="0"/>
          <w:bCs/>
          <w:sz w:val="32"/>
          <w:szCs w:val="32"/>
          <w:shd w:val="clear" w:color="auto" w:fill="FFFFFF"/>
          <w:lang w:eastAsia="zh-CN"/>
        </w:rPr>
        <w:t>等于</w:t>
      </w:r>
      <w:r>
        <w:rPr>
          <w:rFonts w:hint="default" w:ascii="Times New Roman" w:hAnsi="Times New Roman" w:eastAsia="方正仿宋_GBK" w:cs="Times New Roman"/>
          <w:b w:val="0"/>
          <w:bCs/>
          <w:sz w:val="32"/>
          <w:szCs w:val="32"/>
          <w:shd w:val="clear" w:color="auto" w:fill="FFFFFF"/>
          <w:lang w:eastAsia="zh-CN"/>
        </w:rPr>
        <w:t>年初预算缴费基数。</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b w:val="0"/>
          <w:bCs/>
          <w:sz w:val="32"/>
          <w:szCs w:val="32"/>
          <w:shd w:val="clear" w:color="auto" w:fill="FFFFFF"/>
        </w:rPr>
        <w:t>2024年度年末一般公共预算财政拨款结转和结余0.00万元，与2023年度相比，减少9.06万元，下降100.0%，主要原因是</w:t>
      </w:r>
      <w:r>
        <w:rPr>
          <w:rFonts w:hint="eastAsia" w:ascii="Times New Roman" w:hAnsi="Times New Roman" w:eastAsia="方正仿宋_GBK" w:cs="Times New Roman"/>
          <w:b w:val="0"/>
          <w:bCs/>
          <w:sz w:val="32"/>
          <w:szCs w:val="32"/>
          <w:shd w:val="clear" w:color="auto" w:fill="FFFFFF"/>
          <w:lang w:val="en-US" w:eastAsia="zh-CN"/>
        </w:rPr>
        <w:t>绩效清算未及时拨付</w:t>
      </w:r>
      <w:r>
        <w:rPr>
          <w:rFonts w:hint="default" w:ascii="Times New Roman" w:hAnsi="Times New Roman" w:eastAsia="方正仿宋_GBK" w:cs="Times New Roman"/>
          <w:b w:val="0"/>
          <w:bCs/>
          <w:sz w:val="32"/>
          <w:szCs w:val="32"/>
          <w:shd w:val="clear" w:color="auto" w:fill="FFFFFF"/>
          <w:lang w:val="en-US" w:eastAsia="zh-CN"/>
        </w:rPr>
        <w:t>导致的。</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（四）一般公共预算财政拨款基本支出决算情况说明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2024年度一般公共财政拨款基本支出166.37万元。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其中：</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人员经费166.37万元，与2023年度相比，增加35.61万元，增长27.2%，主要原因是</w:t>
      </w:r>
      <w:r>
        <w:rPr>
          <w:rFonts w:hint="default" w:ascii="Times New Roman" w:hAnsi="Times New Roman" w:eastAsia="方正仿宋_GBK" w:cs="Times New Roman"/>
          <w:b w:val="0"/>
          <w:bCs/>
          <w:sz w:val="32"/>
          <w:szCs w:val="32"/>
          <w:shd w:val="clear" w:color="auto" w:fill="FFFFFF"/>
          <w:lang w:eastAsia="zh-CN"/>
        </w:rPr>
        <w:t>财政供养人员的增加和档案工资增加。</w:t>
      </w:r>
      <w:r>
        <w:rPr>
          <w:rFonts w:hint="default" w:ascii="Times New Roman" w:hAnsi="Times New Roman" w:eastAsia="方正仿宋_GBK" w:cs="Times New Roman"/>
          <w:b w:val="0"/>
          <w:bCs/>
          <w:sz w:val="32"/>
          <w:szCs w:val="32"/>
          <w:shd w:val="clear" w:color="auto" w:fill="FFFFFF"/>
        </w:rPr>
        <w:t>人员经费用途主要包括</w:t>
      </w:r>
      <w:r>
        <w:rPr>
          <w:rFonts w:hint="default" w:ascii="Times New Roman" w:hAnsi="Times New Roman" w:eastAsia="方正仿宋_GBK" w:cs="Times New Roman"/>
          <w:b w:val="0"/>
          <w:bCs/>
          <w:sz w:val="32"/>
          <w:szCs w:val="32"/>
          <w:shd w:val="clear" w:color="auto" w:fill="FFFFFF"/>
          <w:lang w:eastAsia="zh-CN"/>
        </w:rPr>
        <w:t>基本工资、津补贴、绩效、社保、公积金等</w:t>
      </w:r>
      <w:r>
        <w:rPr>
          <w:rFonts w:hint="default" w:ascii="Times New Roman" w:hAnsi="Times New Roman" w:eastAsia="方正仿宋_GBK" w:cs="Times New Roman"/>
          <w:b w:val="0"/>
          <w:bCs/>
          <w:sz w:val="32"/>
          <w:szCs w:val="32"/>
          <w:shd w:val="clear" w:color="auto" w:fill="FFFFFF"/>
        </w:rPr>
        <w:t>。</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eastAsia="zh-CN"/>
        </w:rPr>
        <w:t>公用经费为</w:t>
      </w:r>
      <w:r>
        <w:rPr>
          <w:rFonts w:hint="default" w:ascii="Times New Roman" w:hAnsi="Times New Roman" w:eastAsia="方正仿宋_GBK" w:cs="Times New Roman"/>
          <w:b w:val="0"/>
          <w:bCs/>
          <w:sz w:val="32"/>
          <w:szCs w:val="32"/>
          <w:shd w:val="clear" w:color="auto" w:fill="FFFFFF"/>
        </w:rPr>
        <w:t>0.00万元，与2023年度相比，无增减，主要原因是</w:t>
      </w:r>
      <w:r>
        <w:rPr>
          <w:rFonts w:hint="default" w:ascii="Times New Roman" w:hAnsi="Times New Roman" w:eastAsia="方正仿宋_GBK" w:cs="Times New Roman"/>
          <w:b w:val="0"/>
          <w:bCs/>
          <w:sz w:val="32"/>
          <w:szCs w:val="32"/>
          <w:shd w:val="clear" w:color="auto" w:fill="FFFFFF"/>
          <w:lang w:eastAsia="zh-CN"/>
        </w:rPr>
        <w:t>本单位属于财政差额拨款单位，财政未拨付</w:t>
      </w:r>
      <w:r>
        <w:rPr>
          <w:rFonts w:hint="default" w:ascii="Times New Roman" w:hAnsi="Times New Roman" w:eastAsia="方正仿宋_GBK" w:cs="Times New Roman"/>
          <w:b w:val="0"/>
          <w:bCs/>
          <w:sz w:val="32"/>
          <w:szCs w:val="32"/>
          <w:shd w:val="clear" w:color="auto" w:fill="FFFFFF"/>
        </w:rPr>
        <w:t>公用经费</w:t>
      </w:r>
      <w:r>
        <w:rPr>
          <w:rFonts w:hint="default" w:ascii="Times New Roman" w:hAnsi="Times New Roman" w:eastAsia="方正仿宋_GBK" w:cs="Times New Roman"/>
          <w:b w:val="0"/>
          <w:bCs/>
          <w:sz w:val="32"/>
          <w:szCs w:val="32"/>
          <w:shd w:val="clear" w:color="auto" w:fill="FFFFFF"/>
          <w:lang w:eastAsia="zh-CN"/>
        </w:rPr>
        <w:t>。</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（五）政府性基金预算收支决算情况说明</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lang w:eastAsia="zh-CN"/>
        </w:rPr>
        <w:t>本单位202</w:t>
      </w:r>
      <w:r>
        <w:rPr>
          <w:rFonts w:hint="default" w:ascii="Times New Roman" w:hAnsi="Times New Roman" w:eastAsia="方正仿宋_GBK" w:cs="Times New Roman"/>
          <w:b w:val="0"/>
          <w:bCs/>
          <w:sz w:val="32"/>
          <w:szCs w:val="32"/>
          <w:shd w:val="clear" w:color="auto" w:fill="FFFFFF"/>
          <w:lang w:val="en-US" w:eastAsia="zh-CN"/>
        </w:rPr>
        <w:t>4</w:t>
      </w:r>
      <w:r>
        <w:rPr>
          <w:rFonts w:hint="default" w:ascii="Times New Roman" w:hAnsi="Times New Roman" w:eastAsia="方正仿宋_GBK" w:cs="Times New Roman"/>
          <w:b w:val="0"/>
          <w:bCs/>
          <w:sz w:val="32"/>
          <w:szCs w:val="32"/>
          <w:shd w:val="clear" w:color="auto" w:fill="FFFFFF"/>
          <w:lang w:eastAsia="zh-CN"/>
        </w:rPr>
        <w:t>年度无政府性基金预算财政拨款收支。</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（六）国有资本经营预算财政拨款支出决算情况说明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本单位202</w:t>
      </w:r>
      <w:r>
        <w:rPr>
          <w:rFonts w:hint="default" w:ascii="Times New Roman" w:hAnsi="Times New Roman" w:eastAsia="方正仿宋_GBK" w:cs="Times New Roman"/>
          <w:b w:val="0"/>
          <w:bCs/>
          <w:sz w:val="32"/>
          <w:szCs w:val="32"/>
          <w:shd w:val="clear" w:color="auto" w:fill="FFFFFF"/>
          <w:lang w:val="en-US" w:eastAsia="zh-CN"/>
        </w:rPr>
        <w:t>4</w:t>
      </w:r>
      <w:r>
        <w:rPr>
          <w:rFonts w:hint="default" w:ascii="Times New Roman" w:hAnsi="Times New Roman" w:eastAsia="方正仿宋_GBK" w:cs="Times New Roman"/>
          <w:b w:val="0"/>
          <w:bCs/>
          <w:sz w:val="32"/>
          <w:szCs w:val="32"/>
          <w:shd w:val="clear" w:color="auto" w:fill="FFFFFF"/>
          <w:lang w:eastAsia="zh-CN"/>
        </w:rPr>
        <w:t>年度无国有资本经营预算财政拨款支出。</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sz w:val="32"/>
          <w:szCs w:val="32"/>
          <w:shd w:val="clear" w:color="auto" w:fill="FFFFFF"/>
        </w:rPr>
      </w:pPr>
      <w:r>
        <w:rPr>
          <w:rStyle w:val="13"/>
          <w:rFonts w:hint="eastAsia" w:ascii="方正黑体_GBK" w:hAnsi="方正黑体_GBK" w:eastAsia="方正黑体_GBK" w:cs="方正黑体_GBK"/>
          <w:b w:val="0"/>
          <w:bCs w:val="0"/>
          <w:sz w:val="32"/>
          <w:szCs w:val="32"/>
          <w:shd w:val="clear" w:color="auto" w:fill="FFFFFF"/>
        </w:rPr>
        <w:t>三、</w:t>
      </w:r>
      <w:r>
        <w:rPr>
          <w:rStyle w:val="13"/>
          <w:rFonts w:hint="eastAsia" w:ascii="方正黑体_GBK" w:hAnsi="方正黑体_GBK" w:eastAsia="方正黑体_GBK" w:cs="方正黑体_GBK"/>
          <w:b w:val="0"/>
          <w:bCs w:val="0"/>
          <w:sz w:val="32"/>
          <w:szCs w:val="32"/>
          <w:shd w:val="clear" w:color="auto" w:fill="FFFFFF"/>
          <w:lang w:eastAsia="zh-CN"/>
        </w:rPr>
        <w:t>财政拨款</w:t>
      </w:r>
      <w:r>
        <w:rPr>
          <w:rStyle w:val="13"/>
          <w:rFonts w:hint="eastAsia" w:ascii="方正黑体_GBK" w:hAnsi="方正黑体_GBK" w:eastAsia="方正黑体_GBK" w:cs="方正黑体_GBK"/>
          <w:b w:val="0"/>
          <w:bCs w:val="0"/>
          <w:sz w:val="32"/>
          <w:szCs w:val="32"/>
          <w:shd w:val="clear" w:color="auto" w:fill="FFFFFF"/>
        </w:rPr>
        <w:t>“三公”经费情况说明</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（一）“三公”经费支出总体情况说明</w:t>
      </w:r>
    </w:p>
    <w:p>
      <w:pPr>
        <w:pStyle w:val="11"/>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w:t>
      </w:r>
      <w:r>
        <w:rPr>
          <w:rFonts w:ascii="Times New Roman" w:hAnsi="Times New Roman" w:eastAsia="方正仿宋_GBK" w:cs="方正仿宋_GBK"/>
          <w:b w:val="0"/>
          <w:bCs w:val="0"/>
          <w:color w:val="auto"/>
          <w:sz w:val="32"/>
          <w:szCs w:val="32"/>
          <w:shd w:val="clear" w:color="auto" w:fill="FFFFFF"/>
        </w:rPr>
        <w:t>单位属于差额拨款单位，</w:t>
      </w:r>
      <w:r>
        <w:rPr>
          <w:rFonts w:hint="eastAsia" w:ascii="Times New Roman" w:hAnsi="Times New Roman" w:eastAsia="方正仿宋_GBK" w:cs="方正仿宋_GBK"/>
          <w:b w:val="0"/>
          <w:bCs w:val="0"/>
          <w:color w:val="auto"/>
          <w:sz w:val="32"/>
          <w:szCs w:val="32"/>
          <w:shd w:val="clear" w:color="auto" w:fill="FFFFFF"/>
          <w:lang w:eastAsia="zh-CN"/>
        </w:rPr>
        <w:t>未使用财政资金保障</w:t>
      </w:r>
      <w:r>
        <w:rPr>
          <w:rFonts w:ascii="Times New Roman" w:hAnsi="Times New Roman" w:eastAsia="方正仿宋_GBK" w:cs="方正仿宋_GBK"/>
          <w:b w:val="0"/>
          <w:bCs w:val="0"/>
          <w:color w:val="auto"/>
          <w:sz w:val="32"/>
          <w:szCs w:val="32"/>
          <w:shd w:val="clear" w:color="auto" w:fill="FFFFFF"/>
        </w:rPr>
        <w:t>“三公”经费。</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（二）“三公”经费分项支出情况</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（三）“三公”经费实物量情况</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因公出国（境）共计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个团组，</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人；公务用车购置</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辆，公务车保有量为</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辆；国内公务接待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人，其中：国内外事接待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人；国（境）外公务接待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人均接待费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元，车均购置费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万元，车均维护费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eastAsia" w:ascii="方正黑体_GBK" w:hAnsi="方正黑体_GBK" w:eastAsia="方正黑体_GBK" w:cs="方正黑体_GBK"/>
          <w:b w:val="0"/>
          <w:bCs/>
          <w:sz w:val="32"/>
          <w:szCs w:val="32"/>
          <w:shd w:val="clear" w:color="auto" w:fill="FFFFFF"/>
        </w:rPr>
      </w:pPr>
      <w:r>
        <w:rPr>
          <w:rStyle w:val="13"/>
          <w:rFonts w:hint="eastAsia" w:ascii="方正黑体_GBK" w:hAnsi="方正黑体_GBK" w:eastAsia="方正黑体_GBK" w:cs="方正黑体_GBK"/>
          <w:b w:val="0"/>
          <w:bCs/>
          <w:sz w:val="32"/>
          <w:szCs w:val="32"/>
          <w:shd w:val="clear" w:color="auto" w:fill="FFFFFF"/>
        </w:rPr>
        <w:t>四、其他需要说明的事项</w:t>
      </w:r>
    </w:p>
    <w:p>
      <w:pPr>
        <w:pStyle w:val="16"/>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（一）财政拨款会议费和培训费情况说明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eastAsia="zh-CN"/>
        </w:rPr>
        <w:t>本单位属于财政差额拨款单位，财政未保障本单位</w:t>
      </w:r>
      <w:r>
        <w:rPr>
          <w:rFonts w:hint="eastAsia" w:ascii="Times New Roman" w:hAnsi="Times New Roman" w:eastAsia="方正仿宋_GBK" w:cs="Times New Roman"/>
          <w:b w:val="0"/>
          <w:bCs/>
          <w:sz w:val="32"/>
          <w:szCs w:val="32"/>
          <w:shd w:val="clear" w:color="auto" w:fill="FFFFFF"/>
          <w:lang w:eastAsia="zh-CN"/>
        </w:rPr>
        <w:t>的会议费、培训费及</w:t>
      </w:r>
      <w:r>
        <w:rPr>
          <w:rFonts w:hint="default" w:ascii="Times New Roman" w:hAnsi="Times New Roman" w:eastAsia="方正仿宋_GBK" w:cs="Times New Roman"/>
          <w:b w:val="0"/>
          <w:bCs/>
          <w:sz w:val="32"/>
          <w:szCs w:val="32"/>
          <w:shd w:val="clear" w:color="auto" w:fill="FFFFFF"/>
          <w:lang w:eastAsia="zh-CN"/>
        </w:rPr>
        <w:t>差旅费。</w:t>
      </w:r>
    </w:p>
    <w:p>
      <w:pPr>
        <w:pStyle w:val="16"/>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16"/>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sz w:val="32"/>
          <w:szCs w:val="32"/>
          <w:highlight w:val="none"/>
        </w:rPr>
      </w:pPr>
      <w:r>
        <w:rPr>
          <w:rFonts w:hint="default" w:ascii="Times New Roman" w:hAnsi="Times New Roman" w:eastAsia="方正仿宋_GBK" w:cs="Times New Roman"/>
          <w:b w:val="0"/>
          <w:bCs/>
          <w:sz w:val="32"/>
          <w:szCs w:val="32"/>
          <w:highlight w:val="none"/>
        </w:rPr>
        <w:t>按照部门决算列报口径，因本单位为差额拨款事业单位不在机关运行经费统计范围之内。</w:t>
      </w:r>
    </w:p>
    <w:p>
      <w:pPr>
        <w:pStyle w:val="16"/>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截至202</w:t>
      </w:r>
      <w:r>
        <w:rPr>
          <w:rFonts w:hint="default" w:ascii="Times New Roman" w:hAnsi="Times New Roman" w:eastAsia="方正仿宋_GBK" w:cs="Times New Roman"/>
          <w:b w:val="0"/>
          <w:bCs/>
          <w:sz w:val="32"/>
          <w:szCs w:val="32"/>
          <w:shd w:val="clear" w:color="auto" w:fill="FFFFFF"/>
          <w:lang w:val="en-US" w:eastAsia="zh-CN"/>
        </w:rPr>
        <w:t>4</w:t>
      </w:r>
      <w:r>
        <w:rPr>
          <w:rFonts w:hint="default" w:ascii="Times New Roman" w:hAnsi="Times New Roman" w:eastAsia="方正仿宋_GBK" w:cs="Times New Roman"/>
          <w:b w:val="0"/>
          <w:bCs/>
          <w:sz w:val="32"/>
          <w:szCs w:val="32"/>
          <w:shd w:val="clear" w:color="auto" w:fill="FFFFFF"/>
        </w:rPr>
        <w:t>年12月31日，本单位共有车辆</w:t>
      </w: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shd w:val="clear" w:color="auto" w:fill="FFFFFF"/>
        </w:rPr>
        <w:t>辆，其中，副部（省）级及以上领导用车</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辆、主要负责人用车</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辆、机要通信用车</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辆、应急保障用车</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辆、执法执勤用车</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辆，特种专业技术用车</w:t>
      </w: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shd w:val="clear" w:color="auto" w:fill="FFFFFF"/>
        </w:rPr>
        <w:t>辆，离退休干部用车</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辆。单价100万元（含）以上专用设备</w:t>
      </w:r>
      <w:r>
        <w:rPr>
          <w:rFonts w:hint="default" w:ascii="Times New Roman" w:hAnsi="Times New Roman" w:eastAsia="方正仿宋_GBK" w:cs="Times New Roman"/>
          <w:b w:val="0"/>
          <w:bCs/>
          <w:sz w:val="32"/>
          <w:szCs w:val="32"/>
        </w:rPr>
        <w:t>0</w:t>
      </w:r>
      <w:r>
        <w:rPr>
          <w:rFonts w:hint="default" w:ascii="Times New Roman" w:hAnsi="Times New Roman" w:eastAsia="方正仿宋_GBK" w:cs="Times New Roman"/>
          <w:b w:val="0"/>
          <w:bCs/>
          <w:sz w:val="32"/>
          <w:szCs w:val="32"/>
          <w:shd w:val="clear" w:color="auto" w:fill="FFFFFF"/>
        </w:rPr>
        <w:t>台（套）。</w:t>
      </w:r>
    </w:p>
    <w:p>
      <w:pPr>
        <w:pStyle w:val="16"/>
        <w:keepNext w:val="0"/>
        <w:keepLines w:val="0"/>
        <w:pageBreakBefore w:val="0"/>
        <w:widowControl/>
        <w:kinsoku/>
        <w:wordWrap/>
        <w:overflowPunct/>
        <w:topLinePunct w:val="0"/>
        <w:autoSpaceDE w:val="0"/>
        <w:autoSpaceDN/>
        <w:bidi w:val="0"/>
        <w:adjustRightInd/>
        <w:spacing w:beforeAutospacing="0" w:afterAutospacing="0" w:line="560" w:lineRule="exact"/>
        <w:ind w:left="0" w:leftChars="0" w:right="0"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（四）政府采购支出情况说明</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w:t>
      </w:r>
      <w:r>
        <w:rPr>
          <w:rFonts w:hint="default" w:ascii="Times New Roman" w:hAnsi="Times New Roman" w:eastAsia="方正仿宋_GBK" w:cs="Times New Roman"/>
          <w:b w:val="0"/>
          <w:bCs/>
          <w:sz w:val="32"/>
          <w:szCs w:val="32"/>
          <w:highlight w:val="none"/>
          <w:shd w:val="clear" w:color="auto" w:fill="FFFFFF"/>
          <w:lang w:eastAsia="zh-CN"/>
        </w:rPr>
        <w:t>本单位</w:t>
      </w:r>
      <w:r>
        <w:rPr>
          <w:rFonts w:hint="default" w:ascii="Times New Roman" w:hAnsi="Times New Roman" w:eastAsia="方正仿宋_GBK" w:cs="Times New Roman"/>
          <w:b w:val="0"/>
          <w:bCs/>
          <w:sz w:val="32"/>
          <w:szCs w:val="32"/>
          <w:highlight w:val="none"/>
          <w:shd w:val="clear" w:color="auto" w:fill="FFFFFF"/>
        </w:rPr>
        <w:t>未发生政府采购事项，无相关经费支出。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3"/>
          <w:rFonts w:hint="eastAsia" w:ascii="方正黑体_GBK" w:hAnsi="方正黑体_GBK" w:eastAsia="方正黑体_GBK" w:cs="方正黑体_GBK"/>
          <w:b w:val="0"/>
          <w:bCs/>
          <w:sz w:val="32"/>
          <w:szCs w:val="32"/>
          <w:shd w:val="clear" w:color="auto" w:fill="FFFFFF"/>
          <w:lang w:val="en-US" w:eastAsia="zh-CN" w:bidi="ar-SA"/>
        </w:rPr>
      </w:pPr>
      <w:r>
        <w:rPr>
          <w:rStyle w:val="13"/>
          <w:rFonts w:hint="eastAsia" w:ascii="方正黑体_GBK" w:hAnsi="方正黑体_GBK" w:eastAsia="方正黑体_GBK" w:cs="方正黑体_GBK"/>
          <w:b w:val="0"/>
          <w:bCs/>
          <w:sz w:val="32"/>
          <w:szCs w:val="32"/>
          <w:shd w:val="clear" w:color="auto" w:fill="FFFFFF"/>
          <w:lang w:val="en-US" w:eastAsia="zh-CN" w:bidi="ar-SA"/>
        </w:rPr>
        <w:t>五、</w:t>
      </w:r>
      <w:r>
        <w:rPr>
          <w:rStyle w:val="13"/>
          <w:rFonts w:hint="default" w:ascii="Times New Roman" w:hAnsi="Times New Roman" w:eastAsia="方正黑体_GBK" w:cs="Times New Roman"/>
          <w:b w:val="0"/>
          <w:bCs/>
          <w:sz w:val="32"/>
          <w:szCs w:val="32"/>
          <w:shd w:val="clear" w:color="auto" w:fill="FFFFFF"/>
          <w:lang w:val="en-US" w:eastAsia="zh-CN" w:bidi="ar-SA"/>
        </w:rPr>
        <w:t>2024</w:t>
      </w:r>
      <w:r>
        <w:rPr>
          <w:rStyle w:val="13"/>
          <w:rFonts w:hint="eastAsia" w:ascii="方正黑体_GBK" w:hAnsi="方正黑体_GBK" w:eastAsia="方正黑体_GBK" w:cs="方正黑体_GBK"/>
          <w:b w:val="0"/>
          <w:bCs/>
          <w:sz w:val="32"/>
          <w:szCs w:val="32"/>
          <w:shd w:val="clear" w:color="auto" w:fill="FFFFFF"/>
          <w:lang w:val="en-US" w:eastAsia="zh-CN" w:bidi="ar-SA"/>
        </w:rPr>
        <w:t>年度预算绩效管理情况说明</w:t>
      </w:r>
    </w:p>
    <w:p>
      <w:pPr>
        <w:pStyle w:val="17"/>
        <w:keepNext w:val="0"/>
        <w:keepLines w:val="0"/>
        <w:pageBreakBefore w:val="0"/>
        <w:widowControl/>
        <w:numPr>
          <w:ilvl w:val="0"/>
          <w:numId w:val="2"/>
        </w:numPr>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eastAsia" w:ascii="方正楷体_GBK" w:hAnsi="方正楷体_GBK" w:eastAsia="方正楷体_GBK" w:cs="方正楷体_GBK"/>
          <w:b w:val="0"/>
          <w:bCs/>
          <w:kern w:val="0"/>
          <w:sz w:val="32"/>
          <w:szCs w:val="32"/>
          <w:shd w:val="clear" w:fill="FFFFFF"/>
        </w:rPr>
      </w:pPr>
      <w:r>
        <w:rPr>
          <w:rFonts w:hint="eastAsia" w:ascii="方正楷体_GBK" w:hAnsi="方正楷体_GBK" w:eastAsia="方正楷体_GBK" w:cs="方正楷体_GBK"/>
          <w:b w:val="0"/>
          <w:bCs/>
          <w:kern w:val="0"/>
          <w:sz w:val="32"/>
          <w:szCs w:val="32"/>
          <w:shd w:val="clear" w:fill="FFFFFF"/>
        </w:rPr>
        <w:t>单位自评情况</w:t>
      </w:r>
    </w:p>
    <w:p>
      <w:pPr>
        <w:pStyle w:val="11"/>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kern w:val="0"/>
          <w:sz w:val="32"/>
          <w:szCs w:val="32"/>
          <w:lang w:val="en-US" w:eastAsia="zh-CN"/>
        </w:rPr>
      </w:pPr>
      <w:r>
        <w:rPr>
          <w:rFonts w:hint="eastAsia" w:ascii="Times New Roman" w:hAnsi="Times New Roman" w:eastAsia="方正仿宋_GBK" w:cs="方正仿宋_GBK"/>
          <w:b w:val="0"/>
          <w:bCs/>
          <w:sz w:val="32"/>
          <w:szCs w:val="32"/>
          <w:shd w:val="clear" w:color="auto" w:fill="FFFFFF"/>
          <w:lang w:eastAsia="zh-CN"/>
        </w:rPr>
        <w:t>本单位为秀山土家族苗族自治县卫生健康委员会二级预算单位，由主管部门统一开展项目支出绩效自评。</w:t>
      </w:r>
    </w:p>
    <w:tbl>
      <w:tblPr>
        <w:tblStyle w:val="14"/>
        <w:tblpPr w:leftFromText="180" w:rightFromText="180" w:vertAnchor="text" w:horzAnchor="page" w:tblpX="1760" w:tblpY="218"/>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val="0"/>
                <w:bCs/>
                <w:i w:val="0"/>
                <w:color w:val="auto"/>
                <w:sz w:val="32"/>
                <w:szCs w:val="32"/>
                <w:highlight w:val="none"/>
                <w:u w:val="none"/>
              </w:rPr>
            </w:pPr>
            <w:r>
              <w:rPr>
                <w:rFonts w:hint="default" w:ascii="Times New Roman" w:hAnsi="Times New Roman" w:eastAsia="方正小标宋_GBK" w:cs="Times New Roman"/>
                <w:b w:val="0"/>
                <w:bCs/>
                <w:i w:val="0"/>
                <w:color w:val="auto"/>
                <w:kern w:val="0"/>
                <w:sz w:val="32"/>
                <w:szCs w:val="32"/>
                <w:highlight w:val="none"/>
                <w:u w:val="none"/>
                <w:lang w:val="en-US" w:eastAsia="zh-CN" w:bidi="ar"/>
              </w:rPr>
              <w:t>2024</w:t>
            </w: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eastAsia" w:ascii="方正仿宋_GBK" w:hAnsi="方正仿宋_GBK" w:eastAsia="方正仿宋_GBK" w:cs="方正仿宋_GBK"/>
                <w:b w:val="0"/>
                <w:bCs/>
                <w:sz w:val="24"/>
                <w:szCs w:val="24"/>
                <w:lang w:eastAsia="zh-CN"/>
              </w:rPr>
              <w:t>适龄儿童国家免疫规划疫苗接种</w:t>
            </w:r>
            <w:r>
              <w:rPr>
                <w:rFonts w:hint="eastAsia" w:ascii="方正仿宋_GBK" w:hAnsi="方正仿宋_GBK" w:eastAsia="方正仿宋_GBK" w:cs="方正仿宋_GBK"/>
                <w:b w:val="0"/>
                <w:bCs/>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sz w:val="24"/>
                <w:szCs w:val="24"/>
                <w:lang w:eastAsia="zh-CN"/>
              </w:rPr>
              <w:t>0-6</w:t>
            </w:r>
            <w:r>
              <w:rPr>
                <w:rFonts w:hint="eastAsia" w:ascii="方正仿宋_GBK" w:hAnsi="方正仿宋_GBK" w:eastAsia="方正仿宋_GBK" w:cs="方正仿宋_GBK"/>
                <w:b w:val="0"/>
                <w:bCs/>
                <w:sz w:val="24"/>
                <w:szCs w:val="24"/>
                <w:lang w:eastAsia="zh-CN"/>
              </w:rPr>
              <w:t>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r>
    </w:tbl>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lang w:eastAsia="zh-CN"/>
        </w:rPr>
        <w:t>（</w:t>
      </w:r>
      <w:r>
        <w:rPr>
          <w:rFonts w:hint="eastAsia" w:ascii="方正楷体_GBK" w:hAnsi="方正楷体_GBK" w:eastAsia="方正楷体_GBK" w:cs="方正楷体_GBK"/>
          <w:b w:val="0"/>
          <w:bCs/>
          <w:sz w:val="32"/>
          <w:szCs w:val="32"/>
          <w:shd w:val="clear" w:color="auto" w:fill="FFFFFF"/>
          <w:lang w:val="en-US" w:eastAsia="zh-CN"/>
        </w:rPr>
        <w:t>二）</w:t>
      </w:r>
      <w:r>
        <w:rPr>
          <w:rFonts w:hint="default" w:ascii="方正楷体_GBK" w:hAnsi="方正楷体_GBK" w:eastAsia="方正楷体_GBK" w:cs="方正楷体_GBK"/>
          <w:b w:val="0"/>
          <w:bCs/>
          <w:sz w:val="32"/>
          <w:szCs w:val="32"/>
          <w:shd w:val="clear" w:color="auto" w:fill="FFFFFF"/>
        </w:rPr>
        <w:t>单位绩效评价情况</w:t>
      </w:r>
    </w:p>
    <w:p>
      <w:pPr>
        <w:keepNext w:val="0"/>
        <w:keepLines w:val="0"/>
        <w:pageBreakBefore w:val="0"/>
        <w:widowControl/>
        <w:kinsoku/>
        <w:wordWrap/>
        <w:overflowPunct/>
        <w:topLinePunct w:val="0"/>
        <w:autoSpaceDN/>
        <w:bidi w:val="0"/>
        <w:spacing w:line="560" w:lineRule="exact"/>
        <w:ind w:firstLine="640" w:firstLineChars="200"/>
        <w:jc w:val="both"/>
        <w:textAlignment w:val="auto"/>
        <w:rPr>
          <w:rFonts w:hint="default" w:ascii="Times New Roman" w:hAnsi="Times New Roman" w:eastAsia="方正仿宋_GBK" w:cs="方正仿宋_GBK"/>
          <w:b w:val="0"/>
          <w:bCs/>
          <w:sz w:val="32"/>
          <w:szCs w:val="32"/>
          <w:shd w:val="clear" w:color="auto" w:fill="FFFFFF"/>
          <w:lang w:eastAsia="zh-CN"/>
        </w:rPr>
      </w:pPr>
      <w:r>
        <w:rPr>
          <w:rFonts w:hint="eastAsia" w:ascii="Times New Roman" w:hAnsi="Times New Roman" w:eastAsia="方正仿宋_GBK" w:cs="Times New Roman"/>
          <w:b w:val="0"/>
          <w:bCs/>
          <w:kern w:val="0"/>
          <w:sz w:val="32"/>
          <w:szCs w:val="32"/>
          <w:lang w:val="en-US" w:eastAsia="zh-CN" w:bidi="ar-SA"/>
        </w:rPr>
        <w:t>本单位</w:t>
      </w:r>
      <w:r>
        <w:rPr>
          <w:rFonts w:hint="default" w:ascii="Times New Roman" w:hAnsi="Times New Roman" w:eastAsia="方正仿宋_GBK" w:cs="Times New Roman"/>
          <w:b w:val="0"/>
          <w:bCs/>
          <w:kern w:val="0"/>
          <w:sz w:val="32"/>
          <w:szCs w:val="32"/>
          <w:lang w:val="en-US" w:eastAsia="zh-CN" w:bidi="ar-SA"/>
        </w:rPr>
        <w:t>未组织开展绩效评价。</w:t>
      </w:r>
    </w:p>
    <w:p>
      <w:pPr>
        <w:pStyle w:val="17"/>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eastAsia" w:ascii="方正黑体_GBK" w:hAnsi="方正黑体_GBK" w:eastAsia="方正黑体_GBK" w:cs="方正黑体_GBK"/>
          <w:b w:val="0"/>
          <w:bCs/>
          <w:kern w:val="0"/>
          <w:sz w:val="32"/>
          <w:szCs w:val="32"/>
        </w:rPr>
      </w:pPr>
      <w:r>
        <w:rPr>
          <w:rStyle w:val="13"/>
          <w:rFonts w:hint="eastAsia" w:ascii="方正黑体_GBK" w:hAnsi="方正黑体_GBK" w:eastAsia="方正黑体_GBK" w:cs="方正黑体_GBK"/>
          <w:b w:val="0"/>
          <w:bCs/>
          <w:sz w:val="32"/>
          <w:szCs w:val="32"/>
          <w:shd w:val="clear" w:color="auto" w:fill="FFFFFF"/>
          <w:lang w:val="en-US" w:eastAsia="zh-CN" w:bidi="ar-SA"/>
        </w:rPr>
        <w:t>六、专业名词解释</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（一）财政拨款收入：</w:t>
      </w:r>
      <w:r>
        <w:rPr>
          <w:rFonts w:hint="eastAsia" w:ascii="方正仿宋_GBK" w:hAnsi="方正仿宋_GBK" w:eastAsia="方正仿宋_GBK" w:cs="方正仿宋_GBK"/>
          <w:b w:val="0"/>
          <w:bCs/>
          <w:kern w:val="0"/>
          <w:sz w:val="32"/>
          <w:szCs w:val="32"/>
          <w:shd w:val="clear" w:fill="FFFFFF"/>
        </w:rPr>
        <w:t>指本年度从本级财政部门取得的财政拨款，包括一般公共预算财政拨款和政府性基金预算财政拨款。</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（二）事业收入：</w:t>
      </w:r>
      <w:r>
        <w:rPr>
          <w:rFonts w:hint="eastAsia" w:ascii="方正仿宋_GBK" w:hAnsi="方正仿宋_GBK" w:eastAsia="方正仿宋_GBK" w:cs="方正仿宋_GBK"/>
          <w:b w:val="0"/>
          <w:bCs/>
          <w:kern w:val="0"/>
          <w:sz w:val="32"/>
          <w:szCs w:val="32"/>
          <w:shd w:val="clear" w:fill="FFFFFF"/>
        </w:rPr>
        <w:t>指事业单位开展专业业务活动及其辅助活动取得的现金流入；事业单位收到的财政专户实际核拨的教育收费等资金在此反映。</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（三）经营收入：</w:t>
      </w:r>
      <w:r>
        <w:rPr>
          <w:rFonts w:hint="eastAsia" w:ascii="方正仿宋_GBK" w:hAnsi="方正仿宋_GBK" w:eastAsia="方正仿宋_GBK" w:cs="方正仿宋_GBK"/>
          <w:b w:val="0"/>
          <w:bCs/>
          <w:kern w:val="0"/>
          <w:sz w:val="32"/>
          <w:szCs w:val="32"/>
          <w:shd w:val="clear" w:fill="FFFFFF"/>
        </w:rPr>
        <w:t>指事业单位在专业业务活动及其辅助活动之外开展非独立核算经营活动取得的现金流入。</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（四）其他收入：</w:t>
      </w:r>
      <w:r>
        <w:rPr>
          <w:rFonts w:hint="eastAsia" w:ascii="方正仿宋_GBK" w:hAnsi="方正仿宋_GBK" w:eastAsia="方正仿宋_GBK" w:cs="方正仿宋_GBK"/>
          <w:b w:val="0"/>
          <w:bCs/>
          <w:kern w:val="0"/>
          <w:sz w:val="32"/>
          <w:szCs w:val="32"/>
          <w:shd w:val="clear"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（五）使用非财政拨款结余（含专用结余）：</w:t>
      </w:r>
      <w:r>
        <w:rPr>
          <w:rFonts w:hint="eastAsia" w:ascii="方正仿宋_GBK" w:hAnsi="方正仿宋_GBK" w:eastAsia="方正仿宋_GBK" w:cs="方正仿宋_GBK"/>
          <w:b w:val="0"/>
          <w:bCs/>
          <w:kern w:val="0"/>
          <w:sz w:val="32"/>
          <w:szCs w:val="32"/>
          <w:shd w:val="clear" w:fill="FFFFFF"/>
        </w:rPr>
        <w:t>指单位在当年的“财政拨款收入”、“事业收入”、“经营收入”、“其他收入”等不足以安排当年支出的情况下，使用以前年度积累的非财政拨款结余弥补本年度收支缺口的资金。</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（六）年初结转和结余：</w:t>
      </w:r>
      <w:r>
        <w:rPr>
          <w:rFonts w:hint="eastAsia" w:ascii="方正仿宋_GBK" w:hAnsi="方正仿宋_GBK" w:eastAsia="方正仿宋_GBK" w:cs="方正仿宋_GBK"/>
          <w:b w:val="0"/>
          <w:bCs/>
          <w:kern w:val="0"/>
          <w:sz w:val="32"/>
          <w:szCs w:val="32"/>
          <w:shd w:val="clear" w:fill="FFFFFF"/>
        </w:rPr>
        <w:t>指单位上年结转本年使用的基本支出结转、项目支出结转和结余、经营结余。</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（七）结余分配：</w:t>
      </w:r>
      <w:r>
        <w:rPr>
          <w:rFonts w:hint="eastAsia" w:ascii="方正仿宋_GBK" w:hAnsi="方正仿宋_GBK" w:eastAsia="方正仿宋_GBK" w:cs="方正仿宋_GBK"/>
          <w:b w:val="0"/>
          <w:bCs/>
          <w:kern w:val="0"/>
          <w:sz w:val="32"/>
          <w:szCs w:val="32"/>
          <w:shd w:val="clear" w:fill="FFFFFF"/>
        </w:rPr>
        <w:t>指单位按照国家有关规定，缴纳所得税、提取专用基金、转入非财政拨款结余等当年结余的分配情况。</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（八）年末结转和结余：</w:t>
      </w:r>
      <w:r>
        <w:rPr>
          <w:rFonts w:hint="eastAsia" w:ascii="方正仿宋_GBK" w:hAnsi="方正仿宋_GBK" w:eastAsia="方正仿宋_GBK" w:cs="方正仿宋_GBK"/>
          <w:b w:val="0"/>
          <w:bCs/>
          <w:kern w:val="0"/>
          <w:sz w:val="32"/>
          <w:szCs w:val="32"/>
          <w:shd w:val="clear" w:fill="FFFFFF"/>
        </w:rPr>
        <w:t>指单位结转下年的基本支出结转、项目支出结转和结余、经营结余。</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（九）基本支出：</w:t>
      </w:r>
      <w:r>
        <w:rPr>
          <w:rFonts w:hint="eastAsia" w:ascii="方正仿宋_GBK" w:hAnsi="方正仿宋_GBK" w:eastAsia="方正仿宋_GBK" w:cs="方正仿宋_GBK"/>
          <w:b w:val="0"/>
          <w:bCs/>
          <w:kern w:val="0"/>
          <w:sz w:val="32"/>
          <w:szCs w:val="32"/>
          <w:shd w:val="clear"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（十）项目支出：</w:t>
      </w:r>
      <w:r>
        <w:rPr>
          <w:rFonts w:hint="eastAsia" w:ascii="方正仿宋_GBK" w:hAnsi="方正仿宋_GBK" w:eastAsia="方正仿宋_GBK" w:cs="方正仿宋_GBK"/>
          <w:b w:val="0"/>
          <w:bCs/>
          <w:kern w:val="0"/>
          <w:sz w:val="32"/>
          <w:szCs w:val="32"/>
          <w:shd w:val="clear" w:fill="FFFFFF"/>
        </w:rPr>
        <w:t>指在基本支出之外为完成特定行政任务和事业发展目标所发生的支出。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（十一）经营支出：</w:t>
      </w:r>
      <w:r>
        <w:rPr>
          <w:rFonts w:hint="eastAsia" w:ascii="方正仿宋_GBK" w:hAnsi="方正仿宋_GBK" w:eastAsia="方正仿宋_GBK" w:cs="方正仿宋_GBK"/>
          <w:b w:val="0"/>
          <w:bCs/>
          <w:kern w:val="0"/>
          <w:sz w:val="32"/>
          <w:szCs w:val="32"/>
          <w:shd w:val="clear" w:fill="FFFFFF"/>
        </w:rPr>
        <w:t>指事业单位在专业业务活动及其辅助活动之外开展非独立核算经营活动发生的支出。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（十二）“三公”经费：</w:t>
      </w:r>
      <w:r>
        <w:rPr>
          <w:rFonts w:hint="eastAsia" w:ascii="方正仿宋_GBK" w:hAnsi="方正仿宋_GBK" w:eastAsia="方正仿宋_GBK" w:cs="方正仿宋_GBK"/>
          <w:b w:val="0"/>
          <w:bCs/>
          <w:kern w:val="0"/>
          <w:sz w:val="32"/>
          <w:szCs w:val="32"/>
          <w:shd w:val="clear"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（十三）机关运行经费：</w:t>
      </w:r>
      <w:r>
        <w:rPr>
          <w:rFonts w:hint="eastAsia" w:ascii="方正仿宋_GBK" w:hAnsi="方正仿宋_GBK" w:eastAsia="方正仿宋_GBK" w:cs="方正仿宋_GBK"/>
          <w:b w:val="0"/>
          <w:bCs/>
          <w:kern w:val="0"/>
          <w:sz w:val="32"/>
          <w:szCs w:val="32"/>
          <w:shd w:val="clear"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（十四）工资福利支出（支出经济分类科目类级）：</w:t>
      </w:r>
      <w:r>
        <w:rPr>
          <w:rFonts w:hint="eastAsia" w:ascii="方正仿宋_GBK" w:hAnsi="方正仿宋_GBK" w:eastAsia="方正仿宋_GBK" w:cs="方正仿宋_GBK"/>
          <w:b w:val="0"/>
          <w:bCs/>
          <w:kern w:val="0"/>
          <w:sz w:val="32"/>
          <w:szCs w:val="32"/>
          <w:shd w:val="clear" w:fill="FFFFFF"/>
        </w:rPr>
        <w:t>反映单位开支的在职职工和编制外长期聘用人员的各类劳动报酬，以及为上述人员缴纳的各项社会保险费等。</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（十五）商品和服务支出（支出经济分类科目类级）：</w:t>
      </w:r>
      <w:r>
        <w:rPr>
          <w:rFonts w:hint="eastAsia" w:ascii="方正仿宋_GBK" w:hAnsi="方正仿宋_GBK" w:eastAsia="方正仿宋_GBK" w:cs="方正仿宋_GBK"/>
          <w:b w:val="0"/>
          <w:bCs/>
          <w:kern w:val="0"/>
          <w:sz w:val="32"/>
          <w:szCs w:val="32"/>
          <w:shd w:val="clear" w:fill="FFFFFF"/>
        </w:rPr>
        <w:t>反映单位购买商品和服务的支出（不包括用于购置固定资产的支出、战略性和应急储备支出）。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（十六）对个人和家庭的补助（支出经济分类科目类级）：</w:t>
      </w:r>
      <w:r>
        <w:rPr>
          <w:rFonts w:hint="eastAsia" w:ascii="方正仿宋_GBK" w:hAnsi="方正仿宋_GBK" w:eastAsia="方正仿宋_GBK" w:cs="方正仿宋_GBK"/>
          <w:b w:val="0"/>
          <w:bCs/>
          <w:kern w:val="0"/>
          <w:sz w:val="32"/>
          <w:szCs w:val="32"/>
          <w:shd w:val="clear" w:fill="FFFFFF"/>
        </w:rPr>
        <w:t>反映用于对个人和家庭的补助支出。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仿宋_GBK" w:hAnsi="方正仿宋_GBK" w:eastAsia="方正仿宋_GBK" w:cs="方正仿宋_GBK"/>
          <w:b w:val="0"/>
          <w:bCs/>
          <w:sz w:val="32"/>
          <w:szCs w:val="32"/>
          <w:shd w:val="clear" w:color="auto" w:fill="FFFFFF"/>
          <w:lang w:val="en-US" w:eastAsia="zh-CN" w:bidi="ar-SA"/>
        </w:rPr>
        <w:t>（十七）其他资本性支出（支出经济分类科目类级）：</w:t>
      </w:r>
      <w:r>
        <w:rPr>
          <w:rFonts w:hint="eastAsia" w:ascii="方正仿宋_GBK" w:hAnsi="方正仿宋_GBK" w:eastAsia="方正仿宋_GBK" w:cs="方正仿宋_GBK"/>
          <w:b w:val="0"/>
          <w:bCs/>
          <w:kern w:val="0"/>
          <w:sz w:val="32"/>
          <w:szCs w:val="32"/>
          <w:shd w:val="clear" w:fill="FFFFFF"/>
        </w:rPr>
        <w:t>反映非各级发展与改革部门集中安排的用于购置固定资产、战略性和应急性储备、土地和无形资产，以及构建基础设施、大型修缮和财政支持企业更新改造所发生的支出。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黑体_GBK" w:hAnsi="方正黑体_GBK" w:eastAsia="方正黑体_GBK" w:cs="方正黑体_GBK"/>
          <w:b w:val="0"/>
          <w:bCs/>
          <w:kern w:val="0"/>
          <w:sz w:val="32"/>
          <w:szCs w:val="32"/>
        </w:rPr>
      </w:pPr>
      <w:r>
        <w:rPr>
          <w:rStyle w:val="13"/>
          <w:rFonts w:hint="eastAsia" w:ascii="方正黑体_GBK" w:hAnsi="方正黑体_GBK" w:eastAsia="方正黑体_GBK" w:cs="方正黑体_GBK"/>
          <w:b w:val="0"/>
          <w:bCs/>
          <w:sz w:val="32"/>
          <w:szCs w:val="32"/>
          <w:shd w:val="clear" w:color="auto" w:fill="FFFFFF"/>
          <w:lang w:val="en-US" w:eastAsia="zh-CN" w:bidi="ar-SA"/>
        </w:rPr>
        <w:t>七、决算公开联系方式及信息反馈渠道</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Fonts w:hint="eastAsia" w:ascii="方正仿宋_GBK" w:hAnsi="方正仿宋_GBK" w:eastAsia="方正仿宋_GBK" w:cs="方正仿宋_GBK"/>
          <w:b w:val="0"/>
          <w:bCs/>
          <w:kern w:val="0"/>
          <w:sz w:val="32"/>
          <w:szCs w:val="32"/>
          <w:shd w:val="clear" w:fill="FFFFFF"/>
        </w:rPr>
        <w:t>本单位决算公开信息反馈和联系方式：</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kern w:val="0"/>
          <w:sz w:val="32"/>
          <w:szCs w:val="32"/>
          <w:shd w:val="clear" w:fill="FFFFFF"/>
          <w:lang w:val="en-US" w:eastAsia="zh-CN"/>
        </w:rPr>
      </w:pPr>
      <w:r>
        <w:rPr>
          <w:rFonts w:hint="eastAsia" w:ascii="方正仿宋_GBK" w:hAnsi="方正仿宋_GBK" w:eastAsia="方正仿宋_GBK" w:cs="方正仿宋_GBK"/>
          <w:b w:val="0"/>
          <w:bCs/>
          <w:kern w:val="0"/>
          <w:sz w:val="32"/>
          <w:szCs w:val="32"/>
          <w:shd w:val="clear" w:fill="FFFFFF"/>
          <w:lang w:eastAsia="zh-CN"/>
        </w:rPr>
        <w:t>白</w:t>
      </w:r>
      <w:r>
        <w:rPr>
          <w:rFonts w:hint="eastAsia" w:ascii="方正仿宋_GBK" w:hAnsi="方正仿宋_GBK" w:eastAsia="方正仿宋_GBK" w:cs="方正仿宋_GBK"/>
          <w:b w:val="0"/>
          <w:bCs/>
          <w:kern w:val="0"/>
          <w:sz w:val="32"/>
          <w:szCs w:val="32"/>
          <w:shd w:val="clear" w:fill="FFFFFF"/>
          <w:lang w:val="en-US" w:eastAsia="zh-CN"/>
        </w:rPr>
        <w:t xml:space="preserve"> </w:t>
      </w:r>
      <w:r>
        <w:rPr>
          <w:rFonts w:hint="eastAsia" w:ascii="方正仿宋_GBK" w:hAnsi="方正仿宋_GBK" w:eastAsia="方正仿宋_GBK" w:cs="方正仿宋_GBK"/>
          <w:b w:val="0"/>
          <w:bCs/>
          <w:kern w:val="0"/>
          <w:sz w:val="32"/>
          <w:szCs w:val="32"/>
          <w:shd w:val="clear" w:fill="FFFFFF"/>
          <w:lang w:eastAsia="zh-CN"/>
        </w:rPr>
        <w:t>江</w:t>
      </w:r>
      <w:r>
        <w:rPr>
          <w:rFonts w:hint="eastAsia" w:ascii="方正仿宋_GBK" w:hAnsi="方正仿宋_GBK" w:eastAsia="方正仿宋_GBK" w:cs="方正仿宋_GBK"/>
          <w:b w:val="0"/>
          <w:bCs/>
          <w:kern w:val="0"/>
          <w:sz w:val="32"/>
          <w:szCs w:val="32"/>
          <w:shd w:val="clear" w:fill="FFFFFF"/>
        </w:rPr>
        <w:t xml:space="preserve">  </w:t>
      </w:r>
      <w:r>
        <w:rPr>
          <w:rFonts w:hint="default" w:ascii="Times New Roman" w:hAnsi="Times New Roman" w:eastAsia="方正仿宋_GBK" w:cs="Times New Roman"/>
          <w:b w:val="0"/>
          <w:bCs/>
          <w:kern w:val="0"/>
          <w:sz w:val="32"/>
          <w:szCs w:val="32"/>
          <w:shd w:val="clear" w:fill="FFFFFF"/>
        </w:rPr>
        <w:t xml:space="preserve"> </w:t>
      </w:r>
      <w:r>
        <w:rPr>
          <w:rFonts w:hint="default" w:ascii="Times New Roman" w:hAnsi="Times New Roman" w:eastAsia="方正仿宋_GBK" w:cs="Times New Roman"/>
          <w:b w:val="0"/>
          <w:bCs/>
          <w:kern w:val="0"/>
          <w:sz w:val="32"/>
          <w:szCs w:val="32"/>
          <w:shd w:val="clear" w:fill="FFFFFF"/>
          <w:lang w:val="en-US" w:eastAsia="zh-CN"/>
        </w:rPr>
        <w:t>023</w:t>
      </w:r>
      <w:r>
        <w:rPr>
          <w:rFonts w:hint="default" w:ascii="Times New Roman" w:hAnsi="Times New Roman" w:eastAsia="方正仿宋_GBK" w:cs="Times New Roman"/>
          <w:b w:val="0"/>
          <w:bCs/>
          <w:kern w:val="0"/>
          <w:sz w:val="32"/>
          <w:szCs w:val="32"/>
          <w:shd w:val="clear" w:fill="FFFFFF"/>
        </w:rPr>
        <w:t>-</w:t>
      </w:r>
      <w:r>
        <w:rPr>
          <w:rFonts w:hint="default" w:ascii="Times New Roman" w:hAnsi="Times New Roman" w:eastAsia="方正仿宋_GBK" w:cs="Times New Roman"/>
          <w:b w:val="0"/>
          <w:bCs/>
          <w:kern w:val="0"/>
          <w:sz w:val="32"/>
          <w:szCs w:val="32"/>
          <w:shd w:val="clear" w:fill="FFFFFF"/>
          <w:lang w:val="en-US" w:eastAsia="zh-CN"/>
        </w:rPr>
        <w:t>76612819</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32"/>
          <w:shd w:val="clear" w:fill="FFFFFF"/>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4"/>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ascii="Arial" w:hAnsi="Arial" w:cs="Arial"/>
                <w:color w:val="000000"/>
                <w:sz w:val="22"/>
                <w:szCs w:val="22"/>
              </w:rPr>
            </w:pPr>
            <w:r>
              <w:rPr>
                <w:rFonts w:cs="宋体"/>
                <w:sz w:val="20"/>
                <w:szCs w:val="20"/>
              </w:rPr>
              <w:t>单位：</w:t>
            </w:r>
            <w:r>
              <w:rPr>
                <w:sz w:val="20"/>
                <w:u w:color="auto"/>
              </w:rPr>
              <w:t>秀山土家族苗族自治县龙凤坝镇卫生院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166.90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33.59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27.90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174.46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200.52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209.58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使用非财政拨款结余（含专用结余）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209.58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209.58</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4"/>
        <w:tblW w:w="15503" w:type="dxa"/>
        <w:tblInd w:w="0" w:type="dxa"/>
        <w:tblLayout w:type="fixed"/>
        <w:tblCellMar>
          <w:top w:w="0" w:type="dxa"/>
          <w:left w:w="0" w:type="dxa"/>
          <w:bottom w:w="0" w:type="dxa"/>
          <w:right w:w="0" w:type="dxa"/>
        </w:tblCellMar>
      </w:tblPr>
      <w:tblGrid>
        <w:gridCol w:w="1430"/>
        <w:gridCol w:w="2919"/>
        <w:gridCol w:w="1582"/>
        <w:gridCol w:w="1451"/>
        <w:gridCol w:w="1256"/>
        <w:gridCol w:w="1438"/>
        <w:gridCol w:w="1459"/>
        <w:gridCol w:w="1296"/>
        <w:gridCol w:w="1350"/>
        <w:gridCol w:w="1322"/>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31"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sz w:val="20"/>
                <w:u w:color="auto"/>
              </w:rPr>
              <w:t>秀山土家族苗族自治县龙凤坝镇卫生院</w:t>
            </w:r>
          </w:p>
        </w:tc>
        <w:tc>
          <w:tcPr>
            <w:tcW w:w="145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3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3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3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9"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3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5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200.52</w:t>
            </w:r>
            <w:r>
              <w:rPr>
                <w:rFonts w:ascii="Times New Roman" w:hAnsi="Times New Roman"/>
                <w:b/>
                <w:color w:val="000000"/>
                <w:sz w:val="20"/>
                <w:u w:color="auto"/>
              </w:rPr>
              <w:t xml:space="preserve"> </w:t>
            </w:r>
          </w:p>
        </w:tc>
        <w:tc>
          <w:tcPr>
            <w:tcW w:w="14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166.90</w:t>
            </w:r>
            <w:r>
              <w:rPr>
                <w:rFonts w:ascii="Times New Roman" w:hAnsi="Times New Roman"/>
                <w:b/>
                <w:color w:val="000000"/>
                <w:sz w:val="20"/>
                <w:u w:color="auto"/>
              </w:rPr>
              <w:t xml:space="preserve"> </w:t>
            </w:r>
          </w:p>
        </w:tc>
        <w:tc>
          <w:tcPr>
            <w:tcW w:w="12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33.59</w:t>
            </w:r>
            <w:r>
              <w:rPr>
                <w:rFonts w:ascii="Times New Roman" w:hAnsi="Times New Roman"/>
                <w:b/>
                <w:color w:val="000000"/>
                <w:sz w:val="20"/>
                <w:u w:color="auto"/>
              </w:rPr>
              <w:t xml:space="preserve"> </w:t>
            </w:r>
          </w:p>
        </w:tc>
        <w:tc>
          <w:tcPr>
            <w:tcW w:w="14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14.41</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14.41</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165.40</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131.79</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33.59</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157.51</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123.90</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33.59</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152.71</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119.10</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33.59</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7.89</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7.89</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6.02</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6.02</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1.87</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1.87</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page"/>
      </w:r>
    </w:p>
    <w:tbl>
      <w:tblPr>
        <w:tblStyle w:val="14"/>
        <w:tblW w:w="15322" w:type="dxa"/>
        <w:tblInd w:w="0" w:type="dxa"/>
        <w:tblLayout w:type="fixed"/>
        <w:tblCellMar>
          <w:top w:w="0" w:type="dxa"/>
          <w:left w:w="0" w:type="dxa"/>
          <w:bottom w:w="0" w:type="dxa"/>
          <w:right w:w="0" w:type="dxa"/>
        </w:tblCellMar>
      </w:tblPr>
      <w:tblGrid>
        <w:gridCol w:w="1292"/>
        <w:gridCol w:w="3602"/>
        <w:gridCol w:w="1841"/>
        <w:gridCol w:w="1765"/>
        <w:gridCol w:w="1624"/>
        <w:gridCol w:w="1557"/>
        <w:gridCol w:w="1692"/>
        <w:gridCol w:w="1949"/>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3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秀山土家族苗族自治县龙凤坝镇卫生院 </w:t>
            </w: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4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3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4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48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8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29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0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48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209.58</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199.98</w:t>
            </w:r>
            <w:r>
              <w:rPr>
                <w:rFonts w:ascii="Times New Roman" w:hAnsi="Times New Roman"/>
                <w:b/>
                <w:color w:val="000000"/>
                <w:sz w:val="20"/>
                <w:u w:color="auto"/>
              </w:rPr>
              <w:t xml:space="preserve"> </w:t>
            </w:r>
          </w:p>
        </w:tc>
        <w:tc>
          <w:tcPr>
            <w:tcW w:w="16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9.60</w:t>
            </w:r>
            <w:r>
              <w:rPr>
                <w:rFonts w:ascii="Times New Roman" w:hAnsi="Times New Roman"/>
                <w:b/>
                <w:color w:val="000000"/>
                <w:sz w:val="20"/>
                <w:u w:color="auto"/>
              </w:rPr>
              <w:t xml:space="preserve"> </w:t>
            </w:r>
          </w:p>
        </w:tc>
        <w:tc>
          <w:tcPr>
            <w:tcW w:w="15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14.41</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14.41</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174.46</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164.86</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166.57</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156.97</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161.77</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156.97</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7.89</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7.89</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6.02</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6.02</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1.87</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1.87</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p>
      <w:pPr>
        <w:rPr>
          <w:rFonts w:hint="default" w:cs="宋体"/>
          <w:sz w:val="21"/>
          <w:szCs w:val="21"/>
        </w:rPr>
      </w:pPr>
    </w:p>
    <w:tbl>
      <w:tblPr>
        <w:tblStyle w:val="14"/>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秀山土家族苗族自治县龙凤坝镇卫生院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166.90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166.90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175.97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175.97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175.97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175.97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175.97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305"/>
        <w:gridCol w:w="4073"/>
        <w:gridCol w:w="3306"/>
        <w:gridCol w:w="3297"/>
        <w:gridCol w:w="3341"/>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4"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秀山土家族苗族自治县龙凤坝镇卫生院</w:t>
            </w:r>
          </w:p>
        </w:tc>
        <w:tc>
          <w:tcPr>
            <w:tcW w:w="329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9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4"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3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0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3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40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3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40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78"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175.97</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166.37</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9.60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27.90</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14.41</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14.41</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140.85</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131.25</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9.60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132.96</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123.36</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9.60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128.16</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123.36</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7.89</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7.89</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6.02</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6.02</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1.87</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1.87</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7.22</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7.22</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4"/>
        <w:tblW w:w="15304" w:type="dxa"/>
        <w:tblInd w:w="0" w:type="dxa"/>
        <w:tblLayout w:type="fixed"/>
        <w:tblCellMar>
          <w:top w:w="0" w:type="dxa"/>
          <w:left w:w="0" w:type="dxa"/>
          <w:bottom w:w="0" w:type="dxa"/>
          <w:right w:w="0" w:type="dxa"/>
        </w:tblCellMar>
      </w:tblPr>
      <w:tblGrid>
        <w:gridCol w:w="803"/>
        <w:gridCol w:w="2809"/>
        <w:gridCol w:w="1541"/>
        <w:gridCol w:w="873"/>
        <w:gridCol w:w="2032"/>
        <w:gridCol w:w="1418"/>
        <w:gridCol w:w="873"/>
        <w:gridCol w:w="3463"/>
        <w:gridCol w:w="149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334" w:hRule="atLeast"/>
        </w:trPr>
        <w:tc>
          <w:tcPr>
            <w:tcW w:w="8058" w:type="dxa"/>
            <w:gridSpan w:val="5"/>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秀山土家族苗族自治县龙凤坝镇卫生院</w:t>
            </w:r>
          </w:p>
        </w:tc>
        <w:tc>
          <w:tcPr>
            <w:tcW w:w="14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8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3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520" w:hRule="atLeast"/>
        </w:trPr>
        <w:tc>
          <w:tcPr>
            <w:tcW w:w="8058" w:type="dxa"/>
            <w:gridSpan w:val="5"/>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8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3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1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人员经费</w:t>
            </w:r>
          </w:p>
        </w:tc>
        <w:tc>
          <w:tcPr>
            <w:tcW w:w="10151"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8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80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5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c>
          <w:tcPr>
            <w:tcW w:w="87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03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418"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c>
          <w:tcPr>
            <w:tcW w:w="87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49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8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280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5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87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203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418"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87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49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工资福利支出</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159.08</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商品和服务支出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资本性支出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基本工资</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32.32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办公费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房屋建筑物购建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津贴补贴</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印刷费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办公设备购置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奖金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咨询费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专用设备购置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30106</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伙食补助费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手续费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31005</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基础设施建设</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30107</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绩效工资</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84.75</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水费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31006</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大型修缮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30108</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14.41</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电费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31007</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职业年金缴费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7.30</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邮电费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31008</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物资储备</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30110</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取暖费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土地补偿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物业管理费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安置补助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其他社会保障缴费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0.18</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差旅费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住房公积金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因公出国（境）费用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拆迁补偿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30114</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医疗费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1.87</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维修（护）费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公务用车购置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30199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其他工资福利支出</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租赁费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其他交通工具购置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对个人和家庭的补助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7.29</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会议费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31021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文物和陈列品购置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离休费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培训费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31022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无形资产购置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退休费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公务接待费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其他资本性支出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退职（役）费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专用材料费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312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对企业补助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30304</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抚恤金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被装购置费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资本金注入</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30305</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生活补助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6.62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专用燃料费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30306</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救济费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劳务费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31204</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费用补贴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30307</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医疗费补助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0.67</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委托业务费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31205</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利息补贴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30308</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助学金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工会经费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31206</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奖励金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福利费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其他对企业补助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30310</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个人农业生产补贴</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30231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其他支出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30311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代缴社会保险费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30239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其他交通费用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39907</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国家赔偿费用支出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30399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30240</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税金及附加费用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39908</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30299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经常性赠与</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债务利息及费用支出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资本性赠与</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国内债务付息</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国外债务付息</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国内债务发行费用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国外债务发行费用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612"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人员经费合计</w:t>
            </w:r>
          </w:p>
        </w:tc>
        <w:tc>
          <w:tcPr>
            <w:tcW w:w="15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166.37</w:t>
            </w:r>
            <w:r>
              <w:rPr>
                <w:rFonts w:ascii="Times New Roman" w:hAnsi="Times New Roman"/>
                <w:color w:val="000000"/>
                <w:sz w:val="18"/>
                <w:u w:color="auto"/>
              </w:rPr>
              <w:t xml:space="preserve"> </w:t>
            </w:r>
          </w:p>
        </w:tc>
        <w:tc>
          <w:tcPr>
            <w:tcW w:w="8659"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公用经费合计</w:t>
            </w:r>
          </w:p>
        </w:tc>
        <w:tc>
          <w:tcPr>
            <w:tcW w:w="14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keepNext w:val="0"/>
        <w:keepLines w:val="0"/>
        <w:pageBreakBefore w:val="0"/>
        <w:widowControl/>
        <w:kinsoku/>
        <w:wordWrap/>
        <w:overflowPunct/>
        <w:topLinePunct w:val="0"/>
        <w:autoSpaceDE/>
        <w:autoSpaceDN/>
        <w:bidi w:val="0"/>
        <w:adjustRightInd/>
        <w:snapToGrid/>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320"/>
        <w:gridCol w:w="3594"/>
        <w:gridCol w:w="1701"/>
        <w:gridCol w:w="1701"/>
        <w:gridCol w:w="1701"/>
        <w:gridCol w:w="1701"/>
        <w:gridCol w:w="1765"/>
        <w:gridCol w:w="1839"/>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15"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秀山土家族苗族自治县龙凤坝镇卫生院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1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14"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5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293"/>
        <w:gridCol w:w="3616"/>
        <w:gridCol w:w="3273"/>
        <w:gridCol w:w="190"/>
        <w:gridCol w:w="3463"/>
        <w:gridCol w:w="86"/>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秀山土家族苗族自治县龙凤坝镇卫生院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1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29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7"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12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4"/>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秀山土家族苗族自治县龙凤坝镇卫生院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8"/>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hint="default"/>
      </w:rPr>
    </w:pPr>
    <w:r>
      <w:rPr>
        <w:rFonts w:hint="default"/>
      </w:rPr>
      <w:pict>
        <v:shape id="_x0000_s1032" o:spid="_x0000_s1032"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path/>
          <v:fill on="f" focussize="0,0"/>
          <v:stroke on="f" weight="0.5pt" joinstyle="miter"/>
          <v:imagedata o:title=""/>
          <o:lock v:ext="edit"/>
          <v:textbox inset="0mm,0mm,0mm,0mm" style="mso-fit-shape-to-text:t;">
            <w:txbxContent>
              <w:p>
                <w:pPr>
                  <w:pStyle w:val="8"/>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w:r>
    <w:r>
      <w:rPr>
        <w:rFonts w:hint="default"/>
      </w:rPr>
      <w:pict>
        <v:shape id="_x0000_s1031" o:spid="_x0000_s1031"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path/>
          <v:fill on="f" focussize="0,0"/>
          <v:stroke on="f" weight="0.5pt" joinstyle="miter"/>
          <v:imagedata o:title=""/>
          <o:lock v:ext="edit"/>
          <v:textbox inset="0mm,0mm,0mm,0mm">
            <w:txbxContent>
              <w:p>
                <w:pPr>
                  <w:pStyle w:val="8"/>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56AABB"/>
    <w:multiLevelType w:val="singleLevel"/>
    <w:tmpl w:val="E756AABB"/>
    <w:lvl w:ilvl="0" w:tentative="0">
      <w:start w:val="1"/>
      <w:numFmt w:val="decimal"/>
      <w:suff w:val="nothing"/>
      <w:lvlText w:val="（%1）"/>
      <w:lvlJc w:val="left"/>
    </w:lvl>
  </w:abstractNum>
  <w:abstractNum w:abstractNumId="1">
    <w:nsid w:val="EFF5AFAB"/>
    <w:multiLevelType w:val="singleLevel"/>
    <w:tmpl w:val="EFF5AFA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DC38E4"/>
    <w:rsid w:val="01F3521E"/>
    <w:rsid w:val="02B1288D"/>
    <w:rsid w:val="03B87EA0"/>
    <w:rsid w:val="03E3214F"/>
    <w:rsid w:val="044C50BA"/>
    <w:rsid w:val="05BC6D49"/>
    <w:rsid w:val="06194FF1"/>
    <w:rsid w:val="06A2550B"/>
    <w:rsid w:val="06F80EE2"/>
    <w:rsid w:val="07001CCA"/>
    <w:rsid w:val="075678DB"/>
    <w:rsid w:val="077B465F"/>
    <w:rsid w:val="079D7CC7"/>
    <w:rsid w:val="08051BCA"/>
    <w:rsid w:val="086C12F4"/>
    <w:rsid w:val="08705944"/>
    <w:rsid w:val="08BA052C"/>
    <w:rsid w:val="08DB07BA"/>
    <w:rsid w:val="0969353F"/>
    <w:rsid w:val="098305D0"/>
    <w:rsid w:val="09B1218B"/>
    <w:rsid w:val="0A3317EA"/>
    <w:rsid w:val="0A5C4B69"/>
    <w:rsid w:val="0A86124A"/>
    <w:rsid w:val="0AB54CC0"/>
    <w:rsid w:val="0B8E7FC9"/>
    <w:rsid w:val="0B9335CE"/>
    <w:rsid w:val="0BF2311A"/>
    <w:rsid w:val="0C7927C4"/>
    <w:rsid w:val="0C9B098C"/>
    <w:rsid w:val="0CAA7BF8"/>
    <w:rsid w:val="0D673E11"/>
    <w:rsid w:val="0DDA54E4"/>
    <w:rsid w:val="0E3A5F83"/>
    <w:rsid w:val="0F3703BA"/>
    <w:rsid w:val="0F836721"/>
    <w:rsid w:val="0F903979"/>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63A6CEE"/>
    <w:rsid w:val="173708E3"/>
    <w:rsid w:val="17C374FC"/>
    <w:rsid w:val="182E4AB6"/>
    <w:rsid w:val="189079DC"/>
    <w:rsid w:val="189B0D0B"/>
    <w:rsid w:val="18B43F7C"/>
    <w:rsid w:val="191C433B"/>
    <w:rsid w:val="194A1770"/>
    <w:rsid w:val="19B906A4"/>
    <w:rsid w:val="1A5B70BA"/>
    <w:rsid w:val="1AD569BB"/>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3B745B"/>
    <w:rsid w:val="1F4B0B02"/>
    <w:rsid w:val="1FBB35CD"/>
    <w:rsid w:val="1FCD26AF"/>
    <w:rsid w:val="20642787"/>
    <w:rsid w:val="21556F04"/>
    <w:rsid w:val="22403BD3"/>
    <w:rsid w:val="22AD3177"/>
    <w:rsid w:val="235417B6"/>
    <w:rsid w:val="236C3954"/>
    <w:rsid w:val="24B92327"/>
    <w:rsid w:val="24C14514"/>
    <w:rsid w:val="2533755C"/>
    <w:rsid w:val="25791755"/>
    <w:rsid w:val="26396DF4"/>
    <w:rsid w:val="27167136"/>
    <w:rsid w:val="271B442C"/>
    <w:rsid w:val="277D2EE9"/>
    <w:rsid w:val="27831B34"/>
    <w:rsid w:val="27B23302"/>
    <w:rsid w:val="28D1485D"/>
    <w:rsid w:val="29310A5F"/>
    <w:rsid w:val="29C37A35"/>
    <w:rsid w:val="2A076083"/>
    <w:rsid w:val="2A73162E"/>
    <w:rsid w:val="2B167953"/>
    <w:rsid w:val="2B200583"/>
    <w:rsid w:val="2B2729C0"/>
    <w:rsid w:val="2B8209DE"/>
    <w:rsid w:val="2B821C91"/>
    <w:rsid w:val="2BF81A22"/>
    <w:rsid w:val="2C636760"/>
    <w:rsid w:val="2C6762A3"/>
    <w:rsid w:val="2D5C5A4F"/>
    <w:rsid w:val="2D743613"/>
    <w:rsid w:val="2FCA4B37"/>
    <w:rsid w:val="2FE029D7"/>
    <w:rsid w:val="2FF06E00"/>
    <w:rsid w:val="30586FEC"/>
    <w:rsid w:val="315F0B22"/>
    <w:rsid w:val="31A15828"/>
    <w:rsid w:val="31D84415"/>
    <w:rsid w:val="32285F6F"/>
    <w:rsid w:val="32770556"/>
    <w:rsid w:val="329C0913"/>
    <w:rsid w:val="32AA0460"/>
    <w:rsid w:val="3337290D"/>
    <w:rsid w:val="338C32B9"/>
    <w:rsid w:val="33E31118"/>
    <w:rsid w:val="33EF7674"/>
    <w:rsid w:val="342D7BC6"/>
    <w:rsid w:val="34715FF2"/>
    <w:rsid w:val="352930DB"/>
    <w:rsid w:val="35573069"/>
    <w:rsid w:val="355F6038"/>
    <w:rsid w:val="358C217E"/>
    <w:rsid w:val="35AA76FA"/>
    <w:rsid w:val="36C9128A"/>
    <w:rsid w:val="37841E99"/>
    <w:rsid w:val="37BF1123"/>
    <w:rsid w:val="383C3F15"/>
    <w:rsid w:val="38BE4696"/>
    <w:rsid w:val="3939115E"/>
    <w:rsid w:val="39B82A39"/>
    <w:rsid w:val="39C42CA8"/>
    <w:rsid w:val="39DC4FD6"/>
    <w:rsid w:val="39F03D7A"/>
    <w:rsid w:val="39F33306"/>
    <w:rsid w:val="3A2C1C67"/>
    <w:rsid w:val="3A6A77C9"/>
    <w:rsid w:val="3ADD7F09"/>
    <w:rsid w:val="3B1705E5"/>
    <w:rsid w:val="3B18334B"/>
    <w:rsid w:val="3B36794F"/>
    <w:rsid w:val="3B6F6EE0"/>
    <w:rsid w:val="3C566AD6"/>
    <w:rsid w:val="3C594871"/>
    <w:rsid w:val="3C6A5B02"/>
    <w:rsid w:val="3D083B3A"/>
    <w:rsid w:val="3D2757A1"/>
    <w:rsid w:val="3D3D4FC4"/>
    <w:rsid w:val="3DDF3AB1"/>
    <w:rsid w:val="3E1D0952"/>
    <w:rsid w:val="3E42660A"/>
    <w:rsid w:val="3E7555B1"/>
    <w:rsid w:val="3E787ED9"/>
    <w:rsid w:val="3F032E93"/>
    <w:rsid w:val="3F0527E5"/>
    <w:rsid w:val="3F4C52C6"/>
    <w:rsid w:val="3F694D83"/>
    <w:rsid w:val="3F885DCC"/>
    <w:rsid w:val="3FCD675E"/>
    <w:rsid w:val="4004000C"/>
    <w:rsid w:val="400E51F0"/>
    <w:rsid w:val="4054756B"/>
    <w:rsid w:val="40760DD1"/>
    <w:rsid w:val="40BD5482"/>
    <w:rsid w:val="411B6CE5"/>
    <w:rsid w:val="412070D7"/>
    <w:rsid w:val="41314E40"/>
    <w:rsid w:val="41E0734B"/>
    <w:rsid w:val="426C1EA8"/>
    <w:rsid w:val="42736402"/>
    <w:rsid w:val="42E86A87"/>
    <w:rsid w:val="43307B09"/>
    <w:rsid w:val="439A3EB9"/>
    <w:rsid w:val="43B655B4"/>
    <w:rsid w:val="43BB152F"/>
    <w:rsid w:val="44C37687"/>
    <w:rsid w:val="45CB699A"/>
    <w:rsid w:val="46423C66"/>
    <w:rsid w:val="465B470D"/>
    <w:rsid w:val="469D6AD4"/>
    <w:rsid w:val="471E6C84"/>
    <w:rsid w:val="4748792B"/>
    <w:rsid w:val="475D719D"/>
    <w:rsid w:val="47674801"/>
    <w:rsid w:val="48225EF7"/>
    <w:rsid w:val="48701C75"/>
    <w:rsid w:val="488F422B"/>
    <w:rsid w:val="48E36915"/>
    <w:rsid w:val="48EB6572"/>
    <w:rsid w:val="495C4A24"/>
    <w:rsid w:val="497135DF"/>
    <w:rsid w:val="4A263DF2"/>
    <w:rsid w:val="4A2F278B"/>
    <w:rsid w:val="4A6F6675"/>
    <w:rsid w:val="4B135857"/>
    <w:rsid w:val="4B7951CB"/>
    <w:rsid w:val="4B7C315C"/>
    <w:rsid w:val="4D1F53CA"/>
    <w:rsid w:val="4DAC4ACA"/>
    <w:rsid w:val="4DBE01D2"/>
    <w:rsid w:val="4DBE395B"/>
    <w:rsid w:val="4EFD467F"/>
    <w:rsid w:val="4F0C6BA3"/>
    <w:rsid w:val="4F186D58"/>
    <w:rsid w:val="4FFE7F08"/>
    <w:rsid w:val="504B6EAA"/>
    <w:rsid w:val="508E11F8"/>
    <w:rsid w:val="50F06B6E"/>
    <w:rsid w:val="51064DCD"/>
    <w:rsid w:val="51D21804"/>
    <w:rsid w:val="52234D33"/>
    <w:rsid w:val="522F6E0C"/>
    <w:rsid w:val="52463BA1"/>
    <w:rsid w:val="52823A76"/>
    <w:rsid w:val="52F163D4"/>
    <w:rsid w:val="53076EC4"/>
    <w:rsid w:val="531A2DB4"/>
    <w:rsid w:val="53C0244D"/>
    <w:rsid w:val="53DD4D4E"/>
    <w:rsid w:val="53E578CE"/>
    <w:rsid w:val="541330F0"/>
    <w:rsid w:val="54272666"/>
    <w:rsid w:val="543B029D"/>
    <w:rsid w:val="54861779"/>
    <w:rsid w:val="55084A4C"/>
    <w:rsid w:val="552256E1"/>
    <w:rsid w:val="554E5773"/>
    <w:rsid w:val="555829E0"/>
    <w:rsid w:val="555A3CBC"/>
    <w:rsid w:val="5582012B"/>
    <w:rsid w:val="558E4E05"/>
    <w:rsid w:val="55BE2E85"/>
    <w:rsid w:val="56530F5D"/>
    <w:rsid w:val="567700D3"/>
    <w:rsid w:val="56FF7E9E"/>
    <w:rsid w:val="578867FC"/>
    <w:rsid w:val="5842572D"/>
    <w:rsid w:val="5A3B59D6"/>
    <w:rsid w:val="5AD134D8"/>
    <w:rsid w:val="5BF41F67"/>
    <w:rsid w:val="5C263CE4"/>
    <w:rsid w:val="5C5D2777"/>
    <w:rsid w:val="5CD40528"/>
    <w:rsid w:val="5CF66BF3"/>
    <w:rsid w:val="5D290C69"/>
    <w:rsid w:val="5DA80C2C"/>
    <w:rsid w:val="5E3E35E9"/>
    <w:rsid w:val="5F2D4A41"/>
    <w:rsid w:val="60C74F6C"/>
    <w:rsid w:val="61015958"/>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6C2D2F"/>
    <w:rsid w:val="66AF5D7C"/>
    <w:rsid w:val="66EE5541"/>
    <w:rsid w:val="67924660"/>
    <w:rsid w:val="67E8445C"/>
    <w:rsid w:val="68407834"/>
    <w:rsid w:val="6883293E"/>
    <w:rsid w:val="688412AD"/>
    <w:rsid w:val="68EB1B71"/>
    <w:rsid w:val="696C0310"/>
    <w:rsid w:val="6A6C7940"/>
    <w:rsid w:val="6A9F1565"/>
    <w:rsid w:val="6AAD2300"/>
    <w:rsid w:val="6B474EF5"/>
    <w:rsid w:val="6BC938E5"/>
    <w:rsid w:val="6BD300D3"/>
    <w:rsid w:val="6C017CAA"/>
    <w:rsid w:val="6C0A5AC5"/>
    <w:rsid w:val="6C560CAE"/>
    <w:rsid w:val="6C576495"/>
    <w:rsid w:val="6CFD42EE"/>
    <w:rsid w:val="6D903FF5"/>
    <w:rsid w:val="6DA955B8"/>
    <w:rsid w:val="6DE346AB"/>
    <w:rsid w:val="6DE5391A"/>
    <w:rsid w:val="6EFD1324"/>
    <w:rsid w:val="6F5A53AC"/>
    <w:rsid w:val="6FAC003D"/>
    <w:rsid w:val="6FD926BF"/>
    <w:rsid w:val="6FE55E12"/>
    <w:rsid w:val="6FFB2E76"/>
    <w:rsid w:val="708F6F7F"/>
    <w:rsid w:val="70B04AC5"/>
    <w:rsid w:val="70D94BD3"/>
    <w:rsid w:val="71574775"/>
    <w:rsid w:val="71C34D91"/>
    <w:rsid w:val="71DE2A92"/>
    <w:rsid w:val="721349A6"/>
    <w:rsid w:val="72CC57F4"/>
    <w:rsid w:val="72DB435C"/>
    <w:rsid w:val="72E2613A"/>
    <w:rsid w:val="72F771F4"/>
    <w:rsid w:val="73934AD2"/>
    <w:rsid w:val="750837F0"/>
    <w:rsid w:val="754758CF"/>
    <w:rsid w:val="75595ECD"/>
    <w:rsid w:val="75D17F93"/>
    <w:rsid w:val="764F62AB"/>
    <w:rsid w:val="765C45EC"/>
    <w:rsid w:val="768A7619"/>
    <w:rsid w:val="76BD23AB"/>
    <w:rsid w:val="772E1EBA"/>
    <w:rsid w:val="781926BC"/>
    <w:rsid w:val="796D60A4"/>
    <w:rsid w:val="79A031D5"/>
    <w:rsid w:val="79B47FDF"/>
    <w:rsid w:val="79E569A9"/>
    <w:rsid w:val="7A1525F7"/>
    <w:rsid w:val="7A354C0D"/>
    <w:rsid w:val="7A6825D8"/>
    <w:rsid w:val="7B420052"/>
    <w:rsid w:val="7BD06A28"/>
    <w:rsid w:val="7C3A7C0B"/>
    <w:rsid w:val="7C5248E4"/>
    <w:rsid w:val="7C566698"/>
    <w:rsid w:val="7C5866A3"/>
    <w:rsid w:val="7D7406BB"/>
    <w:rsid w:val="7DE94331"/>
    <w:rsid w:val="7DFB675D"/>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w:basedOn w:val="1"/>
    <w:next w:val="6"/>
    <w:qFormat/>
    <w:uiPriority w:val="0"/>
    <w:pPr>
      <w:widowControl w:val="0"/>
      <w:ind w:left="101" w:firstLine="679"/>
    </w:pPr>
    <w:rPr>
      <w:rFonts w:ascii="Arial" w:hAnsi="Arial" w:cs="Times New Roman"/>
      <w:sz w:val="34"/>
      <w:szCs w:val="34"/>
    </w:rPr>
  </w:style>
  <w:style w:type="paragraph" w:styleId="6">
    <w:name w:val="Date"/>
    <w:basedOn w:val="1"/>
    <w:next w:val="1"/>
    <w:qFormat/>
    <w:uiPriority w:val="0"/>
    <w:pPr>
      <w:ind w:left="100" w:leftChars="2500"/>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1">
    <w:name w:val="Normal (Web)"/>
    <w:basedOn w:val="1"/>
    <w:unhideWhenUsed/>
    <w:qFormat/>
    <w:uiPriority w:val="0"/>
    <w:pPr>
      <w:spacing w:before="100" w:beforeAutospacing="1" w:after="100" w:afterAutospacing="1"/>
    </w:pPr>
  </w:style>
  <w:style w:type="character" w:styleId="13">
    <w:name w:val="Strong"/>
    <w:qFormat/>
    <w:uiPriority w:val="0"/>
    <w:rPr>
      <w:b/>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99"/>
    <w:pPr>
      <w:ind w:firstLine="420" w:firstLineChars="200"/>
    </w:pPr>
    <w:rPr>
      <w:rFonts w:hint="default"/>
    </w:rPr>
  </w:style>
  <w:style w:type="paragraph" w:customStyle="1" w:styleId="17">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8">
    <w:name w:val="21"/>
    <w:basedOn w:val="12"/>
    <w:qFormat/>
    <w:uiPriority w:val="0"/>
    <w:rPr>
      <w:rFonts w:hint="default" w:ascii="Wingdings" w:hAnsi="Wingdings" w:cs="Wingdings"/>
      <w:b/>
      <w:bCs/>
    </w:rPr>
  </w:style>
  <w:style w:type="paragraph" w:customStyle="1" w:styleId="19">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批注框文本 Char"/>
    <w:basedOn w:val="12"/>
    <w:link w:val="7"/>
    <w:qFormat/>
    <w:uiPriority w:val="0"/>
    <w:rPr>
      <w:rFonts w:ascii="宋体" w:hAnsi="宋体"/>
      <w:sz w:val="18"/>
      <w:szCs w:val="18"/>
    </w:rPr>
  </w:style>
  <w:style w:type="paragraph" w:customStyle="1" w:styleId="21">
    <w:name w:val="List Paragraph"/>
    <w:basedOn w:val="1"/>
    <w:qFormat/>
    <w:uiPriority w:val="99"/>
    <w:pPr>
      <w:keepNext w:val="0"/>
      <w:keepLines w:val="0"/>
      <w:widowControl/>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2</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2025-10-14T08:57:20Z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