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36"/>
          <w:szCs w:val="36"/>
        </w:rPr>
      </w:pP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秀山土家族苗族自治县溪口镇卫生院</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lang w:eastAsia="zh-CN"/>
        </w:rPr>
      </w:pPr>
      <w:r>
        <w:rPr>
          <w:rFonts w:hint="eastAsia" w:ascii="方正小标宋_GBK" w:hAnsi="方正小标宋_GBK" w:eastAsia="方正小标宋_GBK" w:cs="方正小标宋_GBK"/>
          <w:sz w:val="44"/>
          <w:szCs w:val="44"/>
          <w:shd w:val="clear" w:color="auto" w:fill="FFFFFF"/>
        </w:rPr>
        <w:t>2024年度决算公开说明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Style w:val="10"/>
          <w:rFonts w:hint="eastAsia" w:ascii="方正黑体_GBK" w:hAnsi="方正黑体_GBK" w:eastAsia="方正黑体_GBK" w:cs="方正黑体_GBK"/>
          <w:b w:val="0"/>
          <w:bCs/>
          <w:sz w:val="32"/>
          <w:szCs w:val="32"/>
          <w:shd w:val="clear" w:color="auto" w:fill="FFFFFF"/>
          <w:lang w:eastAsia="zh-CN"/>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0"/>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rPr>
        <w:t>本单位属基层医疗卫生机构，为非营利性医疗机构，应当为居民提供基本医疗和基本公共卫生服务。基层医疗卫生机构应当使用与其能力相适应的技术、设</w:t>
      </w:r>
      <w:r>
        <w:rPr>
          <w:rFonts w:hint="default" w:ascii="Times New Roman" w:hAnsi="Times New Roman" w:eastAsia="方正仿宋_GBK" w:cs="Times New Roman"/>
          <w:kern w:val="0"/>
          <w:sz w:val="32"/>
          <w:szCs w:val="32"/>
        </w:rPr>
        <w:t>备和药物，按照规范诊疗程序开展常见病、多发病的诊疗和部分疾病的康复、护理，提供中医药诊疗、双向转诊、现场急诊急救等医疗服务。本单位为乡镇卫生院，应当履行以下公共卫生职责：</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1.根据国家和本市规定收集、报送辖区内卫生健康信息，建立和管理居民健康档案，提出改进辖区公共卫生状况的建议；</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2.开展健康教育，普及健康知识；</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3.协助开展传染病以及地方病、寄生虫病的预防控制， 配合开展爱国卫生工作；</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4.做好高危人群、重点慢性病患者的筛查和病例管理；</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5.提供心理健康指导服务，实施精神病社区管理；</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6.为妇女、儿童、老年人、残疾人等重点人群提供保健和康复服务；</w:t>
      </w:r>
    </w:p>
    <w:p>
      <w:pPr>
        <w:pStyle w:val="2"/>
        <w:keepNext w:val="0"/>
        <w:keepLines w:val="0"/>
        <w:pageBreakBefore w:val="0"/>
        <w:widowControl/>
        <w:kinsoku/>
        <w:wordWrap/>
        <w:overflowPunct/>
        <w:autoSpaceDE w:val="0"/>
        <w:autoSpaceDN/>
        <w:bidi w:val="0"/>
        <w:adjustRightInd/>
        <w:snapToGrid/>
        <w:spacing w:line="560" w:lineRule="exact"/>
        <w:ind w:firstLine="640" w:firstLineChars="200"/>
        <w:jc w:val="both"/>
        <w:textAlignment w:val="auto"/>
        <w:outlineLvl w:val="9"/>
        <w:rPr>
          <w:rFonts w:hint="default" w:ascii="Times New Roman" w:hAnsi="Times New Roman" w:cs="Times New Roman"/>
        </w:rPr>
      </w:pPr>
      <w:r>
        <w:rPr>
          <w:rFonts w:hint="default" w:ascii="Times New Roman" w:hAnsi="Times New Roman" w:cs="Times New Roman"/>
        </w:rPr>
        <w:t>7.提供计划生育技术服务，协助处置辖区内突发公共卫生事件等；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lang w:val="zh-CN" w:eastAsia="zh-CN" w:bidi="zh-CN"/>
        </w:rPr>
      </w:pPr>
      <w:r>
        <w:rPr>
          <w:rFonts w:hint="default" w:ascii="Times New Roman" w:hAnsi="Times New Roman" w:eastAsia="方正仿宋_GBK" w:cs="Times New Roman"/>
          <w:kern w:val="0"/>
          <w:sz w:val="32"/>
          <w:szCs w:val="32"/>
          <w:lang w:val="zh-CN" w:eastAsia="zh-CN" w:bidi="zh-CN"/>
        </w:rPr>
        <w:t>8.按要求提供其他公共卫生服务。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（二）机构设置</w:t>
      </w:r>
    </w:p>
    <w:p>
      <w:pPr>
        <w:keepNext w:val="0"/>
        <w:keepLines w:val="0"/>
        <w:pageBreakBefore w:val="0"/>
        <w:widowControl/>
        <w:kinsoku/>
        <w:wordWrap/>
        <w:overflowPunct/>
        <w:topLinePunct/>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本单位下设办公室、财务科、医务科、门诊</w:t>
      </w:r>
      <w:r>
        <w:rPr>
          <w:rFonts w:hint="default" w:ascii="Times New Roman" w:hAnsi="Times New Roman" w:eastAsia="方正仿宋_GBK" w:cs="Times New Roman"/>
          <w:kern w:val="0"/>
          <w:sz w:val="32"/>
          <w:szCs w:val="32"/>
          <w:lang w:val="en-US" w:eastAsia="zh-CN"/>
        </w:rPr>
        <w:t>部</w:t>
      </w:r>
      <w:r>
        <w:rPr>
          <w:rFonts w:hint="default" w:ascii="Times New Roman" w:hAnsi="Times New Roman" w:eastAsia="方正仿宋_GBK" w:cs="Times New Roman"/>
          <w:kern w:val="0"/>
          <w:sz w:val="32"/>
          <w:szCs w:val="32"/>
        </w:rPr>
        <w:t>、中医康复理疗科、医技科、药房、收费室、</w:t>
      </w:r>
      <w:r>
        <w:rPr>
          <w:rFonts w:hint="default" w:ascii="Times New Roman" w:hAnsi="Times New Roman" w:eastAsia="方正仿宋_GBK" w:cs="Times New Roman"/>
          <w:kern w:val="0"/>
          <w:sz w:val="32"/>
          <w:szCs w:val="32"/>
          <w:lang w:val="en-US" w:eastAsia="zh-CN"/>
        </w:rPr>
        <w:t>临床综合科</w:t>
      </w:r>
      <w:r>
        <w:rPr>
          <w:rFonts w:hint="default" w:ascii="Times New Roman" w:hAnsi="Times New Roman" w:eastAsia="方正仿宋_GBK" w:cs="Times New Roman"/>
          <w:kern w:val="0"/>
          <w:sz w:val="32"/>
          <w:szCs w:val="32"/>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二、单位决算收支情况说明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459.01万元。收、支与2023年度相比，减少103.22万元，下降18.4%，主要原因是</w:t>
      </w:r>
      <w:r>
        <w:rPr>
          <w:rFonts w:hint="default" w:ascii="Times New Roman" w:hAnsi="Times New Roman" w:eastAsia="方正仿宋_GBK" w:cs="Times New Roman"/>
          <w:sz w:val="32"/>
          <w:szCs w:val="32"/>
        </w:rPr>
        <w:t>公卫拨款及医疗收入</w:t>
      </w:r>
      <w:r>
        <w:rPr>
          <w:rFonts w:hint="eastAsia" w:ascii="Times New Roman" w:hAnsi="Times New Roman" w:eastAsia="方正仿宋_GBK" w:cs="Times New Roman"/>
          <w:sz w:val="32"/>
          <w:szCs w:val="32"/>
          <w:lang w:val="en-US" w:eastAsia="zh-CN"/>
        </w:rPr>
        <w:t>减少</w:t>
      </w:r>
      <w:r>
        <w:rPr>
          <w:rFonts w:hint="default" w:ascii="Times New Roman" w:hAnsi="Times New Roman" w:eastAsia="方正仿宋_GBK" w:cs="Times New Roman"/>
          <w:sz w:val="32"/>
          <w:szCs w:val="32"/>
          <w:lang w:eastAsia="zh-CN"/>
        </w:rPr>
        <w:t>。</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1</w:t>
      </w:r>
      <w:r>
        <w:rPr>
          <w:rStyle w:val="10"/>
          <w:rFonts w:hint="default" w:ascii="Times New Roman" w:hAnsi="Times New Roman" w:eastAsia="方正仿宋_GBK" w:cs="Times New Roman"/>
          <w:b w:val="0"/>
          <w:bCs/>
          <w:sz w:val="32"/>
          <w:szCs w:val="32"/>
          <w:shd w:val="clear" w:color="auto" w:fill="FFFFFF"/>
        </w:rPr>
        <w:t>.收入情况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2024年度收入合计444.65万元</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与2023年度相比，减少116.67万元，下降20.8%，主要原因是</w:t>
      </w:r>
      <w:r>
        <w:rPr>
          <w:rFonts w:hint="default" w:ascii="Times New Roman" w:hAnsi="Times New Roman" w:eastAsia="方正仿宋_GBK" w:cs="Times New Roman"/>
          <w:sz w:val="32"/>
          <w:szCs w:val="32"/>
        </w:rPr>
        <w:t>公卫拨款及医疗收入</w:t>
      </w:r>
      <w:r>
        <w:rPr>
          <w:rFonts w:hint="eastAsia" w:ascii="Times New Roman" w:hAnsi="Times New Roman" w:eastAsia="方正仿宋_GBK" w:cs="Times New Roman"/>
          <w:sz w:val="32"/>
          <w:szCs w:val="32"/>
          <w:lang w:val="en-US" w:eastAsia="zh-CN"/>
        </w:rPr>
        <w:t>减少</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shd w:val="clear" w:color="auto" w:fill="FFFFFF"/>
        </w:rPr>
        <w:t>其中：财政拨款收入225.43万元，占50.7%；事业收入208.27万元，占46.8%；经营收入0.00万元，占0.0%；其他收入10.95万元，占2.5%。此外，使用非财政拨款结余（含专用结余）0.00万元，年初结转和结余14.36万元。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2</w:t>
      </w:r>
      <w:r>
        <w:rPr>
          <w:rStyle w:val="10"/>
          <w:rFonts w:hint="default" w:ascii="Times New Roman" w:hAnsi="Times New Roman" w:eastAsia="方正仿宋_GBK" w:cs="Times New Roman"/>
          <w:b w:val="0"/>
          <w:bCs/>
          <w:sz w:val="32"/>
          <w:szCs w:val="32"/>
          <w:shd w:val="clear" w:color="auto" w:fill="FFFFFF"/>
        </w:rPr>
        <w:t>.支出情况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2024年度支出合计459.01万元，与2023年度相比，减少88.87万元，下降16.2%，主要原因是</w:t>
      </w:r>
      <w:r>
        <w:rPr>
          <w:rFonts w:hint="default" w:ascii="Times New Roman" w:hAnsi="Times New Roman" w:eastAsia="方正仿宋_GBK" w:cs="Times New Roman"/>
          <w:bCs/>
          <w:sz w:val="32"/>
          <w:szCs w:val="32"/>
        </w:rPr>
        <w:t>医疗支出中药品、耗材、人员工资、办公等支出</w:t>
      </w:r>
      <w:r>
        <w:rPr>
          <w:rFonts w:hint="default" w:ascii="Times New Roman" w:hAnsi="Times New Roman" w:eastAsia="方正仿宋_GBK" w:cs="Times New Roman"/>
          <w:bCs/>
          <w:sz w:val="32"/>
          <w:szCs w:val="32"/>
          <w:lang w:val="en-US" w:eastAsia="zh-CN"/>
        </w:rPr>
        <w:t>减少。</w:t>
      </w:r>
      <w:r>
        <w:rPr>
          <w:rFonts w:hint="default" w:ascii="Times New Roman" w:hAnsi="Times New Roman" w:eastAsia="方正仿宋_GBK" w:cs="Times New Roman"/>
          <w:sz w:val="32"/>
          <w:szCs w:val="32"/>
          <w:shd w:val="clear" w:color="auto" w:fill="FFFFFF"/>
        </w:rPr>
        <w:t>其中：基本支出452.51万元，占98.6%；项目支出6.50万元，占1.4%；经营支出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Style w:val="10"/>
          <w:rFonts w:hint="default" w:ascii="Times New Roman" w:hAnsi="Times New Roman" w:eastAsia="方正仿宋_GBK" w:cs="Times New Roman"/>
          <w:b w:val="0"/>
          <w:bCs/>
          <w:sz w:val="32"/>
          <w:szCs w:val="32"/>
          <w:shd w:val="clear" w:color="auto" w:fill="FFFFFF"/>
          <w:lang w:val="en-US" w:eastAsia="zh-CN"/>
        </w:rPr>
        <w:t>3</w:t>
      </w:r>
      <w:r>
        <w:rPr>
          <w:rStyle w:val="10"/>
          <w:rFonts w:hint="default" w:ascii="Times New Roman" w:hAnsi="Times New Roman" w:eastAsia="方正仿宋_GBK" w:cs="Times New Roman"/>
          <w:b w:val="0"/>
          <w:bCs/>
          <w:sz w:val="32"/>
          <w:szCs w:val="32"/>
          <w:shd w:val="clear" w:color="auto" w:fill="FFFFFF"/>
        </w:rPr>
        <w:t>.结转结余情况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2024年度年末结转和结余0.00万元，与2023年度相比，减少14.36万元，下降100.0%，主要原因是</w:t>
      </w:r>
      <w:r>
        <w:rPr>
          <w:rFonts w:hint="default" w:ascii="Times New Roman" w:hAnsi="Times New Roman" w:eastAsia="方正仿宋_GBK" w:cs="Times New Roman"/>
          <w:b w:val="0"/>
          <w:bCs w:val="0"/>
          <w:color w:val="auto"/>
          <w:sz w:val="32"/>
          <w:szCs w:val="32"/>
          <w:shd w:val="clear" w:color="auto" w:fill="FFFFFF"/>
          <w:lang w:val="en-US" w:eastAsia="zh-CN"/>
        </w:rPr>
        <w:t>202</w:t>
      </w:r>
      <w:r>
        <w:rPr>
          <w:rFonts w:hint="eastAsia"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lang w:val="en-US" w:eastAsia="zh-CN"/>
        </w:rPr>
        <w:t>年</w:t>
      </w:r>
      <w:r>
        <w:rPr>
          <w:rFonts w:hint="eastAsia" w:ascii="Times New Roman" w:hAnsi="Times New Roman" w:eastAsia="方正仿宋_GBK" w:cs="Times New Roman"/>
          <w:b w:val="0"/>
          <w:bCs w:val="0"/>
          <w:color w:val="auto"/>
          <w:sz w:val="32"/>
          <w:szCs w:val="32"/>
          <w:shd w:val="clear" w:color="auto" w:fill="FFFFFF"/>
          <w:lang w:val="en-US" w:eastAsia="zh-CN"/>
        </w:rPr>
        <w:t>度</w:t>
      </w:r>
      <w:r>
        <w:rPr>
          <w:rFonts w:hint="default" w:ascii="Times New Roman" w:hAnsi="Times New Roman" w:eastAsia="方正仿宋_GBK" w:cs="Times New Roman"/>
          <w:b w:val="0"/>
          <w:bCs w:val="0"/>
          <w:color w:val="auto"/>
          <w:sz w:val="32"/>
          <w:szCs w:val="32"/>
          <w:shd w:val="clear" w:color="auto" w:fill="FFFFFF"/>
          <w:lang w:val="en-US" w:eastAsia="zh-CN"/>
        </w:rPr>
        <w:t>超额绩效</w:t>
      </w:r>
      <w:r>
        <w:rPr>
          <w:rFonts w:hint="eastAsia" w:ascii="Times New Roman" w:hAnsi="Times New Roman" w:eastAsia="方正仿宋_GBK" w:cs="Times New Roman"/>
          <w:b w:val="0"/>
          <w:bCs w:val="0"/>
          <w:color w:val="auto"/>
          <w:sz w:val="32"/>
          <w:szCs w:val="32"/>
          <w:shd w:val="clear" w:color="auto" w:fill="FFFFFF"/>
          <w:lang w:val="en-US" w:eastAsia="zh-CN"/>
        </w:rPr>
        <w:t>清算未支付结转到2023年度，本年度无此情况。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（二）财政拨款收入支出决算总体情况说明</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2024年度财政拨款收、支总计均为239.79万元。与2023年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相比，财政拨款收、支总计各减少70.69万元，下降22.8%。主要原因是</w:t>
      </w:r>
      <w:r>
        <w:rPr>
          <w:rFonts w:hint="default" w:ascii="Times New Roman" w:hAnsi="Times New Roman" w:eastAsia="方正仿宋_GBK" w:cs="Times New Roman"/>
          <w:sz w:val="32"/>
          <w:szCs w:val="32"/>
          <w:shd w:val="clear" w:color="auto" w:fill="FFFFFF"/>
          <w:lang w:val="en-US" w:eastAsia="zh-CN"/>
        </w:rPr>
        <w:t>人员减少和公卫拨款收入减少。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val="0"/>
          <w:bCs/>
          <w:sz w:val="32"/>
          <w:szCs w:val="32"/>
          <w:shd w:val="clear" w:color="auto" w:fill="FFFFFF"/>
        </w:rPr>
        <w:t>1.收入情况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2024年度一般公共预算财政拨款收入225.43万元，与2023年度相比，减少85.05万元，下降27.4%。主要原因是</w:t>
      </w:r>
      <w:r>
        <w:rPr>
          <w:rFonts w:hint="default" w:ascii="Times New Roman" w:hAnsi="Times New Roman" w:eastAsia="方正仿宋_GBK" w:cs="Times New Roman"/>
          <w:sz w:val="32"/>
          <w:szCs w:val="32"/>
          <w:shd w:val="clear" w:color="auto" w:fill="FFFFFF"/>
          <w:lang w:val="en-US" w:eastAsia="zh-CN"/>
        </w:rPr>
        <w:t>人员减少和公卫拨款收入减少。</w:t>
      </w:r>
      <w:r>
        <w:rPr>
          <w:rFonts w:hint="default" w:ascii="Times New Roman" w:hAnsi="Times New Roman" w:eastAsia="方正仿宋_GBK" w:cs="Times New Roman"/>
          <w:sz w:val="32"/>
          <w:szCs w:val="32"/>
          <w:shd w:val="clear" w:color="auto" w:fill="FFFFFF"/>
        </w:rPr>
        <w:t>较年初预算数增加72.49万元，增长47.4%。主要原因</w:t>
      </w:r>
      <w:r>
        <w:rPr>
          <w:rFonts w:hint="default" w:ascii="Times New Roman" w:hAnsi="Times New Roman" w:eastAsia="方正仿宋_GBK" w:cs="Times New Roman"/>
          <w:sz w:val="32"/>
          <w:szCs w:val="32"/>
          <w:shd w:val="clear" w:color="auto" w:fill="FFFFFF"/>
          <w:lang w:val="en-US" w:eastAsia="zh-CN"/>
        </w:rPr>
        <w:t>是</w:t>
      </w:r>
      <w:r>
        <w:rPr>
          <w:rFonts w:hint="default" w:ascii="Times New Roman" w:hAnsi="Times New Roman" w:eastAsia="方正仿宋_GBK" w:cs="Times New Roman"/>
          <w:bCs/>
          <w:sz w:val="32"/>
          <w:szCs w:val="32"/>
        </w:rPr>
        <w:t>根据单位情况预估核算，实际财政拨款收入由财政根据资金分配情况统一安排拨款</w:t>
      </w:r>
      <w:r>
        <w:rPr>
          <w:rFonts w:hint="default" w:ascii="Times New Roman" w:hAnsi="Times New Roman" w:eastAsia="方正仿宋_GBK" w:cs="Times New Roman"/>
          <w:bCs/>
          <w:sz w:val="32"/>
          <w:szCs w:val="32"/>
          <w:shd w:val="clear" w:color="auto" w:fill="FFFFFF"/>
        </w:rPr>
        <w:t>。</w:t>
      </w:r>
      <w:r>
        <w:rPr>
          <w:rFonts w:hint="default" w:ascii="Times New Roman" w:hAnsi="Times New Roman" w:eastAsia="方正仿宋_GBK" w:cs="Times New Roman"/>
          <w:sz w:val="32"/>
          <w:szCs w:val="32"/>
          <w:shd w:val="clear" w:color="auto" w:fill="FFFFFF"/>
        </w:rPr>
        <w:t>此外，年初财政拨款结转和结余14.36万元。</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rPr>
        <w:t>2.支出情况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2024年度一般公共预算财政拨款支出239.79万元，与2023年度相比，减少56.33万元，下降19.0%。主要原因是</w:t>
      </w:r>
      <w:r>
        <w:rPr>
          <w:rFonts w:hint="default" w:ascii="Times New Roman" w:hAnsi="Times New Roman" w:eastAsia="方正仿宋_GBK" w:cs="Times New Roman"/>
          <w:sz w:val="32"/>
          <w:szCs w:val="32"/>
          <w:shd w:val="clear" w:color="auto" w:fill="FFFFFF"/>
          <w:lang w:val="en-US" w:eastAsia="zh-CN"/>
        </w:rPr>
        <w:t>人员减少和公卫拨款收入减少。</w:t>
      </w:r>
      <w:r>
        <w:rPr>
          <w:rFonts w:hint="default" w:ascii="Times New Roman" w:hAnsi="Times New Roman" w:eastAsia="方正仿宋_GBK" w:cs="Times New Roman"/>
          <w:sz w:val="32"/>
          <w:szCs w:val="32"/>
          <w:shd w:val="clear" w:color="auto" w:fill="FFFFFF"/>
        </w:rPr>
        <w:t>较年初预算数增加86.85万元，增长56.8%。主要原因是</w:t>
      </w:r>
      <w:r>
        <w:rPr>
          <w:rFonts w:hint="default" w:ascii="Times New Roman" w:hAnsi="Times New Roman" w:eastAsia="方正仿宋_GBK" w:cs="Times New Roman"/>
          <w:bCs/>
          <w:sz w:val="32"/>
          <w:szCs w:val="32"/>
        </w:rPr>
        <w:t>根据单位情况预估核算，实际财政拨款收入由财政根据资金分配情况统一安排拨款</w:t>
      </w:r>
      <w:r>
        <w:rPr>
          <w:rFonts w:hint="default" w:ascii="Times New Roman" w:hAnsi="Times New Roman" w:eastAsia="方正仿宋_GBK" w:cs="Times New Roman"/>
          <w:bCs/>
          <w:sz w:val="32"/>
          <w:szCs w:val="32"/>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8"/>
        <w:keepNext w:val="0"/>
        <w:keepLines w:val="0"/>
        <w:pageBreakBefore w:val="0"/>
        <w:numPr>
          <w:ilvl w:val="0"/>
          <w:numId w:val="1"/>
        </w:numPr>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就业支出33.77万元，占14.1%，较年初预算数增加8.08万元，增长31.5%，主要原因是</w:t>
      </w:r>
      <w:r>
        <w:rPr>
          <w:rFonts w:hint="eastAsia" w:ascii="Times New Roman" w:hAnsi="Times New Roman" w:eastAsia="方正仿宋_GBK" w:cs="Times New Roman"/>
          <w:bCs/>
          <w:sz w:val="32"/>
          <w:szCs w:val="32"/>
          <w:lang w:val="en-US" w:eastAsia="zh-CN"/>
        </w:rPr>
        <w:t>基数调整。</w:t>
      </w:r>
    </w:p>
    <w:p>
      <w:pPr>
        <w:pStyle w:val="14"/>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shd w:val="clear" w:color="auto" w:fill="FFFFFF"/>
          <w:lang w:eastAsia="zh-CN"/>
        </w:rPr>
        <w:t>（</w:t>
      </w:r>
      <w:r>
        <w:rPr>
          <w:rFonts w:hint="eastAsia" w:ascii="Times New Roman" w:hAnsi="Times New Roman" w:eastAsia="方正仿宋_GBK" w:cs="Times New Roman"/>
          <w:sz w:val="32"/>
          <w:szCs w:val="32"/>
          <w:shd w:val="clear" w:color="auto" w:fill="FFFFFF"/>
          <w:lang w:val="en-US" w:eastAsia="zh-CN"/>
        </w:rPr>
        <w:t>2</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卫生健康支出197.82万元，占82.5%，较年初预算数增加78.77万元，增长66.2%，主要原因是</w:t>
      </w:r>
      <w:r>
        <w:rPr>
          <w:rFonts w:hint="default" w:ascii="Times New Roman" w:hAnsi="Times New Roman" w:eastAsia="方正仿宋_GBK" w:cs="Times New Roman"/>
          <w:bCs/>
          <w:sz w:val="32"/>
          <w:szCs w:val="32"/>
        </w:rPr>
        <w:t>根据单位情况预估核算，实际财政拨款收入由财政根据资金分配情况统一安排拨款，因此财政拨款支出与年初预算有相应差异。</w:t>
      </w:r>
    </w:p>
    <w:p>
      <w:pPr>
        <w:pStyle w:val="14"/>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8.20万元，占3.4%，较年初预算数无增减，主要原因是</w:t>
      </w:r>
      <w:r>
        <w:rPr>
          <w:rFonts w:hint="default" w:ascii="Times New Roman" w:hAnsi="Times New Roman" w:eastAsia="方正仿宋_GBK" w:cs="Times New Roman"/>
          <w:bCs/>
          <w:sz w:val="32"/>
          <w:szCs w:val="32"/>
        </w:rPr>
        <w:t>与年初预算</w:t>
      </w:r>
      <w:r>
        <w:rPr>
          <w:rFonts w:hint="eastAsia" w:ascii="Times New Roman" w:hAnsi="Times New Roman" w:eastAsia="方正仿宋_GBK" w:cs="Times New Roman"/>
          <w:bCs/>
          <w:sz w:val="32"/>
          <w:szCs w:val="32"/>
          <w:lang w:val="en-US" w:eastAsia="zh-CN"/>
        </w:rPr>
        <w:t>一致</w:t>
      </w:r>
      <w:r>
        <w:rPr>
          <w:rFonts w:hint="default" w:ascii="Times New Roman" w:hAnsi="Times New Roman" w:eastAsia="方正仿宋_GBK" w:cs="Times New Roman"/>
          <w:bCs/>
          <w:sz w:val="32"/>
          <w:szCs w:val="32"/>
        </w:rPr>
        <w:t>。</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3.结转结余情况</w:t>
      </w:r>
      <w:r>
        <w:rPr>
          <w:rStyle w:val="10"/>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2024年度年末一般公共预算财政拨款结转和结余0.00万元，与2023年度相比，减少14.36万元，下降100.0%，主要原因是</w:t>
      </w:r>
      <w:r>
        <w:rPr>
          <w:rFonts w:hint="default" w:ascii="Times New Roman" w:hAnsi="Times New Roman" w:eastAsia="方正仿宋_GBK" w:cs="Times New Roman"/>
          <w:b w:val="0"/>
          <w:bCs w:val="0"/>
          <w:color w:val="auto"/>
          <w:sz w:val="32"/>
          <w:szCs w:val="32"/>
          <w:shd w:val="clear" w:color="auto" w:fill="FFFFFF"/>
          <w:lang w:val="en-US" w:eastAsia="zh-CN"/>
        </w:rPr>
        <w:t>202</w:t>
      </w:r>
      <w:r>
        <w:rPr>
          <w:rFonts w:hint="eastAsia"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lang w:val="en-US" w:eastAsia="zh-CN"/>
        </w:rPr>
        <w:t>年</w:t>
      </w:r>
      <w:r>
        <w:rPr>
          <w:rFonts w:hint="eastAsia" w:ascii="Times New Roman" w:hAnsi="Times New Roman" w:eastAsia="方正仿宋_GBK" w:cs="Times New Roman"/>
          <w:b w:val="0"/>
          <w:bCs w:val="0"/>
          <w:color w:val="auto"/>
          <w:sz w:val="32"/>
          <w:szCs w:val="32"/>
          <w:shd w:val="clear" w:color="auto" w:fill="FFFFFF"/>
          <w:lang w:val="en-US" w:eastAsia="zh-CN"/>
        </w:rPr>
        <w:t>度</w:t>
      </w:r>
      <w:r>
        <w:rPr>
          <w:rFonts w:hint="default" w:ascii="Times New Roman" w:hAnsi="Times New Roman" w:eastAsia="方正仿宋_GBK" w:cs="Times New Roman"/>
          <w:b w:val="0"/>
          <w:bCs w:val="0"/>
          <w:color w:val="auto"/>
          <w:sz w:val="32"/>
          <w:szCs w:val="32"/>
          <w:shd w:val="clear" w:color="auto" w:fill="FFFFFF"/>
          <w:lang w:val="en-US" w:eastAsia="zh-CN"/>
        </w:rPr>
        <w:t>超额绩效</w:t>
      </w:r>
      <w:r>
        <w:rPr>
          <w:rFonts w:hint="eastAsia" w:ascii="Times New Roman" w:hAnsi="Times New Roman" w:eastAsia="方正仿宋_GBK" w:cs="Times New Roman"/>
          <w:b w:val="0"/>
          <w:bCs w:val="0"/>
          <w:color w:val="auto"/>
          <w:sz w:val="32"/>
          <w:szCs w:val="32"/>
          <w:shd w:val="clear" w:color="auto" w:fill="FFFFFF"/>
          <w:lang w:val="en-US" w:eastAsia="zh-CN"/>
        </w:rPr>
        <w:t>清算未支付结转到2023年度，本年度无此情况。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2024年度一般公共财政拨款基本支出233.29万元。</w:t>
      </w:r>
    </w:p>
    <w:p>
      <w:pPr>
        <w:pStyle w:val="8"/>
        <w:keepNext w:val="0"/>
        <w:keepLines w:val="0"/>
        <w:pageBreakBefore w:val="0"/>
        <w:kinsoku/>
        <w:wordWrap/>
        <w:overflowPunct/>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人员经费233.29万元，与2023年度相比，减少41.00万元，下降15.0%，主要原因是</w:t>
      </w:r>
      <w:r>
        <w:rPr>
          <w:rFonts w:hint="default" w:ascii="Times New Roman" w:hAnsi="Times New Roman" w:eastAsia="方正仿宋_GBK" w:cs="Times New Roman"/>
          <w:sz w:val="32"/>
          <w:szCs w:val="32"/>
          <w:shd w:val="clear" w:color="auto" w:fill="FFFFFF"/>
          <w:lang w:val="en-US" w:eastAsia="zh-CN"/>
        </w:rPr>
        <w:t>人员减少。</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rPr>
        <w:t>人员社会保障、工资、绩效、津补贴支出等</w:t>
      </w:r>
      <w:r>
        <w:rPr>
          <w:rFonts w:hint="default" w:ascii="Times New Roman" w:hAnsi="Times New Roman" w:eastAsia="方正仿宋_GBK" w:cs="Times New Roman"/>
          <w:sz w:val="32"/>
          <w:szCs w:val="32"/>
          <w:lang w:eastAsia="zh-CN"/>
        </w:rPr>
        <w:t>。</w:t>
      </w:r>
    </w:p>
    <w:p>
      <w:pPr>
        <w:pStyle w:val="8"/>
        <w:keepNext w:val="0"/>
        <w:keepLines w:val="0"/>
        <w:pageBreakBefore w:val="0"/>
        <w:kinsoku/>
        <w:wordWrap/>
        <w:overflowPunct/>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公用经费0.00万元，与2023年度相比，无增减，主要原因是本单位为差额拨款单位，公用经费支出由单位自筹。公用经费用途主要包括办公费、水费、电费、差旅费、其他商品和服务支出等。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（五）政府性基金预算收支决算情况说明</w:t>
      </w:r>
    </w:p>
    <w:p>
      <w:pPr>
        <w:pStyle w:val="14"/>
        <w:keepNext w:val="0"/>
        <w:keepLines w:val="0"/>
        <w:pageBreakBefore w:val="0"/>
        <w:widowControl/>
        <w:kinsoku/>
        <w:wordWrap/>
        <w:overflowPunct/>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本单位202</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年度无政府性基金预算财政拨款收支。</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638" w:leftChars="266" w:firstLine="0" w:firstLineChars="0"/>
        <w:jc w:val="both"/>
        <w:textAlignment w:val="auto"/>
        <w:rPr>
          <w:rStyle w:val="10"/>
          <w:rFonts w:hint="eastAsia" w:ascii="方正黑体_GBK" w:hAnsi="方正黑体_GBK" w:eastAsia="方正黑体_GBK" w:cs="方正黑体_GBK"/>
          <w:b w:val="0"/>
          <w:bCs w:val="0"/>
          <w:sz w:val="32"/>
          <w:szCs w:val="32"/>
          <w:shd w:val="clear" w:color="auto" w:fill="FFFFFF"/>
        </w:rPr>
      </w:pPr>
      <w:r>
        <w:rPr>
          <w:rFonts w:hint="default" w:ascii="Times New Roman" w:hAnsi="Times New Roman" w:eastAsia="方正仿宋_GBK" w:cs="Times New Roman"/>
          <w:kern w:val="0"/>
          <w:sz w:val="32"/>
          <w:szCs w:val="32"/>
          <w:lang w:val="en-US" w:eastAsia="zh-CN" w:bidi="ar"/>
        </w:rPr>
        <w:t>本单位2024年度无国有资本经营预算财政拨款支出。</w:t>
      </w:r>
      <w:r>
        <w:rPr>
          <w:rStyle w:val="10"/>
          <w:rFonts w:hint="eastAsia" w:ascii="方正黑体_GBK" w:hAnsi="方正黑体_GBK" w:eastAsia="方正黑体_GBK" w:cs="方正黑体_GBK"/>
          <w:b w:val="0"/>
          <w:bCs w:val="0"/>
          <w:sz w:val="32"/>
          <w:szCs w:val="32"/>
          <w:shd w:val="clear" w:color="auto" w:fill="FFFFFF"/>
        </w:rPr>
        <w:t>三、</w:t>
      </w:r>
      <w:r>
        <w:rPr>
          <w:rStyle w:val="10"/>
          <w:rFonts w:hint="eastAsia" w:ascii="方正黑体_GBK" w:hAnsi="方正黑体_GBK" w:eastAsia="方正黑体_GBK" w:cs="方正黑体_GBK"/>
          <w:b w:val="0"/>
          <w:bCs w:val="0"/>
          <w:sz w:val="32"/>
          <w:szCs w:val="32"/>
          <w:shd w:val="clear" w:color="auto" w:fill="FFFFFF"/>
          <w:lang w:eastAsia="zh-CN"/>
        </w:rPr>
        <w:t>财政拨款</w:t>
      </w:r>
      <w:r>
        <w:rPr>
          <w:rStyle w:val="10"/>
          <w:rFonts w:hint="eastAsia" w:ascii="方正黑体_GBK" w:hAnsi="方正黑体_GBK" w:eastAsia="方正黑体_GBK" w:cs="方正黑体_GBK"/>
          <w:b w:val="0"/>
          <w:bCs w:val="0"/>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sz w:val="32"/>
          <w:szCs w:val="32"/>
          <w:shd w:val="clear" w:color="auto" w:fill="FFFFFF"/>
        </w:rPr>
        <w:t>因本单位属于差额拨款事业单位，未使用财政资金保障会议费、培训费和差旅费。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（二）机关运行经费情况说明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按照部门决算列报口径，本单位不在机关运行经费统计范围之内。</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（三）国有资产占用情况说明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截至2024年12月31日，本单位共有车辆1辆，其中，副部（省）级及以上领导用车0辆、主要负责人用车0辆、机要通信用车0辆、应急保障用车0辆、执法执勤用车0辆，特种专业技术用车1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（四）政府采购支出情况说明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val="en-US" w:eastAsia="zh-CN" w:bidi="ar-SA"/>
        </w:rPr>
        <w:t>2024年度</w:t>
      </w:r>
      <w:r>
        <w:rPr>
          <w:rFonts w:hint="eastAsia" w:ascii="Times New Roman" w:hAnsi="Times New Roman" w:eastAsia="方正仿宋_GBK" w:cs="Times New Roman"/>
          <w:sz w:val="32"/>
          <w:szCs w:val="32"/>
          <w:shd w:val="clear" w:color="auto" w:fill="FFFFFF"/>
          <w:lang w:val="en-US" w:eastAsia="zh-CN" w:bidi="ar-SA"/>
        </w:rPr>
        <w:t>本</w:t>
      </w:r>
      <w:r>
        <w:rPr>
          <w:rFonts w:hint="default" w:ascii="Times New Roman" w:hAnsi="Times New Roman" w:eastAsia="方正仿宋_GBK" w:cs="Times New Roman"/>
          <w:sz w:val="32"/>
          <w:szCs w:val="32"/>
          <w:shd w:val="clear" w:color="auto" w:fill="FFFFFF"/>
          <w:lang w:val="en-US" w:eastAsia="zh-CN" w:bidi="ar-SA"/>
        </w:rPr>
        <w:t>单位未发生政府采购事项，无相关经费支出</w:t>
      </w:r>
      <w:r>
        <w:rPr>
          <w:rFonts w:hint="eastAsia" w:ascii="Times New Roman" w:hAnsi="Times New Roman" w:eastAsia="方正仿宋_GBK" w:cs="Times New Roman"/>
          <w:sz w:val="32"/>
          <w:szCs w:val="32"/>
          <w:shd w:val="clear" w:color="auto" w:fill="FFFFFF"/>
          <w:lang w:val="en-US" w:eastAsia="zh-CN" w:bidi="ar-SA"/>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lang w:val="en-US" w:eastAsia="zh-CN"/>
        </w:rPr>
      </w:pPr>
      <w:r>
        <w:rPr>
          <w:rStyle w:val="10"/>
          <w:rFonts w:hint="eastAsia" w:ascii="方正黑体_GBK" w:hAnsi="方正黑体_GBK" w:eastAsia="方正黑体_GBK" w:cs="方正黑体_GBK"/>
          <w:b w:val="0"/>
          <w:bCs/>
          <w:sz w:val="32"/>
          <w:szCs w:val="32"/>
          <w:shd w:val="clear" w:color="auto" w:fill="FFFFFF"/>
          <w:lang w:eastAsia="zh-CN"/>
        </w:rPr>
        <w:t>五、预算</w:t>
      </w:r>
      <w:r>
        <w:rPr>
          <w:rStyle w:val="10"/>
          <w:rFonts w:hint="eastAsia" w:ascii="方正黑体_GBK" w:hAnsi="方正黑体_GBK" w:eastAsia="方正黑体_GBK" w:cs="方正黑体_GBK"/>
          <w:b w:val="0"/>
          <w:bCs/>
          <w:sz w:val="32"/>
          <w:szCs w:val="32"/>
          <w:shd w:val="clear" w:color="auto" w:fill="FFFFFF"/>
          <w:lang w:val="en-US" w:eastAsia="zh-CN"/>
        </w:rPr>
        <w:t>绩效管理情况说明</w:t>
      </w: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1"/>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bookmarkStart w:id="0" w:name="_GoBack"/>
      <w:bookmarkEnd w:id="0"/>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ind w:firstLine="640" w:firstLineChars="200"/>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六、专业名词解释</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（五）使用非财政拨款结余（含专用结余）</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（六）年初结转和结余</w:t>
      </w:r>
      <w:r>
        <w:rPr>
          <w:rFonts w:ascii="楷体" w:hAnsi="楷体" w:eastAsia="楷体" w:cs="楷体"/>
          <w:sz w:val="32"/>
          <w:szCs w:val="32"/>
          <w:shd w:val="clear" w:color="auto" w:fill="FFFFFF"/>
        </w:rPr>
        <w:t>：</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ascii="楷体" w:hAnsi="楷体" w:eastAsia="楷体" w:cs="楷体"/>
          <w:b w:val="0"/>
          <w:bCs/>
          <w:sz w:val="32"/>
          <w:szCs w:val="32"/>
          <w:shd w:val="clear" w:color="auto" w:fill="FFFFFF"/>
        </w:rPr>
        <w:t>（</w:t>
      </w:r>
      <w:r>
        <w:rPr>
          <w:rFonts w:hint="eastAsia" w:ascii="方正楷体_GBK" w:hAnsi="方正楷体_GBK" w:eastAsia="方正楷体_GBK" w:cs="方正楷体_GBK"/>
          <w:b w:val="0"/>
          <w:bCs w:val="0"/>
          <w:sz w:val="32"/>
          <w:szCs w:val="32"/>
          <w:shd w:val="clear" w:color="auto" w:fill="FFFFFF"/>
          <w:lang w:val="en-US" w:eastAsia="zh-CN" w:bidi="ar"/>
        </w:rPr>
        <w:t>七）结余分配</w:t>
      </w:r>
      <w:r>
        <w:rPr>
          <w:rFonts w:ascii="楷体" w:hAnsi="楷体" w:eastAsia="楷体" w:cs="楷体"/>
          <w:sz w:val="32"/>
          <w:szCs w:val="32"/>
          <w:shd w:val="clear" w:color="auto" w:fill="FFFFFF"/>
        </w:rPr>
        <w:t>：</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（十一）经营支出</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（十二）“三公”经费</w:t>
      </w:r>
      <w:r>
        <w:rPr>
          <w:rFonts w:ascii="楷体" w:hAnsi="楷体" w:eastAsia="楷体" w:cs="楷体"/>
          <w:sz w:val="32"/>
          <w:szCs w:val="32"/>
          <w:shd w:val="clear" w:color="auto" w:fill="FFFFFF"/>
        </w:rPr>
        <w:t>：</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（十三）机关运行经费</w:t>
      </w:r>
      <w:r>
        <w:rPr>
          <w:rFonts w:ascii="楷体" w:hAnsi="楷体" w:eastAsia="楷体" w:cs="楷体"/>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
        </w:rPr>
        <w:t>（十四）工资福利支出（支出经济分类科目类级）</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ascii="楷体" w:hAnsi="楷体" w:eastAsia="楷体" w:cs="楷体"/>
          <w:b w:val="0"/>
          <w:bCs/>
          <w:sz w:val="32"/>
          <w:szCs w:val="32"/>
          <w:shd w:val="clear" w:color="auto" w:fill="FFFFFF"/>
        </w:rPr>
        <w:t>（十五）商品和服务支出（支出经济分类科目类级）</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ascii="楷体" w:hAnsi="楷体" w:eastAsia="楷体" w:cs="楷体"/>
          <w:b w:val="0"/>
          <w:bCs/>
          <w:sz w:val="32"/>
          <w:szCs w:val="32"/>
          <w:shd w:val="clear" w:color="auto" w:fill="FFFFFF"/>
        </w:rPr>
        <w:t>（十六）对个人和家庭的补助（支出经济分类科目类级）</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Style w:val="10"/>
          <w:rFonts w:ascii="楷体" w:hAnsi="楷体" w:eastAsia="楷体" w:cs="楷体"/>
          <w:b w:val="0"/>
          <w:bCs/>
          <w:sz w:val="32"/>
          <w:szCs w:val="32"/>
          <w:shd w:val="clear" w:color="auto" w:fill="FFFFFF"/>
        </w:rPr>
        <w:t>（十七）其他资本性支出（支出经济分类科目类级）</w:t>
      </w:r>
      <w:r>
        <w:rPr>
          <w:rFonts w:ascii="楷体" w:hAnsi="楷体" w:eastAsia="楷体" w:cs="楷体"/>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七</w:t>
      </w:r>
      <w:r>
        <w:rPr>
          <w:rStyle w:val="10"/>
          <w:rFonts w:hint="eastAsia" w:ascii="方正黑体_GBK" w:hAnsi="方正黑体_GBK" w:eastAsia="方正黑体_GBK" w:cs="方正黑体_GBK"/>
          <w:b w:val="0"/>
          <w:bCs/>
          <w:sz w:val="32"/>
          <w:szCs w:val="32"/>
          <w:shd w:val="clear" w:color="auto" w:fill="FFFFFF"/>
        </w:rPr>
        <w:t>、决算公开联系方式及信息反馈渠道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left="638" w:leftChars="266" w:right="0" w:firstLine="0" w:firstLineChars="0"/>
        <w:jc w:val="left"/>
        <w:textAlignment w:val="auto"/>
        <w:rPr>
          <w:rFonts w:hint="default" w:ascii="Times New Roman" w:hAnsi="Times New Roman" w:eastAsia="方正仿宋_GBK" w:cs="Times New Roman"/>
          <w:kern w:val="0"/>
          <w:sz w:val="32"/>
          <w:szCs w:val="32"/>
          <w:shd w:val="clear" w:color="auto" w:fill="FFFFFF"/>
          <w:lang w:bidi="ar"/>
        </w:rPr>
      </w:pPr>
      <w:r>
        <w:rPr>
          <w:rFonts w:hint="default" w:ascii="Times New Roman" w:hAnsi="Times New Roman" w:eastAsia="方正仿宋_GBK" w:cs="Times New Roman"/>
          <w:kern w:val="0"/>
          <w:sz w:val="32"/>
          <w:szCs w:val="32"/>
          <w:shd w:val="clear" w:color="auto" w:fill="FFFFFF"/>
          <w:lang w:bidi="ar"/>
        </w:rPr>
        <w:t>本单位决算公开信息反馈和联系方式：</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left="638" w:leftChars="266" w:right="0" w:firstLine="0" w:firstLineChars="0"/>
        <w:jc w:val="left"/>
        <w:textAlignment w:val="auto"/>
        <w:rPr>
          <w:rFonts w:hint="default" w:ascii="Times New Roman" w:hAnsi="Times New Roman" w:eastAsia="方正仿宋_GBK" w:cs="Times New Roman"/>
          <w:kern w:val="0"/>
          <w:sz w:val="32"/>
          <w:szCs w:val="32"/>
          <w:shd w:val="clear" w:color="auto" w:fill="FFFFFF"/>
          <w:lang w:bidi="ar"/>
        </w:rPr>
      </w:pPr>
      <w:r>
        <w:rPr>
          <w:rFonts w:hint="eastAsia" w:ascii="Times New Roman" w:hAnsi="Times New Roman" w:eastAsia="方正仿宋_GBK" w:cs="Times New Roman"/>
          <w:kern w:val="0"/>
          <w:sz w:val="32"/>
          <w:szCs w:val="32"/>
          <w:shd w:val="clear" w:color="auto" w:fill="FFFFFF"/>
          <w:lang w:val="en-US" w:eastAsia="zh-CN" w:bidi="ar"/>
        </w:rPr>
        <w:t xml:space="preserve">杨琴 023-76033909 </w:t>
      </w:r>
    </w:p>
    <w:p>
      <w:pPr>
        <w:pStyle w:val="8"/>
        <w:snapToGrid w:val="0"/>
        <w:spacing w:before="0" w:beforeAutospacing="0" w:after="0" w:afterAutospacing="0" w:line="596" w:lineRule="exact"/>
        <w:ind w:firstLine="643" w:firstLineChars="200"/>
        <w:jc w:val="both"/>
        <w:rPr>
          <w:rStyle w:val="10"/>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秀山土家族苗族自治县溪口镇卫生院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225.43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208.27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10.95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33.77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417.03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444.65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459.01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14.36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459.01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459.01</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1"/>
        <w:tblW w:w="14780" w:type="dxa"/>
        <w:tblInd w:w="0" w:type="dxa"/>
        <w:tblLayout w:type="fixed"/>
        <w:tblCellMar>
          <w:top w:w="0" w:type="dxa"/>
          <w:left w:w="0" w:type="dxa"/>
          <w:bottom w:w="0" w:type="dxa"/>
          <w:right w:w="0" w:type="dxa"/>
        </w:tblCellMar>
      </w:tblPr>
      <w:tblGrid>
        <w:gridCol w:w="1563"/>
        <w:gridCol w:w="2930"/>
        <w:gridCol w:w="1246"/>
        <w:gridCol w:w="1301"/>
        <w:gridCol w:w="1199"/>
        <w:gridCol w:w="1195"/>
        <w:gridCol w:w="4"/>
        <w:gridCol w:w="1258"/>
        <w:gridCol w:w="1200"/>
        <w:gridCol w:w="1323"/>
        <w:gridCol w:w="1561"/>
      </w:tblGrid>
      <w:tr>
        <w:tblPrEx>
          <w:tblLayout w:type="fixed"/>
          <w:tblCellMar>
            <w:top w:w="0" w:type="dxa"/>
            <w:left w:w="0" w:type="dxa"/>
            <w:bottom w:w="0" w:type="dxa"/>
            <w:right w:w="0" w:type="dxa"/>
          </w:tblCellMar>
        </w:tblPrEx>
        <w:trPr>
          <w:trHeight w:val="400" w:hRule="atLeast"/>
        </w:trPr>
        <w:tc>
          <w:tcPr>
            <w:tcW w:w="14780" w:type="dxa"/>
            <w:gridSpan w:val="11"/>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289" w:hRule="atLeast"/>
        </w:trPr>
        <w:tc>
          <w:tcPr>
            <w:tcW w:w="5739"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秀山土家族苗族自治县溪口镇卫生院</w:t>
            </w:r>
          </w:p>
        </w:tc>
        <w:tc>
          <w:tcPr>
            <w:tcW w:w="13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9"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289" w:hRule="atLeast"/>
        </w:trPr>
        <w:tc>
          <w:tcPr>
            <w:tcW w:w="5739"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99"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6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97" w:hRule="atLeast"/>
        </w:trPr>
        <w:tc>
          <w:tcPr>
            <w:tcW w:w="449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45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5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56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2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56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56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56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97" w:hRule="atLeast"/>
        </w:trPr>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2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444.65</w:t>
            </w:r>
            <w:r>
              <w:rPr>
                <w:rFonts w:ascii="Times New Roman" w:hAnsi="Times New Roman"/>
                <w:b/>
                <w:color w:val="000000"/>
                <w:sz w:val="20"/>
                <w:u w:color="auto"/>
              </w:rPr>
              <w:t xml:space="preserve"> </w:t>
            </w:r>
          </w:p>
        </w:tc>
        <w:tc>
          <w:tcPr>
            <w:tcW w:w="1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225.43</w:t>
            </w:r>
            <w:r>
              <w:rPr>
                <w:rFonts w:ascii="Times New Roman" w:hAnsi="Times New Roman"/>
                <w:b/>
                <w:color w:val="000000"/>
                <w:sz w:val="20"/>
                <w:u w:color="auto"/>
              </w:rPr>
              <w:t xml:space="preserve"> </w:t>
            </w:r>
          </w:p>
        </w:tc>
        <w:tc>
          <w:tcPr>
            <w:tcW w:w="11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1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208.27</w:t>
            </w:r>
            <w:r>
              <w:rPr>
                <w:rFonts w:ascii="Times New Roman" w:hAnsi="Times New Roman"/>
                <w:b/>
                <w:color w:val="000000"/>
                <w:sz w:val="20"/>
                <w:u w:color="auto"/>
              </w:rPr>
              <w:t xml:space="preserve"> </w:t>
            </w:r>
          </w:p>
        </w:tc>
        <w:tc>
          <w:tcPr>
            <w:tcW w:w="126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10.95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573"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402.67</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183.46</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208.27</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348.24</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129.02</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208.27</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345.36</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126.14</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208.27</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10.95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45.30</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45.30</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24"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97"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41"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51" w:hRule="atLeast"/>
        </w:trPr>
        <w:tc>
          <w:tcPr>
            <w:tcW w:w="156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2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2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1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page"/>
      </w:r>
    </w:p>
    <w:tbl>
      <w:tblPr>
        <w:tblStyle w:val="11"/>
        <w:tblW w:w="15320" w:type="dxa"/>
        <w:tblInd w:w="0" w:type="dxa"/>
        <w:tblLayout w:type="fixed"/>
        <w:tblCellMar>
          <w:top w:w="0" w:type="dxa"/>
          <w:left w:w="0" w:type="dxa"/>
          <w:bottom w:w="0" w:type="dxa"/>
          <w:right w:w="0" w:type="dxa"/>
        </w:tblCellMar>
      </w:tblPr>
      <w:tblGrid>
        <w:gridCol w:w="1636"/>
        <w:gridCol w:w="3530"/>
        <w:gridCol w:w="1645"/>
        <w:gridCol w:w="1693"/>
        <w:gridCol w:w="1626"/>
        <w:gridCol w:w="1558"/>
        <w:gridCol w:w="1693"/>
        <w:gridCol w:w="1939"/>
      </w:tblGrid>
      <w:tr>
        <w:tblPrEx>
          <w:tblLayout w:type="fixed"/>
          <w:tblCellMar>
            <w:top w:w="0" w:type="dxa"/>
            <w:left w:w="0" w:type="dxa"/>
            <w:bottom w:w="0" w:type="dxa"/>
            <w:right w:w="0" w:type="dxa"/>
          </w:tblCellMar>
        </w:tblPrEx>
        <w:trPr>
          <w:trHeight w:val="90" w:hRule="atLeast"/>
        </w:trPr>
        <w:tc>
          <w:tcPr>
            <w:tcW w:w="1532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681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秀山土家族苗族自治县溪口镇卫生院 </w:t>
            </w:r>
          </w:p>
        </w:tc>
        <w:tc>
          <w:tcPr>
            <w:tcW w:w="16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681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9"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6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5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459.01</w:t>
            </w:r>
            <w:r>
              <w:rPr>
                <w:rFonts w:ascii="Times New Roman" w:hAnsi="Times New Roman"/>
                <w:b/>
                <w:color w:val="000000"/>
                <w:sz w:val="20"/>
                <w:u w:color="auto"/>
              </w:rPr>
              <w:t xml:space="preserve"> </w:t>
            </w:r>
          </w:p>
        </w:tc>
        <w:tc>
          <w:tcPr>
            <w:tcW w:w="16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452.51</w:t>
            </w:r>
            <w:r>
              <w:rPr>
                <w:rFonts w:ascii="Times New Roman" w:hAnsi="Times New Roman"/>
                <w:b/>
                <w:color w:val="000000"/>
                <w:sz w:val="20"/>
                <w:u w:color="auto"/>
              </w:rPr>
              <w:t xml:space="preserve"> </w:t>
            </w:r>
          </w:p>
        </w:tc>
        <w:tc>
          <w:tcPr>
            <w:tcW w:w="162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6.50</w:t>
            </w:r>
            <w:r>
              <w:rPr>
                <w:rFonts w:ascii="Times New Roman" w:hAnsi="Times New Roman"/>
                <w:b/>
                <w:color w:val="000000"/>
                <w:sz w:val="20"/>
                <w:u w:color="auto"/>
              </w:rPr>
              <w:t xml:space="preserve"> </w:t>
            </w:r>
          </w:p>
        </w:tc>
        <w:tc>
          <w:tcPr>
            <w:tcW w:w="1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417.03</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410.53</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362.59</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356.59</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359.71</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356.59</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44.80</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6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16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秀山土家族苗族自治县溪口镇卫生院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225.43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33.77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33.77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197.82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197.82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8.20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8.20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225.43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14.36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14.36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秀山土家族苗族自治县溪口镇卫生院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239.79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233.29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33.77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16.25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8.24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197.82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191.32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143.38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137.38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140.50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137.38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44.80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44.80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6.83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8.20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秀山土家族苗族自治县溪口镇卫生院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216.17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98.85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8.20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233.29</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秀山土家族苗族自治县溪口镇卫生院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秀山土家族苗族自治县溪口镇卫生院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秀山土家族苗族自治县溪口镇卫生院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25DE8"/>
    <w:multiLevelType w:val="singleLevel"/>
    <w:tmpl w:val="24A25DE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3359BE"/>
    <w:rsid w:val="0364477C"/>
    <w:rsid w:val="036E2DA9"/>
    <w:rsid w:val="03B87EA0"/>
    <w:rsid w:val="03E3214F"/>
    <w:rsid w:val="044C50BA"/>
    <w:rsid w:val="05633E5F"/>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830DA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3951DE"/>
    <w:rsid w:val="145D6F41"/>
    <w:rsid w:val="163A6CEE"/>
    <w:rsid w:val="173708E3"/>
    <w:rsid w:val="17C374FC"/>
    <w:rsid w:val="182E4AB6"/>
    <w:rsid w:val="189079DC"/>
    <w:rsid w:val="189B0D0B"/>
    <w:rsid w:val="18B43F7C"/>
    <w:rsid w:val="191C433B"/>
    <w:rsid w:val="194A1770"/>
    <w:rsid w:val="19B906A4"/>
    <w:rsid w:val="1A340E63"/>
    <w:rsid w:val="1A9A2362"/>
    <w:rsid w:val="1B6F15B6"/>
    <w:rsid w:val="1BAA2EDC"/>
    <w:rsid w:val="1CA55E64"/>
    <w:rsid w:val="1D014A01"/>
    <w:rsid w:val="1D022362"/>
    <w:rsid w:val="1D1B04B0"/>
    <w:rsid w:val="1D5154D6"/>
    <w:rsid w:val="1DA52501"/>
    <w:rsid w:val="1DBD6767"/>
    <w:rsid w:val="1DC52125"/>
    <w:rsid w:val="1DD13D6D"/>
    <w:rsid w:val="1DD26311"/>
    <w:rsid w:val="1E374ACB"/>
    <w:rsid w:val="1ECF0A66"/>
    <w:rsid w:val="1EF67CA4"/>
    <w:rsid w:val="1F020D3A"/>
    <w:rsid w:val="1F2C5189"/>
    <w:rsid w:val="1F4B0B02"/>
    <w:rsid w:val="1FBB35CD"/>
    <w:rsid w:val="1FCD26AF"/>
    <w:rsid w:val="20642787"/>
    <w:rsid w:val="21367F60"/>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015680"/>
    <w:rsid w:val="2B167953"/>
    <w:rsid w:val="2B200583"/>
    <w:rsid w:val="2B8209DE"/>
    <w:rsid w:val="2B821C91"/>
    <w:rsid w:val="2BF81A22"/>
    <w:rsid w:val="2C636760"/>
    <w:rsid w:val="2C6762A3"/>
    <w:rsid w:val="2DF41D09"/>
    <w:rsid w:val="2E6A0B3A"/>
    <w:rsid w:val="2FCA4B37"/>
    <w:rsid w:val="2FE029D7"/>
    <w:rsid w:val="2FF06E00"/>
    <w:rsid w:val="3034277E"/>
    <w:rsid w:val="30586FEC"/>
    <w:rsid w:val="311A1B8E"/>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1D29D6"/>
    <w:rsid w:val="37841E99"/>
    <w:rsid w:val="37BF1123"/>
    <w:rsid w:val="383C3F15"/>
    <w:rsid w:val="38BE4696"/>
    <w:rsid w:val="391C6641"/>
    <w:rsid w:val="3939115E"/>
    <w:rsid w:val="39AB7AFE"/>
    <w:rsid w:val="39B82A39"/>
    <w:rsid w:val="39C42CA8"/>
    <w:rsid w:val="39DC4FD6"/>
    <w:rsid w:val="39DD0AB5"/>
    <w:rsid w:val="39F03D7A"/>
    <w:rsid w:val="39F33306"/>
    <w:rsid w:val="3A2C1C67"/>
    <w:rsid w:val="3A2C6DA1"/>
    <w:rsid w:val="3A6A77C9"/>
    <w:rsid w:val="3ADD7F09"/>
    <w:rsid w:val="3B1705E5"/>
    <w:rsid w:val="3B18334B"/>
    <w:rsid w:val="3B36794F"/>
    <w:rsid w:val="3B6F6EE0"/>
    <w:rsid w:val="3B8B6217"/>
    <w:rsid w:val="3B8D79B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9661C9"/>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7C177D9"/>
    <w:rsid w:val="47F42BDB"/>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F06B6E"/>
    <w:rsid w:val="51411893"/>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16D71"/>
    <w:rsid w:val="5C5D2777"/>
    <w:rsid w:val="5CE64D05"/>
    <w:rsid w:val="5CF66BF3"/>
    <w:rsid w:val="5D290C69"/>
    <w:rsid w:val="5DA80C2C"/>
    <w:rsid w:val="5DD34631"/>
    <w:rsid w:val="5E3224FA"/>
    <w:rsid w:val="5F2D4A41"/>
    <w:rsid w:val="60C74F6C"/>
    <w:rsid w:val="61015958"/>
    <w:rsid w:val="61025A59"/>
    <w:rsid w:val="613D5BBC"/>
    <w:rsid w:val="61536C39"/>
    <w:rsid w:val="61894431"/>
    <w:rsid w:val="62944DD7"/>
    <w:rsid w:val="62B23238"/>
    <w:rsid w:val="6319381F"/>
    <w:rsid w:val="63C25DC5"/>
    <w:rsid w:val="63C62057"/>
    <w:rsid w:val="64571EF5"/>
    <w:rsid w:val="64FB113D"/>
    <w:rsid w:val="656152C6"/>
    <w:rsid w:val="6587477F"/>
    <w:rsid w:val="658C3A08"/>
    <w:rsid w:val="65C031CA"/>
    <w:rsid w:val="65CE6852"/>
    <w:rsid w:val="66267C04"/>
    <w:rsid w:val="663F505A"/>
    <w:rsid w:val="66AF5D7C"/>
    <w:rsid w:val="66EE5541"/>
    <w:rsid w:val="675024F1"/>
    <w:rsid w:val="67924660"/>
    <w:rsid w:val="68407834"/>
    <w:rsid w:val="6883293E"/>
    <w:rsid w:val="688412AD"/>
    <w:rsid w:val="68E30924"/>
    <w:rsid w:val="68EB1B71"/>
    <w:rsid w:val="696C0310"/>
    <w:rsid w:val="69F52A30"/>
    <w:rsid w:val="6A6C7940"/>
    <w:rsid w:val="6A9F1565"/>
    <w:rsid w:val="6AAD2300"/>
    <w:rsid w:val="6ACD74AB"/>
    <w:rsid w:val="6B474EF5"/>
    <w:rsid w:val="6C0A5AC5"/>
    <w:rsid w:val="6C560CAE"/>
    <w:rsid w:val="6C576495"/>
    <w:rsid w:val="6D903FF5"/>
    <w:rsid w:val="6DA955B8"/>
    <w:rsid w:val="6DE346AB"/>
    <w:rsid w:val="6DE5391A"/>
    <w:rsid w:val="6EF9414C"/>
    <w:rsid w:val="6EFD1324"/>
    <w:rsid w:val="6F5A53AC"/>
    <w:rsid w:val="6FAC003D"/>
    <w:rsid w:val="6FD926BF"/>
    <w:rsid w:val="6FE55E12"/>
    <w:rsid w:val="6FFB2E76"/>
    <w:rsid w:val="708F6F7F"/>
    <w:rsid w:val="70D94BD3"/>
    <w:rsid w:val="71574775"/>
    <w:rsid w:val="71C34D91"/>
    <w:rsid w:val="72DB435C"/>
    <w:rsid w:val="72E2613A"/>
    <w:rsid w:val="72F771F4"/>
    <w:rsid w:val="73934AD2"/>
    <w:rsid w:val="745D19A8"/>
    <w:rsid w:val="74B852A5"/>
    <w:rsid w:val="750837F0"/>
    <w:rsid w:val="754758CF"/>
    <w:rsid w:val="75595ECD"/>
    <w:rsid w:val="764F62AB"/>
    <w:rsid w:val="765C45EC"/>
    <w:rsid w:val="768A7619"/>
    <w:rsid w:val="76B1494C"/>
    <w:rsid w:val="772E1EBA"/>
    <w:rsid w:val="77FB094D"/>
    <w:rsid w:val="781926BC"/>
    <w:rsid w:val="796D60A4"/>
    <w:rsid w:val="797A664A"/>
    <w:rsid w:val="79A031D5"/>
    <w:rsid w:val="79B47FDF"/>
    <w:rsid w:val="79E569A9"/>
    <w:rsid w:val="7A1525F7"/>
    <w:rsid w:val="7A207042"/>
    <w:rsid w:val="7B420052"/>
    <w:rsid w:val="7BA24D4C"/>
    <w:rsid w:val="7BD06A28"/>
    <w:rsid w:val="7C3A7C0B"/>
    <w:rsid w:val="7C5248E4"/>
    <w:rsid w:val="7C566698"/>
    <w:rsid w:val="7C5866A3"/>
    <w:rsid w:val="7D7406BB"/>
    <w:rsid w:val="7DE94331"/>
    <w:rsid w:val="7DEF5A04"/>
    <w:rsid w:val="7E983F4C"/>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jc w:val="left"/>
    </w:pPr>
    <w:rPr>
      <w:rFonts w:ascii="方正仿宋_GBK" w:hAnsi="方正仿宋_GBK" w:eastAsia="方正仿宋_GBK" w:cs="方正仿宋_GBK"/>
      <w:kern w:val="0"/>
      <w:sz w:val="32"/>
      <w:szCs w:val="32"/>
      <w:lang w:val="zh-CN" w:bidi="zh-CN"/>
    </w:rPr>
  </w:style>
  <w:style w:type="paragraph" w:styleId="3">
    <w:name w:val="Date"/>
    <w:basedOn w:val="1"/>
    <w:next w:val="1"/>
    <w:qFormat/>
    <w:uiPriority w:val="99"/>
    <w:pPr>
      <w:ind w:left="100" w:leftChars="2500"/>
    </w:pPr>
    <w:rPr>
      <w:rFonts w:ascii="Times New Roman" w:hAnsi="Times New Roman" w:eastAsia="宋体" w:cs="Times New Roman"/>
      <w:szCs w:val="24"/>
    </w:r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1</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2025-10-14T08:51:26Z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